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32B70" w:rsidRPr="00CC44A9" w:rsidRDefault="00732B70" w:rsidP="00732B70">
      <w:pPr>
        <w:spacing w:after="120"/>
        <w:jc w:val="center"/>
      </w:pPr>
      <w:r w:rsidRPr="1C0982FF">
        <w:rPr>
          <w:b/>
          <w:bCs/>
        </w:rPr>
        <w:t>UZASADNIENIE</w:t>
      </w:r>
    </w:p>
    <w:p w:rsidR="00732B70" w:rsidRPr="00CC44A9" w:rsidRDefault="00732B70" w:rsidP="00732B70">
      <w:pPr>
        <w:ind w:firstLine="567"/>
        <w:jc w:val="both"/>
      </w:pPr>
      <w:r w:rsidRPr="1C0982FF">
        <w:t>Rozporządzenie Rady Ministrów w sprawie budynków użyteczności publicznej,</w:t>
      </w:r>
      <w:r>
        <w:t xml:space="preserve"> </w:t>
      </w:r>
      <w:r w:rsidRPr="1C0982FF">
        <w:t>w</w:t>
      </w:r>
      <w:r>
        <w:t> </w:t>
      </w:r>
      <w:r w:rsidRPr="1C0982FF">
        <w:t>których zapewnia się budowle ochronne, stanowi wykonanie upoważnienia zawartego w</w:t>
      </w:r>
      <w:r>
        <w:t> </w:t>
      </w:r>
      <w:r w:rsidRPr="1C0982FF">
        <w:t>art.</w:t>
      </w:r>
      <w:r>
        <w:t> 93</w:t>
      </w:r>
      <w:r w:rsidRPr="1C0982FF">
        <w:t xml:space="preserve"> ust. </w:t>
      </w:r>
      <w:r>
        <w:t>3</w:t>
      </w:r>
      <w:r w:rsidRPr="1C0982FF">
        <w:t xml:space="preserve"> ustawy</w:t>
      </w:r>
      <w:r>
        <w:t xml:space="preserve"> z dnia 5 grudnia 2024 r.</w:t>
      </w:r>
      <w:r w:rsidRPr="1C0982FF">
        <w:t xml:space="preserve"> o ochronie ludności i obronie cywilnej (Dz. U. poz. </w:t>
      </w:r>
      <w:r>
        <w:t>1907</w:t>
      </w:r>
      <w:r w:rsidRPr="1C0982FF">
        <w:t>).</w:t>
      </w:r>
      <w:r>
        <w:t xml:space="preserve"> Zgodnie z upoważnieniem projektowane rozporządzenie określa szczegółowe warunki wyznaczania budynków użyteczności publicznej, w których zapewnia się budowle ochronne, uwzględniając konieczność zapewnienia odpowiedniej ilości miejsc w budowlach ochronnych oraz okoliczności, w których można odstąpić od zapewnienia budowli ochronnej w budynku użyteczności publicznej.</w:t>
      </w:r>
    </w:p>
    <w:p w:rsidR="00732B70" w:rsidRPr="00CC44A9" w:rsidRDefault="00732B70" w:rsidP="00732B70">
      <w:pPr>
        <w:ind w:firstLine="567"/>
        <w:jc w:val="both"/>
      </w:pPr>
      <w:r>
        <w:t>M</w:t>
      </w:r>
      <w:r w:rsidRPr="1C0982FF">
        <w:t xml:space="preserve">ając na względzie potrzeby zapewnienia miejsc schronienia </w:t>
      </w:r>
      <w:r w:rsidRPr="000A3C76">
        <w:t>dla</w:t>
      </w:r>
      <w:r>
        <w:t> </w:t>
      </w:r>
      <w:r w:rsidRPr="1C0982FF">
        <w:t xml:space="preserve">odpowiedniej liczby osób, </w:t>
      </w:r>
      <w:r>
        <w:t xml:space="preserve">rozporządzenie </w:t>
      </w:r>
      <w:r w:rsidRPr="1C0982FF">
        <w:t>określa rodzaje budynków użyteczności publicznej, w których zapewnia się budowle ochronne</w:t>
      </w:r>
      <w:r>
        <w:t>,</w:t>
      </w:r>
      <w:r w:rsidRPr="1C0982FF">
        <w:t xml:space="preserve"> biorąc pod uwagę ich projektowe przeznaczenie oraz inne charakterystyczne uwarunkowania</w:t>
      </w:r>
      <w:r>
        <w:t>,</w:t>
      </w:r>
      <w:r w:rsidRPr="1C0982FF">
        <w:t xml:space="preserve"> takie jak: występowanie kondygnacji podziemnej, liczb</w:t>
      </w:r>
      <w:r>
        <w:t>ę</w:t>
      </w:r>
      <w:r w:rsidRPr="1C0982FF">
        <w:t xml:space="preserve"> przebywających w nich osób oraz powierzchni</w:t>
      </w:r>
      <w:r>
        <w:t>ę</w:t>
      </w:r>
      <w:r w:rsidRPr="1C0982FF">
        <w:t xml:space="preserve"> użytkow</w:t>
      </w:r>
      <w:r>
        <w:t>ą</w:t>
      </w:r>
      <w:r w:rsidRPr="1C0982FF">
        <w:t xml:space="preserve">. </w:t>
      </w:r>
    </w:p>
    <w:p w:rsidR="00732B70" w:rsidRPr="00CC44A9" w:rsidRDefault="00732B70" w:rsidP="00732B70">
      <w:pPr>
        <w:ind w:firstLine="567"/>
        <w:jc w:val="both"/>
      </w:pPr>
      <w:r w:rsidRPr="1C0982FF">
        <w:t>Jako osobny rodzaj budynków użyteczności publicznej, w których zapewnia się budowle ochronne, wyodrębniono budynki administracji publicznej lub wymiaru sprawiedliwości, w</w:t>
      </w:r>
      <w:r>
        <w:t> </w:t>
      </w:r>
      <w:r w:rsidRPr="1C0982FF">
        <w:t>którym swoją siedzibę ma organ administracji publicznej lub wymiaru sprawiedliwości, a</w:t>
      </w:r>
      <w:r>
        <w:t> </w:t>
      </w:r>
      <w:r w:rsidRPr="1C0982FF">
        <w:t>także budynki opieki zdrowotnej, w którym mogą przebywać pacjenci wymagający hospitalizacji</w:t>
      </w:r>
      <w:r>
        <w:t xml:space="preserve">, a także </w:t>
      </w:r>
      <w:r w:rsidRPr="1C0982FF">
        <w:t xml:space="preserve"> budynki, w których są zlokalizowane miejsca stałego stacjonowania podmiotów </w:t>
      </w:r>
      <w:r>
        <w:t>ochrony ludności</w:t>
      </w:r>
      <w:r w:rsidRPr="1C0982FF">
        <w:t>. Budowle ochronne w takich budynkach zapewnią możliwość funkcjonowania organów państwa oraz służb przewidywanych do reagowania w sytuacjach zagrożenia.</w:t>
      </w:r>
    </w:p>
    <w:p w:rsidR="00732B70" w:rsidRDefault="00732B70" w:rsidP="00732B70">
      <w:pPr>
        <w:ind w:firstLine="567"/>
        <w:jc w:val="both"/>
      </w:pPr>
      <w:r w:rsidRPr="1C0982FF">
        <w:t xml:space="preserve">W § </w:t>
      </w:r>
      <w:r>
        <w:t>5</w:t>
      </w:r>
      <w:r w:rsidRPr="1C0982FF">
        <w:t xml:space="preserve"> zawarto zakres oceny niezbędnej do określenia, czy w budynku użyteczności publicznej możliwe i uzasadnione jest zapewnienie budowli ochronnej. W ramach tej oceny sprawdzeniu podlega</w:t>
      </w:r>
      <w:r>
        <w:t>ć będzie</w:t>
      </w:r>
      <w:r w:rsidRPr="1C0982FF">
        <w:t xml:space="preserve"> </w:t>
      </w:r>
      <w:r w:rsidRPr="009F5B14">
        <w:t>możliwoś</w:t>
      </w:r>
      <w:r>
        <w:t>ć</w:t>
      </w:r>
      <w:r w:rsidRPr="009F5B14">
        <w:t xml:space="preserve"> spełnienia w budynku użyteczności publicznej wymagań określonych </w:t>
      </w:r>
      <w:r>
        <w:t xml:space="preserve">dla schronu albo ukrycia, potrzeba </w:t>
      </w:r>
      <w:r w:rsidRPr="009F5B14">
        <w:t xml:space="preserve">zapewnienia </w:t>
      </w:r>
      <w:r>
        <w:t xml:space="preserve">określonej liczby </w:t>
      </w:r>
      <w:r w:rsidRPr="001069C5">
        <w:t xml:space="preserve">miejsc schronienia </w:t>
      </w:r>
      <w:r>
        <w:t xml:space="preserve">w schronie albo ukryciu, zasadność ekonomiczna inwestycji, która jest niezbędna w celu </w:t>
      </w:r>
      <w:r w:rsidRPr="009F5B14">
        <w:t xml:space="preserve">zapewnienia </w:t>
      </w:r>
      <w:r>
        <w:t xml:space="preserve">schronu albo ukrycia, </w:t>
      </w:r>
      <w:r w:rsidRPr="009F5B14">
        <w:t>możliwoś</w:t>
      </w:r>
      <w:r>
        <w:t>ć</w:t>
      </w:r>
      <w:r w:rsidRPr="009F5B14">
        <w:t xml:space="preserve"> zapewnienia schronienia w innej budowli ochronnej</w:t>
      </w:r>
      <w:r>
        <w:t>.</w:t>
      </w:r>
    </w:p>
    <w:p w:rsidR="00732B70" w:rsidRDefault="00732B70" w:rsidP="00732B70">
      <w:pPr>
        <w:ind w:firstLine="567"/>
        <w:jc w:val="both"/>
      </w:pPr>
      <w:r>
        <w:t>W § 6 sprecyzowano okoliczności</w:t>
      </w:r>
      <w:r w:rsidRPr="00405266">
        <w:t>, w których można odstąpić od zapewnienia budowli ochronnej w budynku użyteczności publicznej</w:t>
      </w:r>
      <w:r>
        <w:t>.</w:t>
      </w:r>
    </w:p>
    <w:p w:rsidR="00FA79F9" w:rsidRDefault="00732B70" w:rsidP="00732B70">
      <w:pPr>
        <w:ind w:firstLine="567"/>
        <w:jc w:val="both"/>
      </w:pPr>
      <w:r w:rsidRPr="00653A2F">
        <w:t>Planuje się, że przedmiotow</w:t>
      </w:r>
      <w:r>
        <w:t xml:space="preserve">e rozporządzenie </w:t>
      </w:r>
      <w:r w:rsidRPr="00653A2F">
        <w:t xml:space="preserve">wejdzie </w:t>
      </w:r>
      <w:r>
        <w:t xml:space="preserve">po upływie 14 dni od dnia ogłoszenia. </w:t>
      </w:r>
    </w:p>
    <w:p w:rsidR="00732B70" w:rsidRDefault="00732B70" w:rsidP="00732B70">
      <w:pPr>
        <w:ind w:firstLine="567"/>
        <w:jc w:val="both"/>
      </w:pPr>
      <w:r w:rsidRPr="00F554A1">
        <w:lastRenderedPageBreak/>
        <w:t>Nie ma możliwości podjęcia alternatywnych, w stosunku do projektowanego rozporządzenia, działań umożliwiających osiągnięcie zamierzonego celu.</w:t>
      </w:r>
    </w:p>
    <w:p w:rsidR="00732B70" w:rsidRPr="00F554A1" w:rsidRDefault="00732B70" w:rsidP="00732B70">
      <w:pPr>
        <w:ind w:firstLine="567"/>
        <w:jc w:val="both"/>
        <w:rPr>
          <w:color w:val="000000"/>
        </w:rPr>
      </w:pPr>
      <w:r w:rsidRPr="00F554A1">
        <w:rPr>
          <w:color w:val="000000"/>
        </w:rPr>
        <w:t xml:space="preserve">Projektowane rozporządzenie nie będzie miało wpływu </w:t>
      </w:r>
      <w:r>
        <w:rPr>
          <w:color w:val="000000"/>
        </w:rPr>
        <w:t>na konkurencyjność gospodarki i </w:t>
      </w:r>
      <w:r w:rsidRPr="00F554A1">
        <w:rPr>
          <w:color w:val="000000"/>
        </w:rPr>
        <w:t>przedsiębiorczość, w tym na działalność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mikroprzedsiębiorców</w:t>
      </w:r>
      <w:proofErr w:type="spellEnd"/>
      <w:r>
        <w:rPr>
          <w:color w:val="000000"/>
        </w:rPr>
        <w:t xml:space="preserve">, małych i </w:t>
      </w:r>
      <w:r w:rsidRPr="00F554A1">
        <w:rPr>
          <w:color w:val="000000"/>
        </w:rPr>
        <w:t>średnich przedsiębiorców.</w:t>
      </w:r>
    </w:p>
    <w:p w:rsidR="00732B70" w:rsidRPr="00F554A1" w:rsidRDefault="00732B70" w:rsidP="00732B70">
      <w:pPr>
        <w:tabs>
          <w:tab w:val="left" w:pos="709"/>
        </w:tabs>
        <w:ind w:firstLine="709"/>
        <w:jc w:val="both"/>
      </w:pPr>
      <w:r w:rsidRPr="00F554A1">
        <w:t>Zakres przedmiotowej regulacji nie jest objęty prawem Unii Europejskiej i nie podlega obowiązkowi przedstawienia właściwym organom i instytucjom Unii Europejskiej,</w:t>
      </w:r>
      <w:r>
        <w:t xml:space="preserve"> </w:t>
      </w:r>
      <w:r w:rsidRPr="00F554A1">
        <w:t>w tym Europejskiemu Bankowi Centralnemu, w celu uzyskania opinii, dokonania powiadomienia, konsultacji albo uzgodnienia.</w:t>
      </w:r>
    </w:p>
    <w:p w:rsidR="00732B70" w:rsidRDefault="00732B70" w:rsidP="00732B70">
      <w:pPr>
        <w:tabs>
          <w:tab w:val="left" w:pos="709"/>
        </w:tabs>
        <w:ind w:firstLine="709"/>
        <w:jc w:val="both"/>
      </w:pPr>
      <w:r w:rsidRPr="00F554A1">
        <w:t>Projekt rozporządzenia nie zawiera przepisów technicznych w rozumieniu przepisów rozporządzenia Rady Ministrów z dnia 23 grudnia 2002 r. w sprawie sposobu funkcjonowania krajowego systemu notyfikacji norm i aktów prawnych (</w:t>
      </w:r>
      <w:r w:rsidRPr="00F554A1">
        <w:rPr>
          <w:color w:val="000000"/>
        </w:rPr>
        <w:t xml:space="preserve">Dz. U. poz. 2039 oraz z 2004 r. poz. 597) </w:t>
      </w:r>
      <w:r w:rsidRPr="00F554A1">
        <w:t>i w związku z tym nie podlega notyfikacji.</w:t>
      </w:r>
      <w:r>
        <w:t xml:space="preserve"> </w:t>
      </w:r>
    </w:p>
    <w:p w:rsidR="00732B70" w:rsidRDefault="00732B70" w:rsidP="00732B70">
      <w:pPr>
        <w:tabs>
          <w:tab w:val="left" w:pos="709"/>
        </w:tabs>
        <w:ind w:firstLine="709"/>
        <w:jc w:val="both"/>
        <w:rPr>
          <w:color w:val="000000"/>
          <w:shd w:val="clear" w:color="auto" w:fill="FFFFFF"/>
        </w:rPr>
      </w:pPr>
      <w:r w:rsidRPr="00F554A1">
        <w:rPr>
          <w:color w:val="000000"/>
        </w:rPr>
        <w:t>Projekt rozporządzenia, stosownie do wymogów art. 5 ustawy z dnia 7 lipca 2005 r. o działalności lobbingowej w procesie stanowienia prawa (Dz. U. z 2017 r. poz. 248) oraz zgodnie z § 52 ust. 1 uchwały nr 190 Rady Ministrów z dnia 29 października 2013 r. – Reg</w:t>
      </w:r>
      <w:r>
        <w:rPr>
          <w:color w:val="000000"/>
        </w:rPr>
        <w:t>ulamin pracy Rady Ministrów (M.</w:t>
      </w:r>
      <w:r w:rsidRPr="00F554A1">
        <w:rPr>
          <w:color w:val="000000"/>
        </w:rPr>
        <w:t>P. z 202</w:t>
      </w:r>
      <w:r>
        <w:rPr>
          <w:color w:val="000000"/>
        </w:rPr>
        <w:t>4</w:t>
      </w:r>
      <w:r w:rsidRPr="00F554A1">
        <w:rPr>
          <w:color w:val="000000"/>
        </w:rPr>
        <w:t xml:space="preserve"> r. poz. </w:t>
      </w:r>
      <w:r>
        <w:rPr>
          <w:color w:val="000000"/>
        </w:rPr>
        <w:t>806</w:t>
      </w:r>
      <w:r w:rsidRPr="00F554A1">
        <w:rPr>
          <w:color w:val="000000"/>
        </w:rPr>
        <w:t>), zosta</w:t>
      </w:r>
      <w:r w:rsidR="004976CF">
        <w:rPr>
          <w:color w:val="000000"/>
        </w:rPr>
        <w:t>ł</w:t>
      </w:r>
      <w:r w:rsidRPr="00F554A1">
        <w:rPr>
          <w:color w:val="000000"/>
        </w:rPr>
        <w:t xml:space="preserve"> zamieszczony </w:t>
      </w:r>
      <w:r w:rsidRPr="00F554A1">
        <w:rPr>
          <w:color w:val="000000"/>
          <w:shd w:val="clear" w:color="auto" w:fill="FFFFFF"/>
        </w:rPr>
        <w:t>w Biuletynie Informacji Publicznej na stronie podmiotowej Rządowego Centrum Legislacji, w serwisie Rządowy Proces Legislacyjny.</w:t>
      </w:r>
      <w:r>
        <w:rPr>
          <w:color w:val="000000"/>
          <w:shd w:val="clear" w:color="auto" w:fill="FFFFFF"/>
        </w:rPr>
        <w:t xml:space="preserve"> </w:t>
      </w:r>
      <w:r w:rsidR="004976CF">
        <w:rPr>
          <w:color w:val="000000"/>
          <w:shd w:val="clear" w:color="auto" w:fill="FFFFFF"/>
        </w:rPr>
        <w:t xml:space="preserve">Projekt został skierowany do zaopiniowania przez wojewodów oraz do konsultacji publicznych ze Stowarzyszeniem Architektów Polskich, Izbą Architektów RP, Stowarzyszeniem – Instytut Budownictwa Ochronnego oraz z Polskim Związkiem Firm Deweloperskich. </w:t>
      </w:r>
    </w:p>
    <w:p w:rsidR="00732B70" w:rsidRDefault="004D299D" w:rsidP="00732B70">
      <w:pPr>
        <w:ind w:firstLine="709"/>
        <w:jc w:val="both"/>
      </w:pPr>
      <w:r>
        <w:t>Projekt nie był</w:t>
      </w:r>
      <w:r w:rsidR="00732B70">
        <w:t xml:space="preserve"> przedmiotem </w:t>
      </w:r>
      <w:r w:rsidR="00732B70" w:rsidRPr="00F7790B">
        <w:t>ocen</w:t>
      </w:r>
      <w:r w:rsidR="00732B70">
        <w:t>y</w:t>
      </w:r>
      <w:r w:rsidR="00732B70" w:rsidRPr="00F7790B">
        <w:t xml:space="preserve"> OSR w trybie § 32 uchwały nr 190 Rady Ministrów z dnia 29 października 2013 r. – Regulamin pracy Rady Ministrów.</w:t>
      </w:r>
    </w:p>
    <w:p w:rsidR="00732B70" w:rsidRDefault="00732B70" w:rsidP="00732B70">
      <w:pPr>
        <w:ind w:firstLine="567"/>
        <w:jc w:val="both"/>
      </w:pPr>
    </w:p>
    <w:p w:rsidR="00EE5147" w:rsidRDefault="00EE5147"/>
    <w:sectPr w:rsidR="00EE5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B70"/>
    <w:rsid w:val="004976CF"/>
    <w:rsid w:val="004D299D"/>
    <w:rsid w:val="0064065C"/>
    <w:rsid w:val="00732B70"/>
    <w:rsid w:val="008264CC"/>
    <w:rsid w:val="00DC058D"/>
    <w:rsid w:val="00DC1C2A"/>
    <w:rsid w:val="00EE5147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766FE-4ED4-45EA-B61E-2EFB0EE7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2B7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MSWiA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DP-MSWiA</dc:creator>
  <cp:keywords/>
  <dc:description/>
  <cp:lastModifiedBy>Ola</cp:lastModifiedBy>
  <cp:revision>2</cp:revision>
  <dcterms:created xsi:type="dcterms:W3CDTF">2025-03-10T08:13:00Z</dcterms:created>
  <dcterms:modified xsi:type="dcterms:W3CDTF">2025-03-10T08:13:00Z</dcterms:modified>
</cp:coreProperties>
</file>