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B8110" w14:textId="23CF5E13" w:rsidR="00950267" w:rsidRPr="006D59BB" w:rsidRDefault="00970F6A" w:rsidP="006D59BB">
      <w:pPr>
        <w:spacing w:after="240" w:line="360" w:lineRule="auto"/>
        <w:jc w:val="center"/>
        <w:rPr>
          <w:rFonts w:ascii="Times New Roman" w:hAnsi="Times New Roman" w:cs="Times New Roman"/>
          <w:spacing w:val="20"/>
          <w:sz w:val="24"/>
          <w:szCs w:val="24"/>
        </w:rPr>
      </w:pPr>
      <w:r w:rsidRPr="006D59BB">
        <w:rPr>
          <w:rFonts w:ascii="Times New Roman" w:hAnsi="Times New Roman" w:cs="Times New Roman"/>
          <w:spacing w:val="20"/>
          <w:sz w:val="24"/>
          <w:szCs w:val="24"/>
        </w:rPr>
        <w:t>UZASADNIENIE</w:t>
      </w:r>
    </w:p>
    <w:p w14:paraId="4E281A58" w14:textId="606B5247" w:rsidR="00950267" w:rsidRPr="006D59BB" w:rsidRDefault="00950267" w:rsidP="006D59BB">
      <w:pPr>
        <w:pStyle w:val="Nagwek1"/>
        <w:numPr>
          <w:ilvl w:val="0"/>
          <w:numId w:val="3"/>
        </w:numPr>
        <w:tabs>
          <w:tab w:val="left" w:pos="426"/>
        </w:tabs>
        <w:spacing w:before="120" w:after="0" w:line="360" w:lineRule="auto"/>
        <w:ind w:left="0" w:firstLine="0"/>
        <w:jc w:val="both"/>
        <w:rPr>
          <w:rFonts w:ascii="Times New Roman" w:hAnsi="Times New Roman" w:cs="Times New Roman"/>
          <w:b/>
          <w:bCs/>
          <w:color w:val="auto"/>
          <w:sz w:val="24"/>
          <w:szCs w:val="24"/>
        </w:rPr>
      </w:pPr>
      <w:bookmarkStart w:id="0" w:name="_Toc139627311"/>
      <w:bookmarkStart w:id="1" w:name="_Toc192358907"/>
      <w:r w:rsidRPr="006D59BB">
        <w:rPr>
          <w:rFonts w:ascii="Times New Roman" w:hAnsi="Times New Roman" w:cs="Times New Roman"/>
          <w:b/>
          <w:bCs/>
          <w:color w:val="auto"/>
          <w:sz w:val="24"/>
          <w:szCs w:val="24"/>
        </w:rPr>
        <w:t>Cel i potrzeba ustawy</w:t>
      </w:r>
      <w:bookmarkEnd w:id="0"/>
      <w:bookmarkEnd w:id="1"/>
    </w:p>
    <w:p w14:paraId="2A3868A3" w14:textId="53ECA10B" w:rsidR="00943F44" w:rsidRPr="006D59BB" w:rsidRDefault="00943F44"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Projekt ustawy stanowi pierwszy krok w realizacji zapowiedzi polskiego rządu dotyczącej konieczności przeprowadzenia deregulacji w zakresie prawa gospodarczego i administracyjnego, w</w:t>
      </w:r>
      <w:r w:rsidR="00207D27" w:rsidRPr="006D59BB">
        <w:rPr>
          <w:rFonts w:ascii="Times New Roman" w:hAnsi="Times New Roman" w:cs="Times New Roman"/>
          <w:sz w:val="24"/>
          <w:szCs w:val="24"/>
        </w:rPr>
        <w:t xml:space="preserve"> </w:t>
      </w:r>
      <w:r w:rsidRPr="006D59BB">
        <w:rPr>
          <w:rFonts w:ascii="Times New Roman" w:hAnsi="Times New Roman" w:cs="Times New Roman"/>
          <w:sz w:val="24"/>
          <w:szCs w:val="24"/>
        </w:rPr>
        <w:t>tym w</w:t>
      </w:r>
      <w:r w:rsidR="006A71D8" w:rsidRPr="006D59BB">
        <w:rPr>
          <w:rFonts w:ascii="Times New Roman" w:hAnsi="Times New Roman" w:cs="Times New Roman"/>
          <w:sz w:val="24"/>
          <w:szCs w:val="24"/>
        </w:rPr>
        <w:t> </w:t>
      </w:r>
      <w:r w:rsidRPr="006D59BB">
        <w:rPr>
          <w:rFonts w:ascii="Times New Roman" w:hAnsi="Times New Roman" w:cs="Times New Roman"/>
          <w:sz w:val="24"/>
          <w:szCs w:val="24"/>
        </w:rPr>
        <w:t xml:space="preserve">szczególności w kierunku poprawy środowiska prawnego i instytucjonalnego, w którym działają polskie firmy. Zidentyfikowano te obszary, w których można wprowadzić regulacje jeszcze skuteczniej broniące praw przedsiębiorców. </w:t>
      </w:r>
      <w:bookmarkStart w:id="2" w:name="_Hlk159396480"/>
    </w:p>
    <w:bookmarkEnd w:id="2"/>
    <w:p w14:paraId="09F029C9" w14:textId="5F03881A" w:rsidR="00943F44" w:rsidRPr="006D59BB" w:rsidRDefault="00943F44"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 xml:space="preserve">Celem projektowanej ustawy jest wprowadzenie uproszczeń odnoszących się </w:t>
      </w:r>
      <w:r w:rsidR="003B372D" w:rsidRPr="006D59BB">
        <w:rPr>
          <w:rFonts w:ascii="Times New Roman" w:hAnsi="Times New Roman" w:cs="Times New Roman"/>
          <w:sz w:val="24"/>
          <w:szCs w:val="24"/>
        </w:rPr>
        <w:t xml:space="preserve">do </w:t>
      </w:r>
      <w:r w:rsidR="00444517" w:rsidRPr="006D59BB">
        <w:rPr>
          <w:rFonts w:ascii="Times New Roman" w:hAnsi="Times New Roman" w:cs="Times New Roman"/>
          <w:sz w:val="24"/>
          <w:szCs w:val="24"/>
        </w:rPr>
        <w:t xml:space="preserve">działalności gospodarczej na </w:t>
      </w:r>
      <w:r w:rsidRPr="006D59BB">
        <w:rPr>
          <w:rFonts w:ascii="Times New Roman" w:hAnsi="Times New Roman" w:cs="Times New Roman"/>
          <w:sz w:val="24"/>
          <w:szCs w:val="24"/>
        </w:rPr>
        <w:t>etap</w:t>
      </w:r>
      <w:r w:rsidR="00444517" w:rsidRPr="006D59BB">
        <w:rPr>
          <w:rFonts w:ascii="Times New Roman" w:hAnsi="Times New Roman" w:cs="Times New Roman"/>
          <w:sz w:val="24"/>
          <w:szCs w:val="24"/>
        </w:rPr>
        <w:t>ie</w:t>
      </w:r>
      <w:r w:rsidRPr="006D59BB">
        <w:rPr>
          <w:rFonts w:ascii="Times New Roman" w:hAnsi="Times New Roman" w:cs="Times New Roman"/>
          <w:sz w:val="24"/>
          <w:szCs w:val="24"/>
        </w:rPr>
        <w:t xml:space="preserve"> rozpoczynania działalności przez przedsiębiorcę oraz rozwoju jego przedsiębiorstwa w</w:t>
      </w:r>
      <w:r w:rsidR="00444517" w:rsidRPr="006D59BB">
        <w:rPr>
          <w:rFonts w:ascii="Times New Roman" w:hAnsi="Times New Roman" w:cs="Times New Roman"/>
          <w:sz w:val="24"/>
          <w:szCs w:val="24"/>
        </w:rPr>
        <w:t> </w:t>
      </w:r>
      <w:r w:rsidRPr="006D59BB">
        <w:rPr>
          <w:rFonts w:ascii="Times New Roman" w:hAnsi="Times New Roman" w:cs="Times New Roman"/>
          <w:sz w:val="24"/>
          <w:szCs w:val="24"/>
        </w:rPr>
        <w:t xml:space="preserve">kolejnych latach. Nowelizacja obejmie też przepisy dotyczące zasad stanowienia prawa gospodarczego i oceny jego funkcjonowania. W związku z tym, że przyczyną zidentyfikowanych problemów są konkretne przepisy prawne, które nakładają wymogi regulacyjne na obywateli i firmy, realizacja celu przez działania </w:t>
      </w:r>
      <w:proofErr w:type="spellStart"/>
      <w:r w:rsidRPr="006D59BB">
        <w:rPr>
          <w:rFonts w:ascii="Times New Roman" w:hAnsi="Times New Roman" w:cs="Times New Roman"/>
          <w:sz w:val="24"/>
          <w:szCs w:val="24"/>
        </w:rPr>
        <w:t>pozalegislacyjne</w:t>
      </w:r>
      <w:proofErr w:type="spellEnd"/>
      <w:r w:rsidRPr="006D59BB">
        <w:rPr>
          <w:rFonts w:ascii="Times New Roman" w:hAnsi="Times New Roman" w:cs="Times New Roman"/>
          <w:sz w:val="24"/>
          <w:szCs w:val="24"/>
        </w:rPr>
        <w:t xml:space="preserve"> w tym zakresie nie jest możliwa. Przeprowadzenie osobnej nowelizacji każdego z aktów prawnych, w</w:t>
      </w:r>
      <w:r w:rsidR="006A71D8" w:rsidRPr="006D59BB">
        <w:rPr>
          <w:rFonts w:ascii="Times New Roman" w:hAnsi="Times New Roman" w:cs="Times New Roman"/>
          <w:sz w:val="24"/>
          <w:szCs w:val="24"/>
        </w:rPr>
        <w:t> </w:t>
      </w:r>
      <w:r w:rsidRPr="006D59BB">
        <w:rPr>
          <w:rFonts w:ascii="Times New Roman" w:hAnsi="Times New Roman" w:cs="Times New Roman"/>
          <w:sz w:val="24"/>
          <w:szCs w:val="24"/>
        </w:rPr>
        <w:t xml:space="preserve">których zidentyfikowano problemy, wydaje się działaniem nadmiarowym. Z uwagi na liczbę takowych oraz mając na względzie ekonomikę procesu legislacyjnego rekomendowanym rozwiązaniem jest ograniczenie wymogów regulacyjnych w drodze jednej ustawy o charakterze przekrojowym. </w:t>
      </w:r>
    </w:p>
    <w:p w14:paraId="53677368" w14:textId="53B167A6" w:rsidR="00C52194" w:rsidRPr="006D59BB" w:rsidRDefault="00C52194"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Celem proponowanych w projekcie rozwiązań jest zmniejszenie liczby zbędnych i nadmiernych wymogów regulacyjnych, co w konsekwencji przyczyni się do zmniejszenia kosztów przedsiębiorców. Rezultatem będą szybsze i sprawniejsze procedury administracyjne, co przełoży się również na efektywność pracy administracji publicznej. Przewiduje się, że podjęte działania będą stanowić pozytywny impuls dla przedsiębiorców znacząco wpływając na poprawę warunków do podejmowania i wykonywania działalności gospodarczej.</w:t>
      </w:r>
    </w:p>
    <w:p w14:paraId="74AD95C6" w14:textId="4B9666B3" w:rsidR="00FF4C6A" w:rsidRPr="006D59BB" w:rsidRDefault="00FF4C6A"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Przepisy zostały zgrupowane w ramach komponentów:</w:t>
      </w:r>
    </w:p>
    <w:p w14:paraId="4257D620" w14:textId="2DB9BE30" w:rsidR="00FF4C6A" w:rsidRPr="006D59BB" w:rsidRDefault="00FF4C6A" w:rsidP="006D59BB">
      <w:pPr>
        <w:pStyle w:val="Akapitzlist"/>
        <w:numPr>
          <w:ilvl w:val="0"/>
          <w:numId w:val="4"/>
        </w:numPr>
        <w:spacing w:before="120" w:after="0" w:line="360" w:lineRule="auto"/>
        <w:ind w:left="426" w:hanging="426"/>
        <w:jc w:val="both"/>
        <w:rPr>
          <w:rFonts w:ascii="Times New Roman" w:hAnsi="Times New Roman" w:cs="Times New Roman"/>
          <w:sz w:val="24"/>
          <w:szCs w:val="24"/>
        </w:rPr>
      </w:pPr>
      <w:r w:rsidRPr="006D59BB">
        <w:rPr>
          <w:rFonts w:ascii="Times New Roman" w:hAnsi="Times New Roman" w:cs="Times New Roman"/>
          <w:sz w:val="24"/>
          <w:szCs w:val="24"/>
        </w:rPr>
        <w:t>ułatwienia przy podejmowaniu pierwszych kroków w biznesie;</w:t>
      </w:r>
    </w:p>
    <w:p w14:paraId="3EBE5394" w14:textId="34EFA489" w:rsidR="00FF4C6A" w:rsidRPr="006D59BB" w:rsidRDefault="00FF4C6A" w:rsidP="006D59BB">
      <w:pPr>
        <w:pStyle w:val="Akapitzlist"/>
        <w:numPr>
          <w:ilvl w:val="0"/>
          <w:numId w:val="4"/>
        </w:numPr>
        <w:spacing w:before="120" w:after="0" w:line="360" w:lineRule="auto"/>
        <w:ind w:left="426" w:hanging="426"/>
        <w:jc w:val="both"/>
        <w:rPr>
          <w:rFonts w:ascii="Times New Roman" w:hAnsi="Times New Roman" w:cs="Times New Roman"/>
          <w:sz w:val="24"/>
          <w:szCs w:val="24"/>
        </w:rPr>
      </w:pPr>
      <w:r w:rsidRPr="006D59BB">
        <w:rPr>
          <w:rFonts w:ascii="Times New Roman" w:hAnsi="Times New Roman" w:cs="Times New Roman"/>
          <w:sz w:val="24"/>
          <w:szCs w:val="24"/>
        </w:rPr>
        <w:t>prostsze zasady wykonywania działalności gospodarczej;</w:t>
      </w:r>
    </w:p>
    <w:p w14:paraId="2489B751" w14:textId="413706BE" w:rsidR="00FF4C6A" w:rsidRPr="006D59BB" w:rsidRDefault="00FF4C6A" w:rsidP="006D59BB">
      <w:pPr>
        <w:pStyle w:val="Akapitzlist"/>
        <w:numPr>
          <w:ilvl w:val="0"/>
          <w:numId w:val="4"/>
        </w:numPr>
        <w:spacing w:before="120" w:after="0" w:line="360" w:lineRule="auto"/>
        <w:ind w:left="426" w:hanging="426"/>
        <w:jc w:val="both"/>
        <w:rPr>
          <w:rFonts w:ascii="Times New Roman" w:hAnsi="Times New Roman" w:cs="Times New Roman"/>
          <w:sz w:val="24"/>
          <w:szCs w:val="24"/>
        </w:rPr>
      </w:pPr>
      <w:r w:rsidRPr="006D59BB">
        <w:rPr>
          <w:rFonts w:ascii="Times New Roman" w:hAnsi="Times New Roman" w:cs="Times New Roman"/>
          <w:sz w:val="24"/>
          <w:szCs w:val="24"/>
        </w:rPr>
        <w:t>prawo gospodarcze przyjazne przedsiębiorcom.</w:t>
      </w:r>
    </w:p>
    <w:p w14:paraId="7EDCBCA0" w14:textId="4D598AF3" w:rsidR="00433472" w:rsidRPr="006D59BB" w:rsidRDefault="00433472" w:rsidP="006D59BB">
      <w:pPr>
        <w:spacing w:before="120" w:after="0" w:line="360" w:lineRule="auto"/>
        <w:jc w:val="both"/>
        <w:rPr>
          <w:rFonts w:ascii="Times New Roman" w:hAnsi="Times New Roman" w:cs="Times New Roman"/>
          <w:sz w:val="24"/>
          <w:szCs w:val="24"/>
        </w:rPr>
      </w:pPr>
      <w:bookmarkStart w:id="3" w:name="_Hlk185495448"/>
      <w:r w:rsidRPr="006D59BB">
        <w:rPr>
          <w:rFonts w:ascii="Times New Roman" w:hAnsi="Times New Roman" w:cs="Times New Roman"/>
          <w:sz w:val="24"/>
          <w:szCs w:val="24"/>
        </w:rPr>
        <w:t xml:space="preserve">Zagadnienia będące przedmiotem projektu dotyczą kilku obszarów tematycznych, w tym: kontroli działalności gospodarczej, rzemiosła, leasingu, sprawniejszego funkcjonowania </w:t>
      </w:r>
      <w:r w:rsidRPr="006D59BB">
        <w:rPr>
          <w:rFonts w:ascii="Times New Roman" w:hAnsi="Times New Roman" w:cs="Times New Roman"/>
          <w:sz w:val="24"/>
          <w:szCs w:val="24"/>
        </w:rPr>
        <w:lastRenderedPageBreak/>
        <w:t>urzędów, zamówień publicznych, mediacji w ustawie z dnia 14 czerwca 1960 r. – Kodeks postępowania administracyjnego, ochrony i wsparcia przedsiębiorczości.</w:t>
      </w:r>
    </w:p>
    <w:bookmarkEnd w:id="3"/>
    <w:p w14:paraId="1CEB02F2" w14:textId="77777777" w:rsidR="00433472" w:rsidRPr="006D59BB" w:rsidRDefault="00433472" w:rsidP="006D59BB">
      <w:pPr>
        <w:spacing w:before="120" w:after="0" w:line="360" w:lineRule="auto"/>
        <w:jc w:val="both"/>
        <w:rPr>
          <w:rFonts w:ascii="Times New Roman" w:hAnsi="Times New Roman" w:cs="Times New Roman"/>
          <w:sz w:val="24"/>
          <w:szCs w:val="24"/>
        </w:rPr>
      </w:pPr>
    </w:p>
    <w:p w14:paraId="716A34F9" w14:textId="47CF8F56" w:rsidR="00950267" w:rsidRPr="006D59BB" w:rsidRDefault="006D600F" w:rsidP="006D59BB">
      <w:pPr>
        <w:pStyle w:val="Nagwek1"/>
        <w:numPr>
          <w:ilvl w:val="0"/>
          <w:numId w:val="3"/>
        </w:numPr>
        <w:tabs>
          <w:tab w:val="left" w:pos="426"/>
        </w:tabs>
        <w:spacing w:before="120" w:after="0" w:line="360" w:lineRule="auto"/>
        <w:ind w:left="0" w:firstLine="0"/>
        <w:jc w:val="both"/>
        <w:rPr>
          <w:rFonts w:ascii="Times New Roman" w:hAnsi="Times New Roman" w:cs="Times New Roman"/>
          <w:b/>
          <w:bCs/>
          <w:color w:val="auto"/>
          <w:sz w:val="24"/>
          <w:szCs w:val="24"/>
        </w:rPr>
      </w:pPr>
      <w:bookmarkStart w:id="4" w:name="_Toc192358908"/>
      <w:r w:rsidRPr="006D59BB">
        <w:rPr>
          <w:rFonts w:ascii="Times New Roman" w:hAnsi="Times New Roman" w:cs="Times New Roman"/>
          <w:b/>
          <w:bCs/>
          <w:color w:val="auto"/>
          <w:sz w:val="24"/>
          <w:szCs w:val="24"/>
        </w:rPr>
        <w:t>Omówienie zmian zawartych w projekcie ustawy</w:t>
      </w:r>
      <w:bookmarkEnd w:id="4"/>
    </w:p>
    <w:p w14:paraId="02CB25C9" w14:textId="11AEE83A" w:rsidR="00950267" w:rsidRPr="006D59BB" w:rsidRDefault="00950267" w:rsidP="006D59BB">
      <w:pPr>
        <w:pStyle w:val="Styl1"/>
        <w:spacing w:before="120" w:after="0" w:line="360" w:lineRule="auto"/>
        <w:rPr>
          <w:sz w:val="24"/>
          <w:szCs w:val="24"/>
        </w:rPr>
      </w:pPr>
      <w:bookmarkStart w:id="5" w:name="_Toc139627313"/>
      <w:bookmarkStart w:id="6" w:name="_Toc192358909"/>
      <w:r w:rsidRPr="006D59BB">
        <w:rPr>
          <w:sz w:val="24"/>
          <w:szCs w:val="24"/>
        </w:rPr>
        <w:t>Ustawa z dnia 14 czerwca 1960 r. – Kodeks postępowania administracyjnego</w:t>
      </w:r>
      <w:bookmarkEnd w:id="5"/>
      <w:bookmarkEnd w:id="6"/>
    </w:p>
    <w:p w14:paraId="18C4F62F" w14:textId="5913238A" w:rsidR="005C40BC" w:rsidRPr="006D59BB" w:rsidRDefault="003D2111" w:rsidP="006D59BB">
      <w:pPr>
        <w:pStyle w:val="Akapitzlist"/>
        <w:numPr>
          <w:ilvl w:val="0"/>
          <w:numId w:val="1"/>
        </w:numPr>
        <w:tabs>
          <w:tab w:val="left" w:pos="426"/>
        </w:tabs>
        <w:spacing w:before="120" w:after="0" w:line="360" w:lineRule="auto"/>
        <w:ind w:left="0" w:firstLine="0"/>
        <w:jc w:val="both"/>
        <w:rPr>
          <w:rFonts w:ascii="Times New Roman" w:hAnsi="Times New Roman" w:cs="Times New Roman"/>
          <w:sz w:val="24"/>
          <w:szCs w:val="24"/>
        </w:rPr>
      </w:pPr>
      <w:r w:rsidRPr="006D59BB">
        <w:rPr>
          <w:rFonts w:ascii="Times New Roman" w:hAnsi="Times New Roman" w:cs="Times New Roman"/>
          <w:sz w:val="24"/>
          <w:szCs w:val="24"/>
        </w:rPr>
        <w:t>D</w:t>
      </w:r>
      <w:r w:rsidR="005C40BC" w:rsidRPr="006D59BB">
        <w:rPr>
          <w:rFonts w:ascii="Times New Roman" w:hAnsi="Times New Roman" w:cs="Times New Roman"/>
          <w:sz w:val="24"/>
          <w:szCs w:val="24"/>
        </w:rPr>
        <w:t>oręczenie zastępcze</w:t>
      </w:r>
      <w:r w:rsidR="002A6303" w:rsidRPr="006D59BB">
        <w:rPr>
          <w:rFonts w:ascii="Times New Roman" w:hAnsi="Times New Roman" w:cs="Times New Roman"/>
          <w:sz w:val="24"/>
          <w:szCs w:val="24"/>
        </w:rPr>
        <w:t>.</w:t>
      </w:r>
      <w:r w:rsidR="005C40BC" w:rsidRPr="006D59BB">
        <w:rPr>
          <w:rFonts w:ascii="Times New Roman" w:hAnsi="Times New Roman" w:cs="Times New Roman"/>
          <w:sz w:val="24"/>
          <w:szCs w:val="24"/>
        </w:rPr>
        <w:t xml:space="preserve"> </w:t>
      </w:r>
    </w:p>
    <w:p w14:paraId="5725271D" w14:textId="77777777" w:rsidR="005C40BC" w:rsidRPr="006D59BB" w:rsidRDefault="005C40BC"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 xml:space="preserve">Obecnie obowiązujące regulacje w zakresie doręczeń nie regulują w pełni sytuacji, gdy siedziba osoby prawnej lub jednostki organizacyjnej nieposiadającej osobowości prawnej nie istnieje lub z innego powodu nie jest możliwa do ustalenia. </w:t>
      </w:r>
    </w:p>
    <w:p w14:paraId="475A6CA9" w14:textId="40FCCD59" w:rsidR="005C40BC" w:rsidRPr="006D59BB" w:rsidRDefault="005C40BC"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Problem ten jest szczególnie widoczny w przypadku administracyjnych postępowań egzekucyjnych, do których odpowiednie stosowanie mają także przepisy K</w:t>
      </w:r>
      <w:r w:rsidR="00C2495E" w:rsidRPr="006D59BB">
        <w:rPr>
          <w:rFonts w:ascii="Times New Roman" w:hAnsi="Times New Roman" w:cs="Times New Roman"/>
          <w:sz w:val="24"/>
          <w:szCs w:val="24"/>
        </w:rPr>
        <w:t>odeksu postępowania administracyjnego (dalej też: Kpa)</w:t>
      </w:r>
      <w:r w:rsidRPr="006D59BB">
        <w:rPr>
          <w:rFonts w:ascii="Times New Roman" w:hAnsi="Times New Roman" w:cs="Times New Roman"/>
          <w:sz w:val="24"/>
          <w:szCs w:val="24"/>
        </w:rPr>
        <w:t xml:space="preserve">. Brak możliwości ustalenia adresu tych podmiotów może utrudniać, a niekiedy uniemożliwiać podejmowanie wobec nich czynności egzekucyjnych na skutek utrzymywania w odpowiednich rejestrach, w tym w Krajowym Rejestrze Sądowym nieaktualnych danych dotyczących adresu siedziby. </w:t>
      </w:r>
    </w:p>
    <w:p w14:paraId="73076329" w14:textId="75B938BB" w:rsidR="005C40BC" w:rsidRPr="006D59BB" w:rsidRDefault="005C40BC"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W celu podniesienia skuteczności działania organów proponuje się wprowadzenie art. 45a Kpa przewidującego konstrukcję doręczenia pism osobom prawnym i jednostkom organizacyjnym nieposiadającym osobowości prawnej przez wykreowanie tzw. wtórnego adresata pisma oraz wykorzystanie fikcji prawnej doręczenia. Projektowane zasady będą miały zastosowanie jedynie w</w:t>
      </w:r>
      <w:r w:rsidR="00821E81" w:rsidRPr="006D59BB">
        <w:rPr>
          <w:rFonts w:ascii="Times New Roman" w:hAnsi="Times New Roman" w:cs="Times New Roman"/>
          <w:sz w:val="24"/>
          <w:szCs w:val="24"/>
        </w:rPr>
        <w:t> </w:t>
      </w:r>
      <w:r w:rsidRPr="006D59BB">
        <w:rPr>
          <w:rFonts w:ascii="Times New Roman" w:hAnsi="Times New Roman" w:cs="Times New Roman"/>
          <w:sz w:val="24"/>
          <w:szCs w:val="24"/>
        </w:rPr>
        <w:t>przypadkach, gdy adres ich siedziby nie istnieje, został wykreślony z rejestru lub jest niezgodny z</w:t>
      </w:r>
      <w:r w:rsidR="00821E81" w:rsidRPr="006D59BB">
        <w:rPr>
          <w:rFonts w:ascii="Times New Roman" w:hAnsi="Times New Roman" w:cs="Times New Roman"/>
          <w:sz w:val="24"/>
          <w:szCs w:val="24"/>
        </w:rPr>
        <w:t> </w:t>
      </w:r>
      <w:r w:rsidRPr="006D59BB">
        <w:rPr>
          <w:rFonts w:ascii="Times New Roman" w:hAnsi="Times New Roman" w:cs="Times New Roman"/>
          <w:sz w:val="24"/>
          <w:szCs w:val="24"/>
        </w:rPr>
        <w:t xml:space="preserve">odpowiednim rejestrem i nie można ustalić </w:t>
      </w:r>
      <w:r w:rsidR="003057CA" w:rsidRPr="006D59BB">
        <w:rPr>
          <w:rFonts w:ascii="Times New Roman" w:hAnsi="Times New Roman" w:cs="Times New Roman"/>
          <w:sz w:val="24"/>
          <w:szCs w:val="24"/>
        </w:rPr>
        <w:t>adresu siedziby.</w:t>
      </w:r>
      <w:r w:rsidRPr="006D59BB">
        <w:rPr>
          <w:rFonts w:ascii="Times New Roman" w:hAnsi="Times New Roman" w:cs="Times New Roman"/>
          <w:sz w:val="24"/>
          <w:szCs w:val="24"/>
        </w:rPr>
        <w:t xml:space="preserve"> </w:t>
      </w:r>
    </w:p>
    <w:p w14:paraId="7D741EF1" w14:textId="22640800" w:rsidR="005C40BC" w:rsidRPr="006D59BB" w:rsidRDefault="005C40BC"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 xml:space="preserve">Należy zauważyć, że obecnie Kpa przewiduje już doręczenia zastępcze. W obecnym stanie prawnym obowiązuje zasada, że każde pismo kierowane do spółki (m.in. decyzje, postanowienia, pisma w toku postępowania) powinno zostać jej doręczone w lokalu siedziby do rąk osoby uprawnionej (art. 45 zdanie </w:t>
      </w:r>
      <w:r w:rsidR="008A4B55" w:rsidRPr="006D59BB">
        <w:rPr>
          <w:rFonts w:ascii="Times New Roman" w:hAnsi="Times New Roman" w:cs="Times New Roman"/>
          <w:sz w:val="24"/>
          <w:szCs w:val="24"/>
        </w:rPr>
        <w:t>pierwsze</w:t>
      </w:r>
      <w:r w:rsidRPr="006D59BB">
        <w:rPr>
          <w:rFonts w:ascii="Times New Roman" w:hAnsi="Times New Roman" w:cs="Times New Roman"/>
          <w:sz w:val="24"/>
          <w:szCs w:val="24"/>
        </w:rPr>
        <w:t xml:space="preserve"> Kpa). Zgodnie z art. 45 zdanie drugie Kpa przepis art. 44 Kpa stosuje się odpowiednio. W</w:t>
      </w:r>
      <w:r w:rsidR="004C765C" w:rsidRPr="006D59BB">
        <w:rPr>
          <w:rFonts w:ascii="Times New Roman" w:hAnsi="Times New Roman" w:cs="Times New Roman"/>
          <w:sz w:val="24"/>
          <w:szCs w:val="24"/>
        </w:rPr>
        <w:t> </w:t>
      </w:r>
      <w:r w:rsidRPr="006D59BB">
        <w:rPr>
          <w:rFonts w:ascii="Times New Roman" w:hAnsi="Times New Roman" w:cs="Times New Roman"/>
          <w:sz w:val="24"/>
          <w:szCs w:val="24"/>
        </w:rPr>
        <w:t>związku z tym w razie niemożności doręczenia spółce pisma w sposób opisany powyżej,</w:t>
      </w:r>
      <w:r w:rsidR="00C52194" w:rsidRPr="006D59BB">
        <w:rPr>
          <w:rFonts w:ascii="Times New Roman" w:hAnsi="Times New Roman" w:cs="Times New Roman"/>
          <w:sz w:val="24"/>
          <w:szCs w:val="24"/>
        </w:rPr>
        <w:t xml:space="preserve"> doręczyciel </w:t>
      </w:r>
      <w:r w:rsidRPr="006D59BB">
        <w:rPr>
          <w:rFonts w:ascii="Times New Roman" w:hAnsi="Times New Roman" w:cs="Times New Roman"/>
          <w:sz w:val="24"/>
          <w:szCs w:val="24"/>
        </w:rPr>
        <w:t>(z</w:t>
      </w:r>
      <w:r w:rsidR="00821E81" w:rsidRPr="006D59BB">
        <w:rPr>
          <w:rFonts w:ascii="Times New Roman" w:hAnsi="Times New Roman" w:cs="Times New Roman"/>
          <w:sz w:val="24"/>
          <w:szCs w:val="24"/>
        </w:rPr>
        <w:t> </w:t>
      </w:r>
      <w:r w:rsidRPr="006D59BB">
        <w:rPr>
          <w:rFonts w:ascii="Times New Roman" w:hAnsi="Times New Roman" w:cs="Times New Roman"/>
          <w:sz w:val="24"/>
          <w:szCs w:val="24"/>
        </w:rPr>
        <w:t xml:space="preserve">reguły jest nim operator pocztowy), obowiązany jest przechować pismo przez 14 dni w placówce pocztowej (art. 44 § 1 pkt. 1 Kpa stosowany odpowiednio) oraz pozostawić adresatowi, czyli spółce zawiadomienie z informacją o możliwości jego odbioru w placówce pocztowej w terminie 7 dni, licząc od daty pozostawienia zawiadomienia. Samo zawiadomienie zaś doręczyciel powinien umieścić </w:t>
      </w:r>
      <w:r w:rsidRPr="006D59BB">
        <w:rPr>
          <w:rFonts w:ascii="Times New Roman" w:hAnsi="Times New Roman" w:cs="Times New Roman"/>
          <w:sz w:val="24"/>
          <w:szCs w:val="24"/>
        </w:rPr>
        <w:lastRenderedPageBreak/>
        <w:t>w</w:t>
      </w:r>
      <w:r w:rsidR="00E6226B" w:rsidRPr="006D59BB">
        <w:rPr>
          <w:rFonts w:ascii="Times New Roman" w:hAnsi="Times New Roman" w:cs="Times New Roman"/>
          <w:sz w:val="24"/>
          <w:szCs w:val="24"/>
        </w:rPr>
        <w:t> </w:t>
      </w:r>
      <w:r w:rsidRPr="006D59BB">
        <w:rPr>
          <w:rFonts w:ascii="Times New Roman" w:hAnsi="Times New Roman" w:cs="Times New Roman"/>
          <w:sz w:val="24"/>
          <w:szCs w:val="24"/>
        </w:rPr>
        <w:t>skrzynce pocztowej spółki lub, gdy nie jest to możliwe, na drzwiach lokalu siedziby spółki lub w</w:t>
      </w:r>
      <w:r w:rsidR="00821E81" w:rsidRPr="006D59BB">
        <w:rPr>
          <w:rFonts w:ascii="Times New Roman" w:hAnsi="Times New Roman" w:cs="Times New Roman"/>
          <w:sz w:val="24"/>
          <w:szCs w:val="24"/>
        </w:rPr>
        <w:t> </w:t>
      </w:r>
      <w:r w:rsidRPr="006D59BB">
        <w:rPr>
          <w:rFonts w:ascii="Times New Roman" w:hAnsi="Times New Roman" w:cs="Times New Roman"/>
          <w:sz w:val="24"/>
          <w:szCs w:val="24"/>
        </w:rPr>
        <w:t>widocznym miejscu przy wejściu na teren, do którego spółka ma wyłączny tytuł prawny (art. 44 § 2 Kpa stosowany odpowiednio).</w:t>
      </w:r>
      <w:r w:rsidR="00C656EB">
        <w:rPr>
          <w:rFonts w:ascii="Times New Roman" w:hAnsi="Times New Roman" w:cs="Times New Roman"/>
          <w:sz w:val="24"/>
          <w:szCs w:val="24"/>
        </w:rPr>
        <w:t xml:space="preserve"> </w:t>
      </w:r>
    </w:p>
    <w:p w14:paraId="6AD3F7EA" w14:textId="27F3EFD4" w:rsidR="005C40BC" w:rsidRPr="006D59BB" w:rsidRDefault="005C40BC"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Jeśli zaś spółka nie podejmie przesyłki w terminie, doręczyciel obowiązany jest pozostawić powtórne zawiadomienie o możliwości odbioru przesyłki, przy czym termin odbioru określa się wówczas jako nie dłuższy niż 14 dni od daty pierwszego zawiadomienia (art. 44 § 3 Kpa). Gdy spółka nie podejmie pisma po drugim zawiadomieniu, doręczenie pisma będzie uznane za dokonane z upływem czternastego dnia od daty pozostawienia przez pocztę pierwszego zawiadomienia o przesyłce (art. 44 § 4 Kpa), co innymi słowy oznaczać będzie przyjęcie w postępowaniu administracyjnym tzw. fikcji doręczenia. Należy podkreślić jednak, że ww. fikcja doręczenia odnosi się wyłącznie bezpośrednio do adresata pisma. W</w:t>
      </w:r>
      <w:r w:rsidR="00E6226B" w:rsidRPr="006D59BB">
        <w:rPr>
          <w:rFonts w:ascii="Times New Roman" w:hAnsi="Times New Roman" w:cs="Times New Roman"/>
          <w:sz w:val="24"/>
          <w:szCs w:val="24"/>
        </w:rPr>
        <w:t> </w:t>
      </w:r>
      <w:r w:rsidRPr="006D59BB">
        <w:rPr>
          <w:rFonts w:ascii="Times New Roman" w:hAnsi="Times New Roman" w:cs="Times New Roman"/>
          <w:sz w:val="24"/>
          <w:szCs w:val="24"/>
        </w:rPr>
        <w:t>postanowieniu z dnia 8 stycznia 2015 r. (sygn. akt II GSK 2769/14) NSA podkreślił przesłanki dopuszczalności fikcji doręczenia: „Zgodnie z art. 40 § 1 Kpa pisma doręcza się stronie. Zatem pismo skierowane do osoby prawnej zawierające decyzję dotyczącą spółki z o.o. powinno być skierowane do tej spółki a nie do członka zarządu spółki. Zgodnie z art. 45 Kpa jednostkom organizacyjnym, a w tej grupie mieszczą się także osoby prawne, do których należą spółki z o.o., pisma doręcza się w lokalu ich siedziby do rąk osób uprawnionych do odbioru pism. Zatem pismo skierowane do spółki z o.o. powinno być doręczone na adres spółki.”</w:t>
      </w:r>
      <w:r w:rsidR="00433472" w:rsidRPr="006D59BB">
        <w:rPr>
          <w:rFonts w:ascii="Times New Roman" w:hAnsi="Times New Roman" w:cs="Times New Roman"/>
          <w:sz w:val="24"/>
          <w:szCs w:val="24"/>
        </w:rPr>
        <w:t>.</w:t>
      </w:r>
      <w:r w:rsidRPr="006D59BB">
        <w:rPr>
          <w:rFonts w:ascii="Times New Roman" w:hAnsi="Times New Roman" w:cs="Times New Roman"/>
          <w:sz w:val="24"/>
          <w:szCs w:val="24"/>
        </w:rPr>
        <w:t xml:space="preserve"> W związku z tym, w celu podniesienia skuteczności działania organów administracji publicznej, dodatkowo, wprowadza się możliwość doręczenia pisma osobie fizycznej upoważnionej do reprezentowania adresata, będącego osobą prawną lub jednostką organizacyjną nieposiadającą osobowości prawnej, także wtedy, gdy reprezentacja ma charakter łączny z innymi osobami, gdy podany przez osobę prawną lub jednostkę organizacyjną niemającą osobowości prawnej adres jej siedziby nie istnieje, adres został wykreślony z</w:t>
      </w:r>
      <w:r w:rsidR="00821E81" w:rsidRPr="006D59BB">
        <w:rPr>
          <w:rFonts w:ascii="Times New Roman" w:hAnsi="Times New Roman" w:cs="Times New Roman"/>
          <w:sz w:val="24"/>
          <w:szCs w:val="24"/>
        </w:rPr>
        <w:t> </w:t>
      </w:r>
      <w:r w:rsidRPr="006D59BB">
        <w:rPr>
          <w:rFonts w:ascii="Times New Roman" w:hAnsi="Times New Roman" w:cs="Times New Roman"/>
          <w:sz w:val="24"/>
          <w:szCs w:val="24"/>
        </w:rPr>
        <w:t xml:space="preserve">rejestru lub jest niezgodny z odpowiednim rejestrem i nie można ustalić </w:t>
      </w:r>
      <w:r w:rsidR="003057CA" w:rsidRPr="006D59BB">
        <w:rPr>
          <w:rFonts w:ascii="Times New Roman" w:hAnsi="Times New Roman" w:cs="Times New Roman"/>
          <w:sz w:val="24"/>
          <w:szCs w:val="24"/>
        </w:rPr>
        <w:t>adresu siedziby</w:t>
      </w:r>
      <w:r w:rsidRPr="006D59BB">
        <w:rPr>
          <w:rFonts w:ascii="Times New Roman" w:hAnsi="Times New Roman" w:cs="Times New Roman"/>
          <w:sz w:val="24"/>
          <w:szCs w:val="24"/>
        </w:rPr>
        <w:t>. Należy zauważyć, że przepis ten będzie miał zastosowanie zarówno do postępowań wszczynanych na wniosek, jak i z urzędu.</w:t>
      </w:r>
      <w:r w:rsidR="003057CA" w:rsidRPr="006D59BB">
        <w:rPr>
          <w:rFonts w:ascii="Times New Roman" w:hAnsi="Times New Roman" w:cs="Times New Roman"/>
          <w:sz w:val="24"/>
          <w:szCs w:val="24"/>
        </w:rPr>
        <w:t xml:space="preserve"> Przepis ten będzie miał zastosowanie tylko w razie braku skutecznego doręczenia pisma w sposób wskazany w art. 45 Kpa z powodów, o</w:t>
      </w:r>
      <w:r w:rsidR="00E6226B" w:rsidRPr="006D59BB">
        <w:rPr>
          <w:rFonts w:ascii="Times New Roman" w:hAnsi="Times New Roman" w:cs="Times New Roman"/>
          <w:sz w:val="24"/>
          <w:szCs w:val="24"/>
        </w:rPr>
        <w:t> </w:t>
      </w:r>
      <w:r w:rsidR="003057CA" w:rsidRPr="006D59BB">
        <w:rPr>
          <w:rFonts w:ascii="Times New Roman" w:hAnsi="Times New Roman" w:cs="Times New Roman"/>
          <w:sz w:val="24"/>
          <w:szCs w:val="24"/>
        </w:rPr>
        <w:t xml:space="preserve">których mowa w art. 45a § 1 Kpa. </w:t>
      </w:r>
      <w:r w:rsidRPr="006D59BB">
        <w:rPr>
          <w:rFonts w:ascii="Times New Roman" w:hAnsi="Times New Roman" w:cs="Times New Roman"/>
          <w:sz w:val="24"/>
          <w:szCs w:val="24"/>
        </w:rPr>
        <w:t xml:space="preserve">Jednocześnie powyższy przepis może przyczynić się m.in. do skuteczności postępowań egzekucyjnych w administracji. Zgodnie z art. 26 § 1 ustawy z dnia 17 czerwca 1966 r. o postępowaniu egzekucyjnym w administracji postępowanie egzekucyjne wszczyna się na wniosek wierzyciela o wszczęcie egzekucji administracyjnej i na podstawie wystawionego przez niego tytułu wykonawczego, sporządzonego według ustalonego wzoru. Zgodnie natomiast z art. 18 ustawy o postępowaniu </w:t>
      </w:r>
      <w:r w:rsidRPr="006D59BB">
        <w:rPr>
          <w:rFonts w:ascii="Times New Roman" w:hAnsi="Times New Roman" w:cs="Times New Roman"/>
          <w:sz w:val="24"/>
          <w:szCs w:val="24"/>
        </w:rPr>
        <w:lastRenderedPageBreak/>
        <w:t>egzekucyjnym w administracji, jeżeli przepisy niniejszej ustawy nie stanowią inaczej, w postępowaniu egzekucyjnym mają odpowiednie zastosowanie przepisy Kodeksu postępowania administracyjnego. Kwestie doręczeń nie zostały uregulowane w ustawie o</w:t>
      </w:r>
      <w:r w:rsidR="00821E81" w:rsidRPr="006D59BB">
        <w:rPr>
          <w:rFonts w:ascii="Times New Roman" w:hAnsi="Times New Roman" w:cs="Times New Roman"/>
          <w:sz w:val="24"/>
          <w:szCs w:val="24"/>
        </w:rPr>
        <w:t> </w:t>
      </w:r>
      <w:r w:rsidRPr="006D59BB">
        <w:rPr>
          <w:rFonts w:ascii="Times New Roman" w:hAnsi="Times New Roman" w:cs="Times New Roman"/>
          <w:sz w:val="24"/>
          <w:szCs w:val="24"/>
        </w:rPr>
        <w:t>postępowaniu egzekucyjnym w administracji. W związku z tym uregulowanie w Kpa dodatkowej fikcji doręczenia spowoduje większą skuteczność organów administracji publicznej w dochodzeniu należności.</w:t>
      </w:r>
    </w:p>
    <w:p w14:paraId="7DECB267" w14:textId="7760B96A" w:rsidR="003057CA" w:rsidRPr="006D59BB" w:rsidRDefault="003057CA"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 xml:space="preserve">W art. 45a § 3 Kpa przyjęto, że pismo należy doręczyć na ustalony przez organ administracji publicznej adres osoby fizycznej upoważnionej do reprezentowania adresata. </w:t>
      </w:r>
      <w:r w:rsidR="005C40BC" w:rsidRPr="006D59BB">
        <w:rPr>
          <w:rFonts w:ascii="Times New Roman" w:hAnsi="Times New Roman" w:cs="Times New Roman"/>
          <w:sz w:val="24"/>
          <w:szCs w:val="24"/>
        </w:rPr>
        <w:t xml:space="preserve">Adresy osób fizycznych upoważnionych do reprezentowania w/w podmiotów są dostępne w rejestrach, w tym w Krajowym Rejestrze Sądowym lub mogą być znane organowi administracji publicznej z urzędu. </w:t>
      </w:r>
      <w:r w:rsidRPr="006D59BB">
        <w:rPr>
          <w:rFonts w:ascii="Times New Roman" w:hAnsi="Times New Roman" w:cs="Times New Roman"/>
          <w:sz w:val="24"/>
          <w:szCs w:val="24"/>
        </w:rPr>
        <w:t>Zgodnie z art. 10 ust. 1 ustawy z dnia 20 sierpnia 1997 r. o Krajowym Rejestrze Sądowym każdy ma prawo przeglądania akt rejestrowych podmiotów wpisanych do Rejestru oraz zbioru dokumentów, o którym mowa w art. 9 ust. 6, chyba że ustawa stanowi inaczej. W myśl natomiast art. 19a ust. 5 ustawy o</w:t>
      </w:r>
      <w:r w:rsidR="00E6226B" w:rsidRPr="006D59BB">
        <w:rPr>
          <w:rFonts w:ascii="Times New Roman" w:hAnsi="Times New Roman" w:cs="Times New Roman"/>
          <w:sz w:val="24"/>
          <w:szCs w:val="24"/>
        </w:rPr>
        <w:t> </w:t>
      </w:r>
      <w:r w:rsidRPr="006D59BB">
        <w:rPr>
          <w:rFonts w:ascii="Times New Roman" w:hAnsi="Times New Roman" w:cs="Times New Roman"/>
          <w:sz w:val="24"/>
          <w:szCs w:val="24"/>
        </w:rPr>
        <w:t>Krajowym Rejestrze Sądowym do wniosku o wpis osób reprezentujących podmiot wpisany do Rejestru, likwidatorów i</w:t>
      </w:r>
      <w:r w:rsidR="006F3E02" w:rsidRPr="006D59BB">
        <w:rPr>
          <w:rFonts w:ascii="Times New Roman" w:hAnsi="Times New Roman" w:cs="Times New Roman"/>
          <w:sz w:val="24"/>
          <w:szCs w:val="24"/>
        </w:rPr>
        <w:t> </w:t>
      </w:r>
      <w:r w:rsidRPr="006D59BB">
        <w:rPr>
          <w:rFonts w:ascii="Times New Roman" w:hAnsi="Times New Roman" w:cs="Times New Roman"/>
          <w:sz w:val="24"/>
          <w:szCs w:val="24"/>
        </w:rPr>
        <w:t>prokurentów należy dołączyć oświadczenia tych osób obejmujące zgodę na ich powołanie oraz ich adresy do doręczeń. Wymogu dołączenia oświadczenia obejmującego zgodę nie stosuje się, jeżeli wniosek o wpis jest podpisany przez osobę, która podlega wpisowi albo która udzieliła pełnomocnictwa do złożenia wniosku o wpis, albo której zgoda jest wyrażona w protokole z posiedzenia organu powołującego daną osobę lub w umowie spółki. Natomiast do zgłoszenia spółki kapitałowej do Rejestru należy dołączyć listę obejmującą nazwisko i imię oraz adres do doręczeń albo firmę lub nazwę i siedzibę członków organów lub osób uprawnionych do powołania zarządu. W przypadku gdy wspólnikiem jest osoba prawna, należy podać imiona i nazwiska oraz adresy do doręczeń członków organu uprawnionego do reprezentowania tej osoby prawnej. Każdorazową zmianę tych osób oraz danych tych osób należy zgłosić sądowi rejestrowemu, przedkładając nową listę (art. 19a ust. 5d ustawy o Krajowym Rejestrze Sądowym).</w:t>
      </w:r>
    </w:p>
    <w:p w14:paraId="60DAA94B" w14:textId="7CA99155" w:rsidR="005C40BC" w:rsidRPr="006D59BB" w:rsidRDefault="005C40BC"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 xml:space="preserve">Niemniej przepis w proponowanym art. 45a § </w:t>
      </w:r>
      <w:r w:rsidR="003057CA" w:rsidRPr="006D59BB">
        <w:rPr>
          <w:rFonts w:ascii="Times New Roman" w:hAnsi="Times New Roman" w:cs="Times New Roman"/>
          <w:sz w:val="24"/>
          <w:szCs w:val="24"/>
        </w:rPr>
        <w:t>3</w:t>
      </w:r>
      <w:r w:rsidRPr="006D59BB">
        <w:rPr>
          <w:rFonts w:ascii="Times New Roman" w:hAnsi="Times New Roman" w:cs="Times New Roman"/>
          <w:sz w:val="24"/>
          <w:szCs w:val="24"/>
        </w:rPr>
        <w:t xml:space="preserve"> Kpa przewiduje przyjęcie fikcji doręczenia, gdyby, z</w:t>
      </w:r>
      <w:r w:rsidR="00E6226B" w:rsidRPr="006D59BB">
        <w:rPr>
          <w:rFonts w:ascii="Times New Roman" w:hAnsi="Times New Roman" w:cs="Times New Roman"/>
          <w:sz w:val="24"/>
          <w:szCs w:val="24"/>
        </w:rPr>
        <w:t> </w:t>
      </w:r>
      <w:r w:rsidRPr="006D59BB">
        <w:rPr>
          <w:rFonts w:ascii="Times New Roman" w:hAnsi="Times New Roman" w:cs="Times New Roman"/>
          <w:sz w:val="24"/>
          <w:szCs w:val="24"/>
        </w:rPr>
        <w:t>jakiś powodów, adresy nie były możliwe do ustalenia. W przypadku gdy organ administracji publicznej nie będzie w stanie ustalić adresu osoby fizycznej upoważnionej do reprezentowania osoby prawnej czy też jednostki organizacyjnej nieposiadającej osobowości prawnej, tj. podjęte czynności w</w:t>
      </w:r>
      <w:r w:rsidR="004378D7" w:rsidRPr="006D59BB">
        <w:rPr>
          <w:rFonts w:ascii="Times New Roman" w:hAnsi="Times New Roman" w:cs="Times New Roman"/>
          <w:sz w:val="24"/>
          <w:szCs w:val="24"/>
        </w:rPr>
        <w:t> </w:t>
      </w:r>
      <w:r w:rsidRPr="006D59BB">
        <w:rPr>
          <w:rFonts w:ascii="Times New Roman" w:hAnsi="Times New Roman" w:cs="Times New Roman"/>
          <w:sz w:val="24"/>
          <w:szCs w:val="24"/>
        </w:rPr>
        <w:t>postaci sprawdzenia treści wpisów do odpowiednich rejestrów nie pozwoliły na ustalenie ww. danych</w:t>
      </w:r>
      <w:r w:rsidR="00433472" w:rsidRPr="006D59BB">
        <w:rPr>
          <w:rFonts w:ascii="Times New Roman" w:hAnsi="Times New Roman" w:cs="Times New Roman"/>
          <w:sz w:val="24"/>
          <w:szCs w:val="24"/>
        </w:rPr>
        <w:t>,</w:t>
      </w:r>
      <w:r w:rsidRPr="006D59BB">
        <w:rPr>
          <w:rFonts w:ascii="Times New Roman" w:hAnsi="Times New Roman" w:cs="Times New Roman"/>
          <w:sz w:val="24"/>
          <w:szCs w:val="24"/>
        </w:rPr>
        <w:t xml:space="preserve"> a inny aktualny adres tej osoby fizycznej nie jest znany organowi, to w takiej sytuacji pismo pozostawia się w aktach sprawy wraz z odpowiednią </w:t>
      </w:r>
      <w:r w:rsidRPr="006D59BB">
        <w:rPr>
          <w:rFonts w:ascii="Times New Roman" w:hAnsi="Times New Roman" w:cs="Times New Roman"/>
          <w:sz w:val="24"/>
          <w:szCs w:val="24"/>
        </w:rPr>
        <w:lastRenderedPageBreak/>
        <w:t>adnotacją pracownika organu o</w:t>
      </w:r>
      <w:r w:rsidR="00821E81" w:rsidRPr="006D59BB">
        <w:rPr>
          <w:rFonts w:ascii="Times New Roman" w:hAnsi="Times New Roman" w:cs="Times New Roman"/>
          <w:sz w:val="24"/>
          <w:szCs w:val="24"/>
        </w:rPr>
        <w:t> </w:t>
      </w:r>
      <w:r w:rsidRPr="006D59BB">
        <w:rPr>
          <w:rFonts w:ascii="Times New Roman" w:hAnsi="Times New Roman" w:cs="Times New Roman"/>
          <w:sz w:val="24"/>
          <w:szCs w:val="24"/>
        </w:rPr>
        <w:t>poczynionych ustaleniach, a</w:t>
      </w:r>
      <w:r w:rsidR="004378D7" w:rsidRPr="006D59BB">
        <w:rPr>
          <w:rFonts w:ascii="Times New Roman" w:hAnsi="Times New Roman" w:cs="Times New Roman"/>
          <w:sz w:val="24"/>
          <w:szCs w:val="24"/>
        </w:rPr>
        <w:t> </w:t>
      </w:r>
      <w:r w:rsidRPr="006D59BB">
        <w:rPr>
          <w:rFonts w:ascii="Times New Roman" w:hAnsi="Times New Roman" w:cs="Times New Roman"/>
          <w:sz w:val="24"/>
          <w:szCs w:val="24"/>
        </w:rPr>
        <w:t xml:space="preserve">datę sporządzenia tej adnotacji uznaje się za datę doręczenia pisma tej osobie fizycznej. Dodatkowo, w ramach § </w:t>
      </w:r>
      <w:r w:rsidR="003057CA" w:rsidRPr="006D59BB">
        <w:rPr>
          <w:rFonts w:ascii="Times New Roman" w:hAnsi="Times New Roman" w:cs="Times New Roman"/>
          <w:sz w:val="24"/>
          <w:szCs w:val="24"/>
        </w:rPr>
        <w:t>4</w:t>
      </w:r>
      <w:r w:rsidRPr="006D59BB">
        <w:rPr>
          <w:rFonts w:ascii="Times New Roman" w:hAnsi="Times New Roman" w:cs="Times New Roman"/>
          <w:sz w:val="24"/>
          <w:szCs w:val="24"/>
        </w:rPr>
        <w:t>, doprecyzowany zosta</w:t>
      </w:r>
      <w:r w:rsidR="003057CA" w:rsidRPr="006D59BB">
        <w:rPr>
          <w:rFonts w:ascii="Times New Roman" w:hAnsi="Times New Roman" w:cs="Times New Roman"/>
          <w:sz w:val="24"/>
          <w:szCs w:val="24"/>
        </w:rPr>
        <w:t>ł</w:t>
      </w:r>
      <w:r w:rsidRPr="006D59BB">
        <w:rPr>
          <w:rFonts w:ascii="Times New Roman" w:hAnsi="Times New Roman" w:cs="Times New Roman"/>
          <w:sz w:val="24"/>
          <w:szCs w:val="24"/>
        </w:rPr>
        <w:t xml:space="preserve"> sposób ustalania daty, z którą uznaje się skutek doręczenia, tj. z</w:t>
      </w:r>
      <w:r w:rsidR="004378D7" w:rsidRPr="006D59BB">
        <w:rPr>
          <w:rFonts w:ascii="Times New Roman" w:hAnsi="Times New Roman" w:cs="Times New Roman"/>
          <w:sz w:val="24"/>
          <w:szCs w:val="24"/>
        </w:rPr>
        <w:t> </w:t>
      </w:r>
      <w:r w:rsidRPr="006D59BB">
        <w:rPr>
          <w:rFonts w:ascii="Times New Roman" w:hAnsi="Times New Roman" w:cs="Times New Roman"/>
          <w:sz w:val="24"/>
          <w:szCs w:val="24"/>
        </w:rPr>
        <w:t>dniem sporządzenia przez organ administracji publicznej adnotacji o</w:t>
      </w:r>
      <w:r w:rsidR="00821E81" w:rsidRPr="006D59BB">
        <w:rPr>
          <w:rFonts w:ascii="Times New Roman" w:hAnsi="Times New Roman" w:cs="Times New Roman"/>
          <w:sz w:val="24"/>
          <w:szCs w:val="24"/>
        </w:rPr>
        <w:t> </w:t>
      </w:r>
      <w:r w:rsidRPr="006D59BB">
        <w:rPr>
          <w:rFonts w:ascii="Times New Roman" w:hAnsi="Times New Roman" w:cs="Times New Roman"/>
          <w:sz w:val="24"/>
          <w:szCs w:val="24"/>
        </w:rPr>
        <w:t xml:space="preserve">niemożności ustalenia adresu osoby fizycznej upoważnionej do reprezentowania adresata. </w:t>
      </w:r>
    </w:p>
    <w:p w14:paraId="3F9D81A1" w14:textId="77777777" w:rsidR="005C40BC" w:rsidRPr="006D59BB" w:rsidRDefault="005C40BC"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Należy również wskazać, że do doręczeń pism osobie fizycznej upoważnionej do reprezentowania adresata zastosowanie będą miały ogólne przepisy Kpa dotyczące doręczeń, np. art. 42 Kpa.</w:t>
      </w:r>
    </w:p>
    <w:p w14:paraId="77962C90" w14:textId="043A69BB" w:rsidR="003D2111" w:rsidRPr="006D59BB" w:rsidRDefault="005C40BC"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Tożsame rozwiązanie zostało uregulowane w art. 151a Ordynacji podatkowej i w obecnym brzmieniu obowiązuje od 2016 r.</w:t>
      </w:r>
    </w:p>
    <w:p w14:paraId="5A0E3A7F" w14:textId="4FB9BDCE" w:rsidR="003D2111" w:rsidRPr="006D59BB" w:rsidRDefault="003D2111" w:rsidP="006D59BB">
      <w:pPr>
        <w:pStyle w:val="Akapitzlist"/>
        <w:numPr>
          <w:ilvl w:val="0"/>
          <w:numId w:val="1"/>
        </w:numPr>
        <w:tabs>
          <w:tab w:val="left" w:pos="426"/>
        </w:tabs>
        <w:spacing w:before="120" w:after="0" w:line="360" w:lineRule="auto"/>
        <w:ind w:left="0" w:firstLine="0"/>
        <w:jc w:val="both"/>
        <w:rPr>
          <w:rFonts w:ascii="Times New Roman" w:hAnsi="Times New Roman" w:cs="Times New Roman"/>
          <w:sz w:val="24"/>
          <w:szCs w:val="24"/>
        </w:rPr>
      </w:pPr>
      <w:r w:rsidRPr="006D59BB">
        <w:rPr>
          <w:rFonts w:ascii="Times New Roman" w:hAnsi="Times New Roman" w:cs="Times New Roman"/>
          <w:sz w:val="24"/>
          <w:szCs w:val="24"/>
        </w:rPr>
        <w:t>Zmiany w zakresie mediacji</w:t>
      </w:r>
      <w:r w:rsidR="002A6303" w:rsidRPr="006D59BB">
        <w:rPr>
          <w:rFonts w:ascii="Times New Roman" w:hAnsi="Times New Roman" w:cs="Times New Roman"/>
          <w:sz w:val="24"/>
          <w:szCs w:val="24"/>
        </w:rPr>
        <w:t>.</w:t>
      </w:r>
    </w:p>
    <w:p w14:paraId="02F83946" w14:textId="41CA5F78" w:rsidR="00680B6F" w:rsidRPr="006D59BB" w:rsidRDefault="00680B6F" w:rsidP="006D59BB">
      <w:pPr>
        <w:pStyle w:val="PKTpunkt"/>
        <w:spacing w:before="120"/>
        <w:ind w:left="0" w:firstLine="0"/>
        <w:rPr>
          <w:rFonts w:ascii="Times New Roman" w:hAnsi="Times New Roman" w:cs="Times New Roman"/>
          <w:szCs w:val="24"/>
        </w:rPr>
      </w:pPr>
      <w:r w:rsidRPr="006D59BB">
        <w:rPr>
          <w:rFonts w:ascii="Times New Roman" w:hAnsi="Times New Roman" w:cs="Times New Roman"/>
          <w:szCs w:val="24"/>
        </w:rPr>
        <w:t xml:space="preserve">W 2017 r. do Kpa wprowadzono możliwość prowadzenia mediacji w sprawach administracyjnych. Mediacja przyczynia się do budowania zaufania obywateli do organów administracji publicznej oraz profesjonalizacji załatwiania spraw. Stanowi przy tym wyraz nowoczesnych form współdziałania obywateli i aparatu administracyjnego. Z przeprowadzonej oceny skutków regulacji </w:t>
      </w:r>
      <w:r w:rsidR="009A2390" w:rsidRPr="006D59BB">
        <w:rPr>
          <w:rFonts w:ascii="Times New Roman" w:hAnsi="Times New Roman" w:cs="Times New Roman"/>
          <w:szCs w:val="24"/>
        </w:rPr>
        <w:t xml:space="preserve">ex-post </w:t>
      </w:r>
      <w:r w:rsidRPr="006D59BB">
        <w:rPr>
          <w:rFonts w:ascii="Times New Roman" w:hAnsi="Times New Roman" w:cs="Times New Roman"/>
          <w:szCs w:val="24"/>
        </w:rPr>
        <w:t xml:space="preserve">nowelizacji </w:t>
      </w:r>
      <w:r w:rsidR="001E1C5A" w:rsidRPr="006D59BB">
        <w:rPr>
          <w:rFonts w:ascii="Times New Roman" w:hAnsi="Times New Roman" w:cs="Times New Roman"/>
          <w:szCs w:val="24"/>
        </w:rPr>
        <w:t>Kpa</w:t>
      </w:r>
      <w:r w:rsidRPr="006D59BB">
        <w:rPr>
          <w:rFonts w:ascii="Times New Roman" w:hAnsi="Times New Roman" w:cs="Times New Roman"/>
          <w:szCs w:val="24"/>
        </w:rPr>
        <w:t xml:space="preserve"> z 2017 r.</w:t>
      </w:r>
      <w:r w:rsidR="009A2390" w:rsidRPr="006D59BB">
        <w:rPr>
          <w:rStyle w:val="Odwoanieprzypisudolnego"/>
          <w:rFonts w:ascii="Times New Roman" w:hAnsi="Times New Roman" w:cs="Times New Roman"/>
          <w:szCs w:val="24"/>
        </w:rPr>
        <w:footnoteReference w:id="2"/>
      </w:r>
      <w:r w:rsidR="00A70DA6" w:rsidRPr="006D59BB">
        <w:rPr>
          <w:rFonts w:ascii="Times New Roman" w:hAnsi="Times New Roman" w:cs="Times New Roman"/>
          <w:szCs w:val="24"/>
          <w:vertAlign w:val="superscript"/>
        </w:rPr>
        <w:t>)</w:t>
      </w:r>
      <w:r w:rsidRPr="006D59BB">
        <w:rPr>
          <w:rFonts w:ascii="Times New Roman" w:hAnsi="Times New Roman" w:cs="Times New Roman"/>
          <w:szCs w:val="24"/>
        </w:rPr>
        <w:t xml:space="preserve"> wynika, że mediacja, mimo jej zalet, nie stała się szeroko stosowanym narzędziem w</w:t>
      </w:r>
      <w:r w:rsidR="006F3E02" w:rsidRPr="006D59BB">
        <w:rPr>
          <w:rFonts w:ascii="Times New Roman" w:hAnsi="Times New Roman" w:cs="Times New Roman"/>
          <w:szCs w:val="24"/>
        </w:rPr>
        <w:t> </w:t>
      </w:r>
      <w:r w:rsidRPr="006D59BB">
        <w:rPr>
          <w:rFonts w:ascii="Times New Roman" w:hAnsi="Times New Roman" w:cs="Times New Roman"/>
          <w:szCs w:val="24"/>
        </w:rPr>
        <w:t>sprawach administracyjnych. Organy często pomijają istotę mediacji w sprawach administracyjnych, tj. wyjaśnienie stanu faktycznego i stanu prawnego przy wykorzystaniu środków zapewniających bezpośrednią i szybką komunikację ze stronami postępowania, a nade wszystko załatwienie sprawy w sposób zmniejszający ryzyko odwołania i</w:t>
      </w:r>
      <w:r w:rsidR="004378D7" w:rsidRPr="006D59BB">
        <w:rPr>
          <w:rFonts w:ascii="Times New Roman" w:hAnsi="Times New Roman" w:cs="Times New Roman"/>
          <w:szCs w:val="24"/>
        </w:rPr>
        <w:t xml:space="preserve"> </w:t>
      </w:r>
      <w:r w:rsidRPr="006D59BB">
        <w:rPr>
          <w:rFonts w:ascii="Times New Roman" w:hAnsi="Times New Roman" w:cs="Times New Roman"/>
          <w:szCs w:val="24"/>
        </w:rPr>
        <w:t>dalszego angażowania administracji publicznej lub sądów w rozpoznanie sprawy. Strony mają niewielką wiedzę o możliwości korzystania z mediacji w ramach postępowania administracyjnego oraz o zaletach tego instrumentu.</w:t>
      </w:r>
    </w:p>
    <w:p w14:paraId="07B9E7EF" w14:textId="642BC260" w:rsidR="00680B6F" w:rsidRPr="006D59BB" w:rsidRDefault="00680B6F" w:rsidP="006D59BB">
      <w:pPr>
        <w:spacing w:before="120" w:after="0" w:line="360" w:lineRule="auto"/>
        <w:ind w:left="57" w:right="57"/>
        <w:jc w:val="both"/>
        <w:rPr>
          <w:rFonts w:ascii="Times New Roman" w:eastAsiaTheme="minorEastAsia" w:hAnsi="Times New Roman" w:cs="Times New Roman"/>
          <w:bCs/>
          <w:kern w:val="0"/>
          <w:sz w:val="24"/>
          <w:szCs w:val="24"/>
          <w:lang w:eastAsia="pl-PL"/>
          <w14:ligatures w14:val="none"/>
        </w:rPr>
      </w:pPr>
      <w:r w:rsidRPr="006D59BB">
        <w:rPr>
          <w:rFonts w:ascii="Times New Roman" w:eastAsiaTheme="minorEastAsia" w:hAnsi="Times New Roman" w:cs="Times New Roman"/>
          <w:bCs/>
          <w:kern w:val="0"/>
          <w:sz w:val="24"/>
          <w:szCs w:val="24"/>
          <w:lang w:eastAsia="pl-PL"/>
          <w14:ligatures w14:val="none"/>
        </w:rPr>
        <w:t>Dlatego w art. 96a Kpa proponuje się doprecyzować, jakie sprawy w szczególności nadają się do prowadzenia mediacji administracyjnej. Po pierwsze są to sprawy pozwalające organowi na działanie w ramach uznania administracyjnego. Pojęcie „uznania administracyjnego”, choć nie zostało zdefiniowanie w prawie, posiada ugruntowaną i uznawaną w orzecznictwie</w:t>
      </w:r>
      <w:r w:rsidRPr="006D59BB">
        <w:rPr>
          <w:rFonts w:ascii="Times New Roman" w:eastAsiaTheme="minorEastAsia" w:hAnsi="Times New Roman" w:cs="Times New Roman"/>
          <w:bCs/>
          <w:kern w:val="0"/>
          <w:sz w:val="24"/>
          <w:szCs w:val="24"/>
          <w:vertAlign w:val="superscript"/>
          <w:lang w:eastAsia="pl-PL"/>
          <w14:ligatures w14:val="none"/>
        </w:rPr>
        <w:footnoteReference w:id="3"/>
      </w:r>
      <w:r w:rsidR="00A70DA6" w:rsidRPr="006D59BB">
        <w:rPr>
          <w:rFonts w:ascii="Times New Roman" w:eastAsiaTheme="minorEastAsia" w:hAnsi="Times New Roman" w:cs="Times New Roman"/>
          <w:bCs/>
          <w:kern w:val="0"/>
          <w:sz w:val="24"/>
          <w:szCs w:val="24"/>
          <w:vertAlign w:val="superscript"/>
          <w:lang w:eastAsia="pl-PL"/>
          <w14:ligatures w14:val="none"/>
        </w:rPr>
        <w:t>)</w:t>
      </w:r>
      <w:r w:rsidRPr="006D59BB">
        <w:rPr>
          <w:rFonts w:ascii="Times New Roman" w:eastAsiaTheme="minorEastAsia" w:hAnsi="Times New Roman" w:cs="Times New Roman"/>
          <w:bCs/>
          <w:kern w:val="0"/>
          <w:sz w:val="24"/>
          <w:szCs w:val="24"/>
          <w:lang w:eastAsia="pl-PL"/>
          <w14:ligatures w14:val="none"/>
        </w:rPr>
        <w:t xml:space="preserve"> i doktrynie</w:t>
      </w:r>
      <w:r w:rsidRPr="006D59BB">
        <w:rPr>
          <w:rFonts w:ascii="Times New Roman" w:eastAsiaTheme="minorEastAsia" w:hAnsi="Times New Roman" w:cs="Times New Roman"/>
          <w:bCs/>
          <w:kern w:val="0"/>
          <w:sz w:val="24"/>
          <w:szCs w:val="24"/>
          <w:vertAlign w:val="superscript"/>
          <w:lang w:eastAsia="pl-PL"/>
          <w14:ligatures w14:val="none"/>
        </w:rPr>
        <w:footnoteReference w:id="4"/>
      </w:r>
      <w:r w:rsidR="00A70DA6" w:rsidRPr="006D59BB">
        <w:rPr>
          <w:rFonts w:ascii="Times New Roman" w:eastAsiaTheme="minorEastAsia" w:hAnsi="Times New Roman" w:cs="Times New Roman"/>
          <w:bCs/>
          <w:kern w:val="0"/>
          <w:sz w:val="24"/>
          <w:szCs w:val="24"/>
          <w:vertAlign w:val="superscript"/>
          <w:lang w:eastAsia="pl-PL"/>
          <w14:ligatures w14:val="none"/>
        </w:rPr>
        <w:t>)</w:t>
      </w:r>
      <w:r w:rsidRPr="006D59BB">
        <w:rPr>
          <w:rFonts w:ascii="Times New Roman" w:eastAsiaTheme="minorEastAsia" w:hAnsi="Times New Roman" w:cs="Times New Roman"/>
          <w:bCs/>
          <w:kern w:val="0"/>
          <w:sz w:val="24"/>
          <w:szCs w:val="24"/>
          <w:lang w:eastAsia="pl-PL"/>
          <w14:ligatures w14:val="none"/>
        </w:rPr>
        <w:t xml:space="preserve"> definicję. Przez uznanie administracyjne rozumie się uprawnienie organu do </w:t>
      </w:r>
      <w:r w:rsidRPr="006D59BB">
        <w:rPr>
          <w:rFonts w:ascii="Times New Roman" w:eastAsiaTheme="minorEastAsia" w:hAnsi="Times New Roman" w:cs="Times New Roman"/>
          <w:bCs/>
          <w:kern w:val="0"/>
          <w:sz w:val="24"/>
          <w:szCs w:val="24"/>
          <w:lang w:eastAsia="pl-PL"/>
          <w14:ligatures w14:val="none"/>
        </w:rPr>
        <w:lastRenderedPageBreak/>
        <w:t>wyboru skutków prawnych, spośród kilku różnych wariantów mających zastosowanie do danego stanu faktycznego. Po drugie katalog spraw, w których mediacja administracyjna może być prowadzona</w:t>
      </w:r>
      <w:r w:rsidR="00433472" w:rsidRPr="006D59BB">
        <w:rPr>
          <w:rFonts w:ascii="Times New Roman" w:eastAsiaTheme="minorEastAsia" w:hAnsi="Times New Roman" w:cs="Times New Roman"/>
          <w:bCs/>
          <w:kern w:val="0"/>
          <w:sz w:val="24"/>
          <w:szCs w:val="24"/>
          <w:lang w:eastAsia="pl-PL"/>
          <w14:ligatures w14:val="none"/>
        </w:rPr>
        <w:t>,</w:t>
      </w:r>
      <w:r w:rsidRPr="006D59BB">
        <w:rPr>
          <w:rFonts w:ascii="Times New Roman" w:eastAsiaTheme="minorEastAsia" w:hAnsi="Times New Roman" w:cs="Times New Roman"/>
          <w:bCs/>
          <w:kern w:val="0"/>
          <w:sz w:val="24"/>
          <w:szCs w:val="24"/>
          <w:lang w:eastAsia="pl-PL"/>
          <w14:ligatures w14:val="none"/>
        </w:rPr>
        <w:t xml:space="preserve"> jest zawarty w rozporządzeniu Ministra Spraw Wewnętrznych i Administracji z dnia 2 czerwca 2017 r</w:t>
      </w:r>
      <w:r w:rsidR="00433472" w:rsidRPr="006D59BB">
        <w:rPr>
          <w:rFonts w:ascii="Times New Roman" w:eastAsiaTheme="minorEastAsia" w:hAnsi="Times New Roman" w:cs="Times New Roman"/>
          <w:bCs/>
          <w:kern w:val="0"/>
          <w:sz w:val="24"/>
          <w:szCs w:val="24"/>
          <w:lang w:eastAsia="pl-PL"/>
          <w14:ligatures w14:val="none"/>
        </w:rPr>
        <w:t>.</w:t>
      </w:r>
      <w:r w:rsidRPr="006D59BB">
        <w:rPr>
          <w:rFonts w:ascii="Times New Roman" w:eastAsiaTheme="minorEastAsia" w:hAnsi="Times New Roman" w:cs="Times New Roman"/>
          <w:bCs/>
          <w:kern w:val="0"/>
          <w:sz w:val="24"/>
          <w:szCs w:val="24"/>
          <w:lang w:eastAsia="pl-PL"/>
          <w14:ligatures w14:val="none"/>
        </w:rPr>
        <w:t xml:space="preserve"> w sprawie wysokości wynagrodzenia i podlegających zwrotowi wydatków mediatora w postępowaniu administracyjnym (Dz.</w:t>
      </w:r>
      <w:r w:rsidR="00433472" w:rsidRPr="006D59BB">
        <w:rPr>
          <w:rFonts w:ascii="Times New Roman" w:eastAsiaTheme="minorEastAsia" w:hAnsi="Times New Roman" w:cs="Times New Roman"/>
          <w:bCs/>
          <w:kern w:val="0"/>
          <w:sz w:val="24"/>
          <w:szCs w:val="24"/>
          <w:lang w:eastAsia="pl-PL"/>
          <w14:ligatures w14:val="none"/>
        </w:rPr>
        <w:t xml:space="preserve"> </w:t>
      </w:r>
      <w:r w:rsidRPr="006D59BB">
        <w:rPr>
          <w:rFonts w:ascii="Times New Roman" w:eastAsiaTheme="minorEastAsia" w:hAnsi="Times New Roman" w:cs="Times New Roman"/>
          <w:bCs/>
          <w:kern w:val="0"/>
          <w:sz w:val="24"/>
          <w:szCs w:val="24"/>
          <w:lang w:eastAsia="pl-PL"/>
          <w14:ligatures w14:val="none"/>
        </w:rPr>
        <w:t>U. poz. 1088) i proponuje się wskazanie tych spraw w treści przepisu ustawy, aby zwiększyć świadomość organów i stron o możliwościach prowadzenia mediacji administracyjnej w danych rodzajach spraw.</w:t>
      </w:r>
      <w:r w:rsidR="00030A42" w:rsidRPr="006D59BB">
        <w:rPr>
          <w:rFonts w:ascii="Times New Roman" w:eastAsiaTheme="minorEastAsia" w:hAnsi="Times New Roman" w:cs="Times New Roman"/>
          <w:bCs/>
          <w:kern w:val="0"/>
          <w:sz w:val="24"/>
          <w:szCs w:val="24"/>
          <w:lang w:eastAsia="pl-PL"/>
          <w14:ligatures w14:val="none"/>
        </w:rPr>
        <w:t xml:space="preserve"> W katalogu pomija się sprawy z zakresu gospodarki wodnej, z uwagi na to, że sprawy wykraczające poza zbiór spraw rozstrzyganych w ramach uznania administracyjnego, w</w:t>
      </w:r>
      <w:r w:rsidR="006F3E02" w:rsidRPr="006D59BB">
        <w:rPr>
          <w:rFonts w:ascii="Times New Roman" w:eastAsiaTheme="minorEastAsia" w:hAnsi="Times New Roman" w:cs="Times New Roman"/>
          <w:bCs/>
          <w:kern w:val="0"/>
          <w:sz w:val="24"/>
          <w:szCs w:val="24"/>
          <w:lang w:eastAsia="pl-PL"/>
          <w14:ligatures w14:val="none"/>
        </w:rPr>
        <w:t> </w:t>
      </w:r>
      <w:r w:rsidR="00030A42" w:rsidRPr="006D59BB">
        <w:rPr>
          <w:rFonts w:ascii="Times New Roman" w:eastAsiaTheme="minorEastAsia" w:hAnsi="Times New Roman" w:cs="Times New Roman"/>
          <w:bCs/>
          <w:kern w:val="0"/>
          <w:sz w:val="24"/>
          <w:szCs w:val="24"/>
          <w:lang w:eastAsia="pl-PL"/>
          <w14:ligatures w14:val="none"/>
        </w:rPr>
        <w:t>ocenie ministra właściwego ds. infrastruktury, nie mają charakteru spraw nadających się do mediacji administracyjnej.</w:t>
      </w:r>
      <w:r w:rsidR="007E5529" w:rsidRPr="006D59BB">
        <w:rPr>
          <w:rFonts w:ascii="Times New Roman" w:eastAsiaTheme="minorEastAsia" w:hAnsi="Times New Roman" w:cs="Times New Roman"/>
          <w:bCs/>
          <w:kern w:val="0"/>
          <w:sz w:val="24"/>
          <w:szCs w:val="24"/>
          <w:lang w:eastAsia="pl-PL"/>
          <w14:ligatures w14:val="none"/>
        </w:rPr>
        <w:t xml:space="preserve"> Na wniosek ministra </w:t>
      </w:r>
      <w:r w:rsidR="00E115E2" w:rsidRPr="006D59BB">
        <w:rPr>
          <w:rFonts w:ascii="Times New Roman" w:eastAsiaTheme="minorEastAsia" w:hAnsi="Times New Roman" w:cs="Times New Roman"/>
          <w:bCs/>
          <w:kern w:val="0"/>
          <w:sz w:val="24"/>
          <w:szCs w:val="24"/>
          <w:lang w:eastAsia="pl-PL"/>
          <w14:ligatures w14:val="none"/>
        </w:rPr>
        <w:t xml:space="preserve">właściwego </w:t>
      </w:r>
      <w:r w:rsidR="007E5529" w:rsidRPr="006D59BB">
        <w:rPr>
          <w:rFonts w:ascii="Times New Roman" w:eastAsiaTheme="minorEastAsia" w:hAnsi="Times New Roman" w:cs="Times New Roman"/>
          <w:bCs/>
          <w:kern w:val="0"/>
          <w:sz w:val="24"/>
          <w:szCs w:val="24"/>
          <w:lang w:eastAsia="pl-PL"/>
          <w14:ligatures w14:val="none"/>
        </w:rPr>
        <w:t>d</w:t>
      </w:r>
      <w:r w:rsidR="00E115E2" w:rsidRPr="006D59BB">
        <w:rPr>
          <w:rFonts w:ascii="Times New Roman" w:eastAsiaTheme="minorEastAsia" w:hAnsi="Times New Roman" w:cs="Times New Roman"/>
          <w:bCs/>
          <w:kern w:val="0"/>
          <w:sz w:val="24"/>
          <w:szCs w:val="24"/>
          <w:lang w:eastAsia="pl-PL"/>
          <w14:ligatures w14:val="none"/>
        </w:rPr>
        <w:t xml:space="preserve">o </w:t>
      </w:r>
      <w:r w:rsidR="007E5529" w:rsidRPr="006D59BB">
        <w:rPr>
          <w:rFonts w:ascii="Times New Roman" w:eastAsiaTheme="minorEastAsia" w:hAnsi="Times New Roman" w:cs="Times New Roman"/>
          <w:bCs/>
          <w:kern w:val="0"/>
          <w:sz w:val="24"/>
          <w:szCs w:val="24"/>
          <w:lang w:eastAsia="pl-PL"/>
          <w14:ligatures w14:val="none"/>
        </w:rPr>
        <w:t>s</w:t>
      </w:r>
      <w:r w:rsidR="00E115E2" w:rsidRPr="006D59BB">
        <w:rPr>
          <w:rFonts w:ascii="Times New Roman" w:eastAsiaTheme="minorEastAsia" w:hAnsi="Times New Roman" w:cs="Times New Roman"/>
          <w:bCs/>
          <w:kern w:val="0"/>
          <w:sz w:val="24"/>
          <w:szCs w:val="24"/>
          <w:lang w:eastAsia="pl-PL"/>
          <w14:ligatures w14:val="none"/>
        </w:rPr>
        <w:t>praw</w:t>
      </w:r>
      <w:r w:rsidR="007E5529" w:rsidRPr="006D59BB">
        <w:rPr>
          <w:rFonts w:ascii="Times New Roman" w:eastAsiaTheme="minorEastAsia" w:hAnsi="Times New Roman" w:cs="Times New Roman"/>
          <w:bCs/>
          <w:kern w:val="0"/>
          <w:sz w:val="24"/>
          <w:szCs w:val="24"/>
          <w:lang w:eastAsia="pl-PL"/>
          <w14:ligatures w14:val="none"/>
        </w:rPr>
        <w:t xml:space="preserve"> rolnictwa w katalogu, oprócz rolnictwa i</w:t>
      </w:r>
      <w:r w:rsidR="006F3E02" w:rsidRPr="006D59BB">
        <w:rPr>
          <w:rFonts w:ascii="Times New Roman" w:eastAsiaTheme="minorEastAsia" w:hAnsi="Times New Roman" w:cs="Times New Roman"/>
          <w:bCs/>
          <w:kern w:val="0"/>
          <w:sz w:val="24"/>
          <w:szCs w:val="24"/>
          <w:lang w:eastAsia="pl-PL"/>
          <w14:ligatures w14:val="none"/>
        </w:rPr>
        <w:t> </w:t>
      </w:r>
      <w:r w:rsidR="007E5529" w:rsidRPr="006D59BB">
        <w:rPr>
          <w:rFonts w:ascii="Times New Roman" w:eastAsiaTheme="minorEastAsia" w:hAnsi="Times New Roman" w:cs="Times New Roman"/>
          <w:bCs/>
          <w:kern w:val="0"/>
          <w:sz w:val="24"/>
          <w:szCs w:val="24"/>
          <w:lang w:eastAsia="pl-PL"/>
          <w14:ligatures w14:val="none"/>
        </w:rPr>
        <w:t xml:space="preserve">leśnictwa, wyszczególniono także rybołówstwo. </w:t>
      </w:r>
    </w:p>
    <w:p w14:paraId="02036378" w14:textId="7DCCBC1B" w:rsidR="00680B6F" w:rsidRPr="006D59BB" w:rsidRDefault="00680B6F" w:rsidP="006D59BB">
      <w:pPr>
        <w:spacing w:before="120" w:after="0" w:line="360" w:lineRule="auto"/>
        <w:ind w:left="57" w:right="57"/>
        <w:jc w:val="both"/>
        <w:rPr>
          <w:rFonts w:ascii="Times New Roman" w:hAnsi="Times New Roman" w:cs="Times New Roman"/>
          <w:sz w:val="24"/>
          <w:szCs w:val="24"/>
        </w:rPr>
      </w:pPr>
      <w:r w:rsidRPr="006D59BB">
        <w:rPr>
          <w:rFonts w:ascii="Times New Roman" w:eastAsiaTheme="minorEastAsia" w:hAnsi="Times New Roman" w:cs="Times New Roman"/>
          <w:bCs/>
          <w:kern w:val="0"/>
          <w:sz w:val="24"/>
          <w:szCs w:val="24"/>
          <w:lang w:eastAsia="pl-PL"/>
          <w14:ligatures w14:val="none"/>
        </w:rPr>
        <w:t xml:space="preserve">Z uwagi na mnogość spraw administracyjnych regulowanych w szczegółowych ustawach nie jest możliwe wskazanie w Kpa zamkniętego katalogu spraw administracyjnych, w których mediacja administracyjna jest możliwa. Ponadto niekiedy prowadzenie mediacji administracyjnej może okazać się niecelowe. Dlatego organy administracji publicznej zostaną obowiązane </w:t>
      </w:r>
      <w:r w:rsidR="008C05C4" w:rsidRPr="006D59BB">
        <w:rPr>
          <w:rFonts w:ascii="Times New Roman" w:eastAsiaTheme="minorEastAsia" w:hAnsi="Times New Roman" w:cs="Times New Roman"/>
          <w:bCs/>
          <w:kern w:val="0"/>
          <w:sz w:val="24"/>
          <w:szCs w:val="24"/>
          <w:lang w:eastAsia="pl-PL"/>
          <w14:ligatures w14:val="none"/>
        </w:rPr>
        <w:t xml:space="preserve">sporządzić </w:t>
      </w:r>
      <w:r w:rsidRPr="006D59BB">
        <w:rPr>
          <w:rFonts w:ascii="Times New Roman" w:eastAsiaTheme="minorEastAsia" w:hAnsi="Times New Roman" w:cs="Times New Roman"/>
          <w:bCs/>
          <w:kern w:val="0"/>
          <w:sz w:val="24"/>
          <w:szCs w:val="24"/>
          <w:lang w:eastAsia="pl-PL"/>
          <w14:ligatures w14:val="none"/>
        </w:rPr>
        <w:t>i </w:t>
      </w:r>
      <w:r w:rsidR="008C05C4" w:rsidRPr="006D59BB">
        <w:rPr>
          <w:rFonts w:ascii="Times New Roman" w:eastAsiaTheme="minorEastAsia" w:hAnsi="Times New Roman" w:cs="Times New Roman"/>
          <w:bCs/>
          <w:kern w:val="0"/>
          <w:sz w:val="24"/>
          <w:szCs w:val="24"/>
          <w:lang w:eastAsia="pl-PL"/>
          <w14:ligatures w14:val="none"/>
        </w:rPr>
        <w:t xml:space="preserve">dołączyć </w:t>
      </w:r>
      <w:r w:rsidRPr="006D59BB">
        <w:rPr>
          <w:rFonts w:ascii="Times New Roman" w:eastAsiaTheme="minorEastAsia" w:hAnsi="Times New Roman" w:cs="Times New Roman"/>
          <w:bCs/>
          <w:kern w:val="0"/>
          <w:sz w:val="24"/>
          <w:szCs w:val="24"/>
          <w:lang w:eastAsia="pl-PL"/>
          <w14:ligatures w14:val="none"/>
        </w:rPr>
        <w:t>do akt</w:t>
      </w:r>
      <w:r w:rsidR="00E271C6" w:rsidRPr="006D59BB">
        <w:rPr>
          <w:rFonts w:ascii="Times New Roman" w:eastAsiaTheme="minorEastAsia" w:hAnsi="Times New Roman" w:cs="Times New Roman"/>
          <w:bCs/>
          <w:kern w:val="0"/>
          <w:sz w:val="24"/>
          <w:szCs w:val="24"/>
          <w:lang w:eastAsia="pl-PL"/>
          <w14:ligatures w14:val="none"/>
        </w:rPr>
        <w:t xml:space="preserve"> adnotację zawierającą informację</w:t>
      </w:r>
      <w:r w:rsidR="007B5519" w:rsidRPr="006D59BB">
        <w:rPr>
          <w:rFonts w:ascii="Times New Roman" w:eastAsiaTheme="minorEastAsia" w:hAnsi="Times New Roman" w:cs="Times New Roman"/>
          <w:bCs/>
          <w:kern w:val="0"/>
          <w:sz w:val="24"/>
          <w:szCs w:val="24"/>
          <w:lang w:eastAsia="pl-PL"/>
          <w14:ligatures w14:val="none"/>
        </w:rPr>
        <w:t>,</w:t>
      </w:r>
      <w:r w:rsidR="00E271C6" w:rsidRPr="006D59BB">
        <w:rPr>
          <w:rFonts w:ascii="Times New Roman" w:eastAsiaTheme="minorEastAsia" w:hAnsi="Times New Roman" w:cs="Times New Roman"/>
          <w:bCs/>
          <w:kern w:val="0"/>
          <w:sz w:val="24"/>
          <w:szCs w:val="24"/>
          <w:lang w:eastAsia="pl-PL"/>
          <w14:ligatures w14:val="none"/>
        </w:rPr>
        <w:t xml:space="preserve"> </w:t>
      </w:r>
      <w:r w:rsidRPr="006D59BB">
        <w:rPr>
          <w:rFonts w:ascii="Times New Roman" w:eastAsiaTheme="minorEastAsia" w:hAnsi="Times New Roman" w:cs="Times New Roman"/>
          <w:bCs/>
          <w:kern w:val="0"/>
          <w:sz w:val="24"/>
          <w:szCs w:val="24"/>
          <w:lang w:eastAsia="pl-PL"/>
          <w14:ligatures w14:val="none"/>
        </w:rPr>
        <w:t xml:space="preserve">czy charakter sprawy pozwala na przeprowadzenie mediacji, a jeśli tak, czy zachodzą okoliczności odstąpienia od zawiadomienia o możliwości przeprowadzenia mediacji. Niecelowość mediacji administracyjnej zachodzi, gdy sprawę należy załatwić niezwłocznie, np. ze względu na ważny interes publiczny lub gdy mediacja administracyjna przedłużałaby jedynie postępowanie. </w:t>
      </w:r>
    </w:p>
    <w:p w14:paraId="570B9A12" w14:textId="325952D8" w:rsidR="00680B6F" w:rsidRPr="006D59BB" w:rsidRDefault="00680B6F" w:rsidP="006D59BB">
      <w:pPr>
        <w:pStyle w:val="PKTpunkt"/>
        <w:spacing w:before="120"/>
        <w:ind w:left="0" w:firstLine="0"/>
        <w:rPr>
          <w:rFonts w:ascii="Times New Roman" w:hAnsi="Times New Roman" w:cs="Times New Roman"/>
          <w:szCs w:val="24"/>
        </w:rPr>
      </w:pPr>
      <w:r w:rsidRPr="006D59BB">
        <w:rPr>
          <w:rFonts w:ascii="Times New Roman" w:hAnsi="Times New Roman" w:cs="Times New Roman"/>
          <w:szCs w:val="24"/>
        </w:rPr>
        <w:t>Ponadto art. 96b Kpa proponuje się uzupełnić o wyraźne wskazanie, że zawiadomienie o możliwości mediacji może być ponawiane w toku sprawy, niezależnie od etapu postępowania. W pouczeniu o mediacji należy także poinformować o możliwości ponawiania zawiadomienia oraz o zaletach mediacji administracyjnej. Ma to na celu zwiększenie świadomości prawnej wśród stron o mediacji w postępowaniu administracyjnym.</w:t>
      </w:r>
    </w:p>
    <w:p w14:paraId="1223963C" w14:textId="6577DB5D" w:rsidR="002A6303" w:rsidRPr="006D59BB" w:rsidRDefault="00680B6F" w:rsidP="006D59BB">
      <w:pPr>
        <w:pStyle w:val="PKTpunkt"/>
        <w:spacing w:before="120"/>
        <w:ind w:left="0" w:firstLine="0"/>
        <w:rPr>
          <w:rFonts w:ascii="Times New Roman" w:hAnsi="Times New Roman" w:cs="Times New Roman"/>
          <w:szCs w:val="24"/>
        </w:rPr>
      </w:pPr>
      <w:r w:rsidRPr="006D59BB">
        <w:rPr>
          <w:rFonts w:ascii="Times New Roman" w:hAnsi="Times New Roman" w:cs="Times New Roman"/>
          <w:szCs w:val="24"/>
        </w:rPr>
        <w:t>Proponowana zmiana nie wpływa na dobrowolność udziału stron postępowania administracyjnego w mediacji.</w:t>
      </w:r>
    </w:p>
    <w:p w14:paraId="470065C1" w14:textId="579C44F1" w:rsidR="005C40BC" w:rsidRPr="00970F6A" w:rsidRDefault="005C40BC" w:rsidP="006D59BB">
      <w:pPr>
        <w:pStyle w:val="Akapitzlist"/>
        <w:numPr>
          <w:ilvl w:val="0"/>
          <w:numId w:val="1"/>
        </w:numPr>
        <w:tabs>
          <w:tab w:val="left" w:pos="426"/>
        </w:tabs>
        <w:spacing w:before="120" w:after="0" w:line="360" w:lineRule="auto"/>
        <w:ind w:left="0" w:firstLine="0"/>
        <w:jc w:val="both"/>
        <w:rPr>
          <w:rFonts w:ascii="Times New Roman" w:hAnsi="Times New Roman" w:cs="Times New Roman"/>
          <w:sz w:val="24"/>
          <w:szCs w:val="24"/>
        </w:rPr>
      </w:pPr>
      <w:r w:rsidRPr="00970F6A">
        <w:rPr>
          <w:rFonts w:ascii="Times New Roman" w:hAnsi="Times New Roman" w:cs="Times New Roman"/>
          <w:sz w:val="24"/>
          <w:szCs w:val="24"/>
        </w:rPr>
        <w:t>Umarzanie zawieszonych postępowań</w:t>
      </w:r>
      <w:r w:rsidR="002A6303" w:rsidRPr="00970F6A">
        <w:rPr>
          <w:rFonts w:ascii="Times New Roman" w:hAnsi="Times New Roman" w:cs="Times New Roman"/>
          <w:sz w:val="24"/>
          <w:szCs w:val="24"/>
        </w:rPr>
        <w:t>.</w:t>
      </w:r>
    </w:p>
    <w:p w14:paraId="2F04F322" w14:textId="77777777" w:rsidR="0011039C" w:rsidRPr="006D59BB" w:rsidRDefault="0011039C"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 xml:space="preserve">W Kpa wprowadza się przepis określający termin, po upływie którego postępowanie zawieszone z przyczyn obligatoryjnych, w oparciu o podstawy wymienione w art. 97 § 1 Kpa, </w:t>
      </w:r>
      <w:r w:rsidRPr="006D59BB">
        <w:rPr>
          <w:rFonts w:ascii="Times New Roman" w:hAnsi="Times New Roman" w:cs="Times New Roman"/>
          <w:sz w:val="24"/>
          <w:szCs w:val="24"/>
        </w:rPr>
        <w:lastRenderedPageBreak/>
        <w:t>będzie mogło ulec umorzeniu, o ile nie będą sprzeciwiać się temu pozostałe strony oraz nie będzie zagrażało to interesowi społecznemu.</w:t>
      </w:r>
    </w:p>
    <w:p w14:paraId="6BF036F1" w14:textId="77777777" w:rsidR="0011039C" w:rsidRPr="006D59BB" w:rsidRDefault="0011039C"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Przyjęto, że umorzenie zawieszonego postępowania nastąpi, gdy zaistniałe przeszkody do kontynuowania postępowania nie zostaną usunięte w terminie trzech lat od daty zawieszenia postępowania. Termin ten jest tożsamy z terminem przyjętym w art. 98 § 2 Kpa.</w:t>
      </w:r>
    </w:p>
    <w:p w14:paraId="7978A259" w14:textId="4AA11B27" w:rsidR="0011039C" w:rsidRPr="006D59BB" w:rsidRDefault="0011039C"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Należy zauważyć, że obecnie Kpa przewiduje taki trzyletni termin jedynie w art. 98 § 2 Kpa w</w:t>
      </w:r>
      <w:r w:rsidR="000C180C" w:rsidRPr="006D59BB">
        <w:rPr>
          <w:rFonts w:ascii="Times New Roman" w:hAnsi="Times New Roman" w:cs="Times New Roman"/>
          <w:sz w:val="24"/>
          <w:szCs w:val="24"/>
        </w:rPr>
        <w:t> </w:t>
      </w:r>
      <w:r w:rsidRPr="006D59BB">
        <w:rPr>
          <w:rFonts w:ascii="Times New Roman" w:hAnsi="Times New Roman" w:cs="Times New Roman"/>
          <w:sz w:val="24"/>
          <w:szCs w:val="24"/>
        </w:rPr>
        <w:t>przypadku fakultatywnego zawieszenia postępowania na wniosek strony. Wprowadzenie podobnego przepisu (proponowany art. 97 § 4 Kpa) również w odniesieniu do postępowań obligatoryjnie zawieszonych na podstawie przesłanek z art. 97 § 1 pkt 1–3a Kpa, ma charakter porządkujący system prawny i zapobiega sytuacji wieloletniego zawieszenia postępowania administracyjnego, w przypadku, np. gdy strony postępowania nie są już zainteresowane wydaniem danego rozstrzygnięcia i nie podejmują własnych działań lub nie współpracują z organem administracji publicznej, w celu usunięcia przeszkody do dalszego prowadzenia postępowania.</w:t>
      </w:r>
    </w:p>
    <w:p w14:paraId="23F938A1" w14:textId="27CBE5D6" w:rsidR="0011039C" w:rsidRPr="006D59BB" w:rsidRDefault="0011039C"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 xml:space="preserve">Przepis odnosi się do zawieszenia postępowania </w:t>
      </w:r>
      <w:r w:rsidR="00085078" w:rsidRPr="006D59BB">
        <w:rPr>
          <w:rFonts w:ascii="Times New Roman" w:hAnsi="Times New Roman" w:cs="Times New Roman"/>
          <w:sz w:val="24"/>
          <w:szCs w:val="24"/>
        </w:rPr>
        <w:t xml:space="preserve">m.in. </w:t>
      </w:r>
      <w:r w:rsidRPr="006D59BB">
        <w:rPr>
          <w:rFonts w:ascii="Times New Roman" w:hAnsi="Times New Roman" w:cs="Times New Roman"/>
          <w:sz w:val="24"/>
          <w:szCs w:val="24"/>
        </w:rPr>
        <w:t xml:space="preserve">w przypadku śmierci strony, przedstawiciela ustawowego </w:t>
      </w:r>
      <w:r w:rsidR="00085078" w:rsidRPr="006D59BB">
        <w:rPr>
          <w:rFonts w:ascii="Times New Roman" w:hAnsi="Times New Roman" w:cs="Times New Roman"/>
          <w:sz w:val="24"/>
          <w:szCs w:val="24"/>
        </w:rPr>
        <w:t xml:space="preserve">strony </w:t>
      </w:r>
      <w:r w:rsidRPr="006D59BB">
        <w:rPr>
          <w:rFonts w:ascii="Times New Roman" w:hAnsi="Times New Roman" w:cs="Times New Roman"/>
          <w:sz w:val="24"/>
          <w:szCs w:val="24"/>
        </w:rPr>
        <w:t xml:space="preserve">bądź utraty przez stronę lub przez jej ustawowego przedstawiciela zdolności do czynności prawnych, a więc brak jest możliwości wskazania, kto jest obecnie stroną po śmierci </w:t>
      </w:r>
      <w:r w:rsidR="00085078" w:rsidRPr="006D59BB">
        <w:rPr>
          <w:rFonts w:ascii="Times New Roman" w:hAnsi="Times New Roman" w:cs="Times New Roman"/>
          <w:sz w:val="24"/>
          <w:szCs w:val="24"/>
        </w:rPr>
        <w:t xml:space="preserve">dotychczasowej </w:t>
      </w:r>
      <w:r w:rsidRPr="006D59BB">
        <w:rPr>
          <w:rFonts w:ascii="Times New Roman" w:hAnsi="Times New Roman" w:cs="Times New Roman"/>
          <w:sz w:val="24"/>
          <w:szCs w:val="24"/>
        </w:rPr>
        <w:t>strony</w:t>
      </w:r>
      <w:r w:rsidR="00834BB3" w:rsidRPr="006D59BB">
        <w:rPr>
          <w:rFonts w:ascii="Times New Roman" w:hAnsi="Times New Roman" w:cs="Times New Roman"/>
          <w:sz w:val="24"/>
          <w:szCs w:val="24"/>
        </w:rPr>
        <w:t>, brak jest możliwości wskazania przedstawiciela ustawowego strony</w:t>
      </w:r>
      <w:r w:rsidRPr="006D59BB">
        <w:rPr>
          <w:rFonts w:ascii="Times New Roman" w:hAnsi="Times New Roman" w:cs="Times New Roman"/>
          <w:sz w:val="24"/>
          <w:szCs w:val="24"/>
        </w:rPr>
        <w:t xml:space="preserve"> bądź </w:t>
      </w:r>
      <w:r w:rsidR="00085078" w:rsidRPr="006D59BB">
        <w:rPr>
          <w:rFonts w:ascii="Times New Roman" w:hAnsi="Times New Roman" w:cs="Times New Roman"/>
          <w:sz w:val="24"/>
          <w:szCs w:val="24"/>
        </w:rPr>
        <w:t xml:space="preserve">zachodzi </w:t>
      </w:r>
      <w:r w:rsidRPr="006D59BB">
        <w:rPr>
          <w:rFonts w:ascii="Times New Roman" w:hAnsi="Times New Roman" w:cs="Times New Roman"/>
          <w:sz w:val="24"/>
          <w:szCs w:val="24"/>
        </w:rPr>
        <w:t xml:space="preserve">niemożność działania strony w </w:t>
      </w:r>
      <w:r w:rsidR="00091F69" w:rsidRPr="006D59BB">
        <w:rPr>
          <w:rFonts w:ascii="Times New Roman" w:hAnsi="Times New Roman" w:cs="Times New Roman"/>
          <w:sz w:val="24"/>
          <w:szCs w:val="24"/>
        </w:rPr>
        <w:t xml:space="preserve">postępowaniu </w:t>
      </w:r>
      <w:r w:rsidRPr="006D59BB">
        <w:rPr>
          <w:rFonts w:ascii="Times New Roman" w:hAnsi="Times New Roman" w:cs="Times New Roman"/>
          <w:sz w:val="24"/>
          <w:szCs w:val="24"/>
        </w:rPr>
        <w:t xml:space="preserve">ze względu utratę przez stronę lub przez jej ustawowego przedstawiciela zdolności do czynności prawnych. Niemniej jednak należy mieć na uwadze, że w postępowaniu obok ww. stron mogą również uczestniczyć pozostałe strony, które powinny zgodzić się na umorzenie postępowania. W związku z tym w art. 97 </w:t>
      </w:r>
      <w:bookmarkStart w:id="7" w:name="_Hlk172209724"/>
      <w:r w:rsidRPr="006D59BB">
        <w:rPr>
          <w:rFonts w:ascii="Times New Roman" w:hAnsi="Times New Roman" w:cs="Times New Roman"/>
          <w:sz w:val="24"/>
          <w:szCs w:val="24"/>
        </w:rPr>
        <w:t xml:space="preserve">§ </w:t>
      </w:r>
      <w:bookmarkEnd w:id="7"/>
      <w:r w:rsidRPr="006D59BB">
        <w:rPr>
          <w:rFonts w:ascii="Times New Roman" w:hAnsi="Times New Roman" w:cs="Times New Roman"/>
          <w:sz w:val="24"/>
          <w:szCs w:val="24"/>
        </w:rPr>
        <w:t xml:space="preserve">4 i § 5 Kpa uzależniono umorzenie postępowania od braku wniesienia sprzeciwu pozostałych stron postępowania, innych niż wymienione w art. 97 § 1–3a Kpa. </w:t>
      </w:r>
      <w:r w:rsidR="001C32B6" w:rsidRPr="006D59BB">
        <w:rPr>
          <w:rFonts w:ascii="Times New Roman" w:hAnsi="Times New Roman" w:cs="Times New Roman"/>
          <w:sz w:val="24"/>
          <w:szCs w:val="24"/>
        </w:rPr>
        <w:t>Wniesienie sprzeciwu będzie możliwe w terminie 7 dni od dnia doręczenia pisma przez organ administracji publicznej. Jednocześnie wskazano, że organ administracji publicznej nie wydaje decyzji o umorzeniu postępowania w przypadku wniesienia sprzeciwu w ww. terminie przez pozostałe strony postępowania, inne niż wymienione w § 1 pkt 1</w:t>
      </w:r>
      <w:r w:rsidR="0081387C">
        <w:rPr>
          <w:rFonts w:ascii="Times New Roman" w:hAnsi="Times New Roman" w:cs="Times New Roman"/>
          <w:sz w:val="24"/>
          <w:szCs w:val="24"/>
        </w:rPr>
        <w:t>–</w:t>
      </w:r>
      <w:r w:rsidR="001C32B6" w:rsidRPr="006D59BB">
        <w:rPr>
          <w:rFonts w:ascii="Times New Roman" w:hAnsi="Times New Roman" w:cs="Times New Roman"/>
          <w:sz w:val="24"/>
          <w:szCs w:val="24"/>
        </w:rPr>
        <w:t xml:space="preserve">3a, albo przez jedną z tych stron. </w:t>
      </w:r>
      <w:r w:rsidRPr="006D59BB">
        <w:rPr>
          <w:rFonts w:ascii="Times New Roman" w:hAnsi="Times New Roman" w:cs="Times New Roman"/>
          <w:sz w:val="24"/>
          <w:szCs w:val="24"/>
        </w:rPr>
        <w:t>Jednocześnie, jeżeli w okresie trzech lat od daty zawieszenia postępowania nie zostały usunięte przeszkody do dalszego prowadzenia postępowania, o których mowa w art. 97 § 1 pkt 1–3a Kpa, organ administracji publicznej planujący wydanie decyzji o umorzeniu postępowania, przed jego wydaniem zobowiązany został zwrócić się w formie zwykłego pisma o stanowisko stron w</w:t>
      </w:r>
      <w:r w:rsidR="006F3E02" w:rsidRPr="006D59BB">
        <w:rPr>
          <w:rFonts w:ascii="Times New Roman" w:hAnsi="Times New Roman" w:cs="Times New Roman"/>
          <w:sz w:val="24"/>
          <w:szCs w:val="24"/>
        </w:rPr>
        <w:t> </w:t>
      </w:r>
      <w:r w:rsidRPr="006D59BB">
        <w:rPr>
          <w:rFonts w:ascii="Times New Roman" w:hAnsi="Times New Roman" w:cs="Times New Roman"/>
          <w:sz w:val="24"/>
          <w:szCs w:val="24"/>
        </w:rPr>
        <w:t xml:space="preserve">przedmiocie planowanego </w:t>
      </w:r>
      <w:r w:rsidRPr="006D59BB">
        <w:rPr>
          <w:rFonts w:ascii="Times New Roman" w:hAnsi="Times New Roman" w:cs="Times New Roman"/>
          <w:sz w:val="24"/>
          <w:szCs w:val="24"/>
        </w:rPr>
        <w:lastRenderedPageBreak/>
        <w:t xml:space="preserve">umorzenia postępowania, wyznaczając stronom siedmiodniowy termin na wniesienie sprzeciwu. </w:t>
      </w:r>
    </w:p>
    <w:p w14:paraId="2AFE3B8D" w14:textId="3E6E905D" w:rsidR="0011039C" w:rsidRPr="006D59BB" w:rsidRDefault="0011039C"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W art. 97 § 6 Kpa proponuje się, aby w przypadku umorzenia postępowania decyzja w tym zakresie dla stron, o których mowa w art. 97 § 1 pkt 1–3a Kpa, pozostawiana była w aktach sprawy ze względu na to, że strony te są już albo nieznane</w:t>
      </w:r>
      <w:r w:rsidR="00CB7C74" w:rsidRPr="006D59BB">
        <w:rPr>
          <w:rFonts w:ascii="Times New Roman" w:hAnsi="Times New Roman" w:cs="Times New Roman"/>
          <w:sz w:val="24"/>
          <w:szCs w:val="24"/>
        </w:rPr>
        <w:t>,</w:t>
      </w:r>
      <w:r w:rsidRPr="006D59BB">
        <w:rPr>
          <w:rFonts w:ascii="Times New Roman" w:hAnsi="Times New Roman" w:cs="Times New Roman"/>
          <w:sz w:val="24"/>
          <w:szCs w:val="24"/>
        </w:rPr>
        <w:t xml:space="preserve"> albo niezdolne do czynności prawnych. Jednocześnie decyzja w</w:t>
      </w:r>
      <w:r w:rsidR="006F3E02" w:rsidRPr="006D59BB">
        <w:rPr>
          <w:rFonts w:ascii="Times New Roman" w:hAnsi="Times New Roman" w:cs="Times New Roman"/>
          <w:sz w:val="24"/>
          <w:szCs w:val="24"/>
        </w:rPr>
        <w:t> </w:t>
      </w:r>
      <w:r w:rsidRPr="006D59BB">
        <w:rPr>
          <w:rFonts w:ascii="Times New Roman" w:hAnsi="Times New Roman" w:cs="Times New Roman"/>
          <w:sz w:val="24"/>
          <w:szCs w:val="24"/>
        </w:rPr>
        <w:t>ww. zakresie będzie doręczana pozostałym stronom postępowania na zasadach ogólnych, wynikających z Kpa.</w:t>
      </w:r>
    </w:p>
    <w:p w14:paraId="763F5980" w14:textId="2DCDCAFF" w:rsidR="0011039C" w:rsidRPr="006D59BB" w:rsidRDefault="0011039C"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 xml:space="preserve">Jednocześnie nie będzie możliwości umorzenia postępowania z ww. powodu w przypadku, gdy postępowanie administracyjne zostało wszczęte z urzędu. Należy zauważyć, że w takim przypadku postępowanie jest wszczynane zazwyczaj w związku z nałożeniem obowiązku administracyjnego na stronę. Zatem organ administracji publicznej powinien w takim przypadku dążyć do usunięcia przeszkody do dalszego prowadzenia postępowania w celu wyegzekwowania należnych od strony zobowiązań. </w:t>
      </w:r>
    </w:p>
    <w:p w14:paraId="13105D97" w14:textId="30E6D68E" w:rsidR="003D2111" w:rsidRPr="00970F6A" w:rsidRDefault="003D2111" w:rsidP="006D59BB">
      <w:pPr>
        <w:pStyle w:val="Akapitzlist"/>
        <w:numPr>
          <w:ilvl w:val="0"/>
          <w:numId w:val="1"/>
        </w:numPr>
        <w:tabs>
          <w:tab w:val="left" w:pos="426"/>
        </w:tabs>
        <w:spacing w:before="120" w:after="0" w:line="360" w:lineRule="auto"/>
        <w:ind w:left="0" w:firstLine="0"/>
        <w:jc w:val="both"/>
        <w:rPr>
          <w:rFonts w:ascii="Times New Roman" w:hAnsi="Times New Roman" w:cs="Times New Roman"/>
          <w:sz w:val="24"/>
          <w:szCs w:val="24"/>
        </w:rPr>
      </w:pPr>
      <w:r w:rsidRPr="00970F6A">
        <w:rPr>
          <w:rFonts w:ascii="Times New Roman" w:hAnsi="Times New Roman" w:cs="Times New Roman"/>
          <w:sz w:val="24"/>
          <w:szCs w:val="24"/>
        </w:rPr>
        <w:t>Decyzje hybrydowe</w:t>
      </w:r>
      <w:r w:rsidR="002A6303" w:rsidRPr="00970F6A">
        <w:rPr>
          <w:rFonts w:ascii="Times New Roman" w:hAnsi="Times New Roman" w:cs="Times New Roman"/>
          <w:sz w:val="24"/>
          <w:szCs w:val="24"/>
        </w:rPr>
        <w:t>.</w:t>
      </w:r>
    </w:p>
    <w:p w14:paraId="25E9DF1B" w14:textId="12DB7A2C" w:rsidR="003D2111" w:rsidRPr="006D59BB" w:rsidRDefault="003D2111"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 xml:space="preserve">Zgodnie z obecnie obowiązującym art. 109 Kpa decyzję doręcza się stronom na piśmie. Przy czym należy przez to rozumieć zarówno możliwość doręczenia decyzji w postaci papierowej, jak i elektronicznej (zgodnie z zasadą pisemności wyrażoną w art. 14 Kpa). Dotyczy to także wszystkich załączników do decyzji, które są wymagane prawem. Brak doręczenia załączników na piśmie może być uznawany za uchybienie mające wpływ na rozstrzygnięcie sprawy. Obecnie nie ma możliwości doręczenia przez organ załączników w innej postaci niż została doręczona decyzja. Oznacza to, że w przypadku doręczenia decyzji w postaci papierowej załączniki do niej również muszą zostać doręczone w postaci papierowej. Bywa to szczególnie kłopotliwe zarówno dla organów jak i stron w sytuacji dużej ilości załączników lub załączników wielkoformatowych. Organ administracji publicznej jest zobowiązany do sporządzenia, uwierzytelnienia, doręczenia i archiwizowania znacznej ilości papierowych </w:t>
      </w:r>
      <w:r w:rsidR="00C52194" w:rsidRPr="006D59BB">
        <w:rPr>
          <w:rFonts w:ascii="Times New Roman" w:hAnsi="Times New Roman" w:cs="Times New Roman"/>
          <w:sz w:val="24"/>
          <w:szCs w:val="24"/>
        </w:rPr>
        <w:t>załączników</w:t>
      </w:r>
      <w:r w:rsidRPr="006D59BB">
        <w:rPr>
          <w:rFonts w:ascii="Times New Roman" w:hAnsi="Times New Roman" w:cs="Times New Roman"/>
          <w:sz w:val="24"/>
          <w:szCs w:val="24"/>
        </w:rPr>
        <w:t>. Z kolei strona przechowuje znaczne ilości dokumentów w postaci papierowej.</w:t>
      </w:r>
    </w:p>
    <w:p w14:paraId="1820E009" w14:textId="543D1384" w:rsidR="003D2111" w:rsidRPr="006D59BB" w:rsidRDefault="003D2111"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Mając powyższe na uwadze</w:t>
      </w:r>
      <w:r w:rsidR="00C656EB">
        <w:rPr>
          <w:rFonts w:ascii="Times New Roman" w:hAnsi="Times New Roman" w:cs="Times New Roman"/>
          <w:sz w:val="24"/>
          <w:szCs w:val="24"/>
        </w:rPr>
        <w:t>,</w:t>
      </w:r>
      <w:r w:rsidRPr="006D59BB">
        <w:rPr>
          <w:rFonts w:ascii="Times New Roman" w:hAnsi="Times New Roman" w:cs="Times New Roman"/>
          <w:sz w:val="24"/>
          <w:szCs w:val="24"/>
        </w:rPr>
        <w:t xml:space="preserve"> proponuje się wprowadzenie art. 109 § 3 Kpa, zgodnie z którym załączniki do decyzji wydanej w postaci papierowej mogą być doręczone na innym trwałym nośniku informacji, za zgodą strony wyrażoną na piśmie albo ustnie do protokołu. Przepis ten daje możliwość doręczenia załączników (w tym załączników znacznych rozmiarów</w:t>
      </w:r>
      <w:r w:rsidR="00807976" w:rsidRPr="006D59BB">
        <w:rPr>
          <w:rFonts w:ascii="Times New Roman" w:hAnsi="Times New Roman" w:cs="Times New Roman"/>
          <w:sz w:val="24"/>
          <w:szCs w:val="24"/>
        </w:rPr>
        <w:t xml:space="preserve"> lub takich</w:t>
      </w:r>
      <w:r w:rsidR="00433472" w:rsidRPr="006D59BB">
        <w:rPr>
          <w:rFonts w:ascii="Times New Roman" w:hAnsi="Times New Roman" w:cs="Times New Roman"/>
          <w:sz w:val="24"/>
          <w:szCs w:val="24"/>
        </w:rPr>
        <w:t>,</w:t>
      </w:r>
      <w:r w:rsidR="00807976" w:rsidRPr="006D59BB">
        <w:rPr>
          <w:rFonts w:ascii="Times New Roman" w:hAnsi="Times New Roman" w:cs="Times New Roman"/>
          <w:sz w:val="24"/>
          <w:szCs w:val="24"/>
        </w:rPr>
        <w:t xml:space="preserve"> dla których odczytania konieczne jest dysponowanie specjalistycznym oprogramowaniem</w:t>
      </w:r>
      <w:r w:rsidRPr="006D59BB">
        <w:rPr>
          <w:rFonts w:ascii="Times New Roman" w:hAnsi="Times New Roman" w:cs="Times New Roman"/>
          <w:sz w:val="24"/>
          <w:szCs w:val="24"/>
        </w:rPr>
        <w:t xml:space="preserve">) na </w:t>
      </w:r>
      <w:r w:rsidRPr="006D59BB">
        <w:rPr>
          <w:rFonts w:ascii="Times New Roman" w:hAnsi="Times New Roman" w:cs="Times New Roman"/>
          <w:sz w:val="24"/>
          <w:szCs w:val="24"/>
        </w:rPr>
        <w:lastRenderedPageBreak/>
        <w:t xml:space="preserve">trwałym nośniku innym niż papier. </w:t>
      </w:r>
      <w:r w:rsidR="00807976" w:rsidRPr="006D59BB">
        <w:rPr>
          <w:rFonts w:ascii="Times New Roman" w:hAnsi="Times New Roman" w:cs="Times New Roman"/>
          <w:sz w:val="24"/>
          <w:szCs w:val="24"/>
        </w:rPr>
        <w:t>W takim przypadku organ, zamiast w postaci papierowej, będzie doręczał załączniki na innym trwałym nośniku.</w:t>
      </w:r>
      <w:r w:rsidR="00C656EB">
        <w:rPr>
          <w:rFonts w:ascii="Times New Roman" w:hAnsi="Times New Roman" w:cs="Times New Roman"/>
          <w:sz w:val="24"/>
          <w:szCs w:val="24"/>
        </w:rPr>
        <w:t xml:space="preserve"> </w:t>
      </w:r>
    </w:p>
    <w:p w14:paraId="04F3B4C1" w14:textId="46228173" w:rsidR="003D2111" w:rsidRPr="006D59BB" w:rsidRDefault="003D2111"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Jednocześnie wobec kilku funkcjonujących w polskim prawie definicji trwałego nośnika, proponuje się wprowadzenie (w art. 109 § 4 Kpa) samoistnej definicji na potrzeby funkcjonowania Kodeksu. Proponuje się, aby przez trwały nośnik informacji rozumieć każdy nośnik informacji umożliwiający przechowywanie przez czas niezbędny, wynikający z charakteru informacji oraz celu ich sporządzenia lub przekazania, zawartych na nim informacji w sposób uniemożliwiający ich zmianę lub pozwalający na odtworzenie informacji w wersji i formie, w jakiej zostały sporządzone lub przekazane. Definicja ta jest wzorowana na rozwiązaniu przyjętym w ustawie z dnia 27 maja 2004 r. o funduszach inwestycyjnych i zarządzaniu alternatywnymi funduszami inwestycyjnymi.</w:t>
      </w:r>
    </w:p>
    <w:p w14:paraId="060D0DD1" w14:textId="717F2919" w:rsidR="005C40BC" w:rsidRPr="00970F6A" w:rsidRDefault="005C40BC" w:rsidP="006D59BB">
      <w:pPr>
        <w:pStyle w:val="Akapitzlist"/>
        <w:numPr>
          <w:ilvl w:val="0"/>
          <w:numId w:val="1"/>
        </w:numPr>
        <w:tabs>
          <w:tab w:val="left" w:pos="426"/>
        </w:tabs>
        <w:spacing w:before="120" w:after="0" w:line="360" w:lineRule="auto"/>
        <w:ind w:left="0" w:firstLine="0"/>
        <w:jc w:val="both"/>
        <w:rPr>
          <w:rFonts w:ascii="Times New Roman" w:hAnsi="Times New Roman" w:cs="Times New Roman"/>
          <w:sz w:val="24"/>
          <w:szCs w:val="24"/>
        </w:rPr>
      </w:pPr>
      <w:r w:rsidRPr="00970F6A">
        <w:rPr>
          <w:rFonts w:ascii="Times New Roman" w:hAnsi="Times New Roman" w:cs="Times New Roman"/>
          <w:sz w:val="24"/>
          <w:szCs w:val="24"/>
        </w:rPr>
        <w:t>Zmiany w zakresie pouczeń do postanowień</w:t>
      </w:r>
      <w:r w:rsidR="002A6303" w:rsidRPr="00970F6A">
        <w:rPr>
          <w:rFonts w:ascii="Times New Roman" w:hAnsi="Times New Roman" w:cs="Times New Roman"/>
          <w:sz w:val="24"/>
          <w:szCs w:val="24"/>
        </w:rPr>
        <w:t>.</w:t>
      </w:r>
    </w:p>
    <w:p w14:paraId="1B67A53F" w14:textId="62497241" w:rsidR="003057CA" w:rsidRPr="006D59BB" w:rsidRDefault="005C40BC"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 xml:space="preserve">W związku ze zmianami przepisów ustawy z dnia 30 sierpnia 2002 r. – Prawo o postępowaniu przed sądami administracyjnymi </w:t>
      </w:r>
      <w:bookmarkStart w:id="8" w:name="_Hlk185495794"/>
      <w:r w:rsidR="00F50FB5" w:rsidRPr="006D59BB">
        <w:rPr>
          <w:rFonts w:ascii="Times New Roman" w:hAnsi="Times New Roman" w:cs="Times New Roman"/>
          <w:sz w:val="24"/>
          <w:szCs w:val="24"/>
        </w:rPr>
        <w:t xml:space="preserve">(dalej: </w:t>
      </w:r>
      <w:proofErr w:type="spellStart"/>
      <w:r w:rsidR="00F50FB5" w:rsidRPr="006D59BB">
        <w:rPr>
          <w:rFonts w:ascii="Times New Roman" w:hAnsi="Times New Roman" w:cs="Times New Roman"/>
          <w:sz w:val="24"/>
          <w:szCs w:val="24"/>
        </w:rPr>
        <w:t>Ppsa</w:t>
      </w:r>
      <w:proofErr w:type="spellEnd"/>
      <w:r w:rsidR="00F50FB5" w:rsidRPr="006D59BB">
        <w:rPr>
          <w:rFonts w:ascii="Times New Roman" w:hAnsi="Times New Roman" w:cs="Times New Roman"/>
          <w:sz w:val="24"/>
          <w:szCs w:val="24"/>
        </w:rPr>
        <w:t xml:space="preserve">) </w:t>
      </w:r>
      <w:bookmarkEnd w:id="8"/>
      <w:r w:rsidRPr="006D59BB">
        <w:rPr>
          <w:rFonts w:ascii="Times New Roman" w:hAnsi="Times New Roman" w:cs="Times New Roman"/>
          <w:sz w:val="24"/>
          <w:szCs w:val="24"/>
        </w:rPr>
        <w:t xml:space="preserve">wprowadzona została </w:t>
      </w:r>
      <w:r w:rsidR="00C52194" w:rsidRPr="006D59BB">
        <w:rPr>
          <w:rFonts w:ascii="Times New Roman" w:hAnsi="Times New Roman" w:cs="Times New Roman"/>
          <w:sz w:val="24"/>
          <w:szCs w:val="24"/>
        </w:rPr>
        <w:t>zmiana</w:t>
      </w:r>
      <w:r w:rsidRPr="006D59BB">
        <w:rPr>
          <w:rFonts w:ascii="Times New Roman" w:hAnsi="Times New Roman" w:cs="Times New Roman"/>
          <w:sz w:val="24"/>
          <w:szCs w:val="24"/>
        </w:rPr>
        <w:t xml:space="preserve"> </w:t>
      </w:r>
      <w:r w:rsidR="003057CA" w:rsidRPr="006D59BB">
        <w:rPr>
          <w:rFonts w:ascii="Times New Roman" w:hAnsi="Times New Roman" w:cs="Times New Roman"/>
          <w:sz w:val="24"/>
          <w:szCs w:val="24"/>
        </w:rPr>
        <w:t xml:space="preserve">art. 124 § 1 i § 2, art. 125 </w:t>
      </w:r>
      <w:bookmarkStart w:id="9" w:name="_Hlk171415578"/>
      <w:r w:rsidR="003057CA" w:rsidRPr="006D59BB">
        <w:rPr>
          <w:rFonts w:ascii="Times New Roman" w:hAnsi="Times New Roman" w:cs="Times New Roman"/>
          <w:sz w:val="24"/>
          <w:szCs w:val="24"/>
        </w:rPr>
        <w:t xml:space="preserve">§ </w:t>
      </w:r>
      <w:bookmarkEnd w:id="9"/>
      <w:r w:rsidR="003057CA" w:rsidRPr="006D59BB">
        <w:rPr>
          <w:rFonts w:ascii="Times New Roman" w:hAnsi="Times New Roman" w:cs="Times New Roman"/>
          <w:sz w:val="24"/>
          <w:szCs w:val="24"/>
        </w:rPr>
        <w:t>1 i § 3 Kpa przez dodanie w tych regulacjach instytucji sprzeciwu od postanowienia.</w:t>
      </w:r>
    </w:p>
    <w:p w14:paraId="184E8B7D" w14:textId="0E057AA4" w:rsidR="005C40BC" w:rsidRPr="00970F6A" w:rsidRDefault="005C40BC" w:rsidP="006D59BB">
      <w:pPr>
        <w:pStyle w:val="Akapitzlist"/>
        <w:numPr>
          <w:ilvl w:val="0"/>
          <w:numId w:val="1"/>
        </w:numPr>
        <w:tabs>
          <w:tab w:val="left" w:pos="426"/>
        </w:tabs>
        <w:spacing w:before="120" w:after="0" w:line="360" w:lineRule="auto"/>
        <w:ind w:left="0" w:firstLine="0"/>
        <w:jc w:val="both"/>
        <w:rPr>
          <w:rFonts w:ascii="Times New Roman" w:hAnsi="Times New Roman" w:cs="Times New Roman"/>
          <w:sz w:val="24"/>
          <w:szCs w:val="24"/>
        </w:rPr>
      </w:pPr>
      <w:r w:rsidRPr="00970F6A">
        <w:rPr>
          <w:rFonts w:ascii="Times New Roman" w:hAnsi="Times New Roman" w:cs="Times New Roman"/>
          <w:sz w:val="24"/>
          <w:szCs w:val="24"/>
        </w:rPr>
        <w:t>Zmiany w zakresie decyzji autokontroli organu</w:t>
      </w:r>
      <w:r w:rsidR="002A6303" w:rsidRPr="00970F6A">
        <w:rPr>
          <w:rFonts w:ascii="Times New Roman" w:hAnsi="Times New Roman" w:cs="Times New Roman"/>
          <w:sz w:val="24"/>
          <w:szCs w:val="24"/>
        </w:rPr>
        <w:t>.</w:t>
      </w:r>
      <w:r w:rsidRPr="00970F6A">
        <w:rPr>
          <w:rFonts w:ascii="Times New Roman" w:hAnsi="Times New Roman" w:cs="Times New Roman"/>
          <w:sz w:val="24"/>
          <w:szCs w:val="24"/>
        </w:rPr>
        <w:t xml:space="preserve"> </w:t>
      </w:r>
    </w:p>
    <w:p w14:paraId="5881DB28" w14:textId="2DB12F09" w:rsidR="003057CA" w:rsidRPr="006D59BB" w:rsidRDefault="005C40BC"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Zgodnie z art. 132 § 1 Kpa, jeżeli odwołanie wniosły wszystkie strony, a organ administracji publicznej, który wydał decyzję, uzna, że to odwołanie zasługuje w całości na uwzględnienie, może wydać nową decyzję, w której uchyli lub zmieni zaskarżoną decyzję. Z literalnego brzmienia powyższego przepisu wynika, że organ może ograniczyć swoje rozstrzygnięcie jedynie do uchylenia decyzji</w:t>
      </w:r>
      <w:r w:rsidR="003057CA" w:rsidRPr="006D59BB">
        <w:rPr>
          <w:rFonts w:ascii="Times New Roman" w:hAnsi="Times New Roman" w:cs="Times New Roman"/>
          <w:sz w:val="24"/>
          <w:szCs w:val="24"/>
        </w:rPr>
        <w:t xml:space="preserve">, z tym że przepis ten nie przewiduje dalszych konsekwencji podjęcia decyzji w ww. zakresie. </w:t>
      </w:r>
    </w:p>
    <w:p w14:paraId="184A0677" w14:textId="7A11E553" w:rsidR="005C40BC" w:rsidRPr="006D59BB" w:rsidRDefault="005C40BC"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W orzecznictwie ugruntowało się stanowisko, że organ, który podejmuje się weryfikacji decyzji własnej</w:t>
      </w:r>
      <w:r w:rsidR="00F50FB5" w:rsidRPr="006D59BB">
        <w:rPr>
          <w:rFonts w:ascii="Times New Roman" w:hAnsi="Times New Roman" w:cs="Times New Roman"/>
          <w:sz w:val="24"/>
          <w:szCs w:val="24"/>
        </w:rPr>
        <w:t>,</w:t>
      </w:r>
      <w:r w:rsidRPr="006D59BB">
        <w:rPr>
          <w:rFonts w:ascii="Times New Roman" w:hAnsi="Times New Roman" w:cs="Times New Roman"/>
          <w:sz w:val="24"/>
          <w:szCs w:val="24"/>
        </w:rPr>
        <w:t xml:space="preserve"> jest zobowiązany załatwić sprawę w sposób pełny, czyli nie tylko uchylić własne rozstrzygnięcie, ale w</w:t>
      </w:r>
      <w:r w:rsidR="00E6226B" w:rsidRPr="006D59BB">
        <w:rPr>
          <w:rFonts w:ascii="Times New Roman" w:hAnsi="Times New Roman" w:cs="Times New Roman"/>
          <w:sz w:val="24"/>
          <w:szCs w:val="24"/>
        </w:rPr>
        <w:t> </w:t>
      </w:r>
      <w:r w:rsidRPr="006D59BB">
        <w:rPr>
          <w:rFonts w:ascii="Times New Roman" w:hAnsi="Times New Roman" w:cs="Times New Roman"/>
          <w:sz w:val="24"/>
          <w:szCs w:val="24"/>
        </w:rPr>
        <w:t xml:space="preserve">to miejsce wydać decyzję taką, o którą wnioskuje strona. Może być to decyzja merytoryczna, </w:t>
      </w:r>
      <w:r w:rsidR="002A6303" w:rsidRPr="006D59BB">
        <w:rPr>
          <w:rFonts w:ascii="Times New Roman" w:hAnsi="Times New Roman" w:cs="Times New Roman"/>
          <w:sz w:val="24"/>
          <w:szCs w:val="24"/>
        </w:rPr>
        <w:t xml:space="preserve">w tym </w:t>
      </w:r>
      <w:r w:rsidRPr="006D59BB">
        <w:rPr>
          <w:rFonts w:ascii="Times New Roman" w:hAnsi="Times New Roman" w:cs="Times New Roman"/>
          <w:sz w:val="24"/>
          <w:szCs w:val="24"/>
        </w:rPr>
        <w:t>także umarzająca postępowanie, jeżeli o to wnioskowała strona (np. wyrok NSA z</w:t>
      </w:r>
      <w:r w:rsidR="00821E81" w:rsidRPr="006D59BB">
        <w:rPr>
          <w:rFonts w:ascii="Times New Roman" w:hAnsi="Times New Roman" w:cs="Times New Roman"/>
          <w:sz w:val="24"/>
          <w:szCs w:val="24"/>
        </w:rPr>
        <w:t> </w:t>
      </w:r>
      <w:r w:rsidRPr="006D59BB">
        <w:rPr>
          <w:rFonts w:ascii="Times New Roman" w:hAnsi="Times New Roman" w:cs="Times New Roman"/>
          <w:sz w:val="24"/>
          <w:szCs w:val="24"/>
        </w:rPr>
        <w:t>16 stycznia 2015 r., sygn. akt I OSK 2521/13; wyrok WSA w Poznaniu z 11 marca 2019 r., sygn. akt II SA/Po 36/19). Samo uchylenie decyzji nie załatwia sprawy administracyjnej</w:t>
      </w:r>
      <w:r w:rsidR="00F50FB5" w:rsidRPr="006D59BB">
        <w:rPr>
          <w:rFonts w:ascii="Times New Roman" w:hAnsi="Times New Roman" w:cs="Times New Roman"/>
          <w:sz w:val="24"/>
          <w:szCs w:val="24"/>
        </w:rPr>
        <w:t>,</w:t>
      </w:r>
      <w:r w:rsidRPr="006D59BB">
        <w:rPr>
          <w:rFonts w:ascii="Times New Roman" w:hAnsi="Times New Roman" w:cs="Times New Roman"/>
          <w:sz w:val="24"/>
          <w:szCs w:val="24"/>
        </w:rPr>
        <w:t xml:space="preserve"> w szczególności że decyzja poddawana weryfikacji w trybie autokontroli jest decyzją nieostateczną co oznacza, że jej uchylenie wywołuje skutki prawne z datą wstecz. </w:t>
      </w:r>
    </w:p>
    <w:p w14:paraId="718E98A6" w14:textId="7C558DFB" w:rsidR="003057CA" w:rsidRPr="006D59BB" w:rsidRDefault="003057CA"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lastRenderedPageBreak/>
        <w:t>W związku z tym, w ramach autokontroli, organ administracji publicznej</w:t>
      </w:r>
      <w:r w:rsidR="00DE75DD">
        <w:rPr>
          <w:rFonts w:ascii="Times New Roman" w:hAnsi="Times New Roman" w:cs="Times New Roman"/>
          <w:sz w:val="24"/>
          <w:szCs w:val="24"/>
        </w:rPr>
        <w:t>,</w:t>
      </w:r>
      <w:r w:rsidRPr="006D59BB">
        <w:rPr>
          <w:rFonts w:ascii="Times New Roman" w:hAnsi="Times New Roman" w:cs="Times New Roman"/>
          <w:sz w:val="24"/>
          <w:szCs w:val="24"/>
        </w:rPr>
        <w:t xml:space="preserve"> wydając nową decyzję, w</w:t>
      </w:r>
      <w:r w:rsidR="00E6226B" w:rsidRPr="006D59BB">
        <w:rPr>
          <w:rFonts w:ascii="Times New Roman" w:hAnsi="Times New Roman" w:cs="Times New Roman"/>
          <w:sz w:val="24"/>
          <w:szCs w:val="24"/>
        </w:rPr>
        <w:t> </w:t>
      </w:r>
      <w:r w:rsidRPr="006D59BB">
        <w:rPr>
          <w:rFonts w:ascii="Times New Roman" w:hAnsi="Times New Roman" w:cs="Times New Roman"/>
          <w:sz w:val="24"/>
          <w:szCs w:val="24"/>
        </w:rPr>
        <w:t>której uchyla zaskarżoną decyzję</w:t>
      </w:r>
      <w:r w:rsidR="00DE75DD">
        <w:rPr>
          <w:rFonts w:ascii="Times New Roman" w:hAnsi="Times New Roman" w:cs="Times New Roman"/>
          <w:sz w:val="24"/>
          <w:szCs w:val="24"/>
        </w:rPr>
        <w:t>,</w:t>
      </w:r>
      <w:r w:rsidRPr="006D59BB">
        <w:rPr>
          <w:rFonts w:ascii="Times New Roman" w:hAnsi="Times New Roman" w:cs="Times New Roman"/>
          <w:sz w:val="24"/>
          <w:szCs w:val="24"/>
        </w:rPr>
        <w:t xml:space="preserve"> powinien również rozstrzygnąć sprawę albo </w:t>
      </w:r>
      <w:r w:rsidR="00DE75DD" w:rsidRPr="00F337EB">
        <w:rPr>
          <w:rFonts w:ascii="Times New Roman" w:hAnsi="Times New Roman" w:cs="Times New Roman"/>
          <w:sz w:val="24"/>
          <w:szCs w:val="24"/>
        </w:rPr>
        <w:t>–</w:t>
      </w:r>
      <w:r w:rsidRPr="006D59BB">
        <w:rPr>
          <w:rFonts w:ascii="Times New Roman" w:hAnsi="Times New Roman" w:cs="Times New Roman"/>
          <w:sz w:val="24"/>
          <w:szCs w:val="24"/>
        </w:rPr>
        <w:t xml:space="preserve">uchylając tę decyzję </w:t>
      </w:r>
      <w:bookmarkStart w:id="10" w:name="_Hlk192586481"/>
      <w:r w:rsidRPr="006D59BB">
        <w:rPr>
          <w:rFonts w:ascii="Times New Roman" w:hAnsi="Times New Roman" w:cs="Times New Roman"/>
          <w:sz w:val="24"/>
          <w:szCs w:val="24"/>
        </w:rPr>
        <w:t>–</w:t>
      </w:r>
      <w:bookmarkEnd w:id="10"/>
      <w:r w:rsidRPr="006D59BB">
        <w:rPr>
          <w:rFonts w:ascii="Times New Roman" w:hAnsi="Times New Roman" w:cs="Times New Roman"/>
          <w:sz w:val="24"/>
          <w:szCs w:val="24"/>
        </w:rPr>
        <w:t xml:space="preserve"> umorzyć postępowanie. </w:t>
      </w:r>
    </w:p>
    <w:p w14:paraId="4C6C653D" w14:textId="6E3592CC" w:rsidR="00F50FB5" w:rsidRPr="006D59BB" w:rsidRDefault="00F50FB5" w:rsidP="006D59BB">
      <w:pPr>
        <w:spacing w:before="120" w:after="0" w:line="360" w:lineRule="auto"/>
        <w:jc w:val="both"/>
        <w:rPr>
          <w:rFonts w:ascii="Times New Roman" w:hAnsi="Times New Roman" w:cs="Times New Roman"/>
          <w:sz w:val="24"/>
          <w:szCs w:val="24"/>
        </w:rPr>
      </w:pPr>
      <w:bookmarkStart w:id="11" w:name="_Hlk185495971"/>
      <w:r w:rsidRPr="006D59BB">
        <w:rPr>
          <w:rFonts w:ascii="Times New Roman" w:hAnsi="Times New Roman" w:cs="Times New Roman"/>
          <w:sz w:val="24"/>
          <w:szCs w:val="24"/>
        </w:rPr>
        <w:t>Jednocześnie z literalnego brzmienia obecnie obowiązującego art. 132 § 1 Kpa wynika, że organ administracji publicznej może uchylić decyzję w całości. Przepis ten nie umożliwia organowi administracji publicznej uchylenia decyzji w części, w przypadku gdy odwołanie zasługuje w całości na uwzględnienie, ale dotyczy tylko części decyzji. Taka sama sytuacja dotyczy uchylenia decyzji i umorzenia postępowania. W związku z tym zmiana przepisu polega również na umożliwieniu organowi administracji publicznej uchylenia zaskarżonej decyzji w całości lub w części albo uchylenia decyzji i umorzenia postępowania w całości lub w części.</w:t>
      </w:r>
    </w:p>
    <w:bookmarkEnd w:id="11"/>
    <w:p w14:paraId="6B0E6A7A" w14:textId="2E3E465C" w:rsidR="003057CA" w:rsidRPr="006D59BB" w:rsidRDefault="003057CA"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Dodatkowo, biorąc pod uwagę, że uchylenie zaskarżonej decyzji i rozstrzygnięcie sprawy zawiera w</w:t>
      </w:r>
      <w:r w:rsidR="00E6226B" w:rsidRPr="006D59BB">
        <w:rPr>
          <w:rFonts w:ascii="Times New Roman" w:hAnsi="Times New Roman" w:cs="Times New Roman"/>
          <w:sz w:val="24"/>
          <w:szCs w:val="24"/>
        </w:rPr>
        <w:t> </w:t>
      </w:r>
      <w:r w:rsidRPr="006D59BB">
        <w:rPr>
          <w:rFonts w:ascii="Times New Roman" w:hAnsi="Times New Roman" w:cs="Times New Roman"/>
          <w:sz w:val="24"/>
          <w:szCs w:val="24"/>
        </w:rPr>
        <w:t>sobie zmianę zaskarżonej decyzji (zmiana decyzji następuje przez jej uchylenie i rozstrzygnięcie sprawy), zmiana zaskarżonej decyzji została wykreślona z art. 132 § 1 Kpa.</w:t>
      </w:r>
    </w:p>
    <w:p w14:paraId="446D87AA" w14:textId="07DFFC41" w:rsidR="005C40BC" w:rsidRPr="00970F6A" w:rsidRDefault="005C40BC" w:rsidP="006D59BB">
      <w:pPr>
        <w:pStyle w:val="Akapitzlist"/>
        <w:numPr>
          <w:ilvl w:val="0"/>
          <w:numId w:val="1"/>
        </w:numPr>
        <w:tabs>
          <w:tab w:val="left" w:pos="426"/>
        </w:tabs>
        <w:spacing w:before="120" w:after="0" w:line="360" w:lineRule="auto"/>
        <w:ind w:left="0" w:firstLine="0"/>
        <w:jc w:val="both"/>
        <w:rPr>
          <w:rFonts w:ascii="Times New Roman" w:hAnsi="Times New Roman" w:cs="Times New Roman"/>
          <w:sz w:val="24"/>
          <w:szCs w:val="24"/>
        </w:rPr>
      </w:pPr>
      <w:r w:rsidRPr="00970F6A">
        <w:rPr>
          <w:rFonts w:ascii="Times New Roman" w:hAnsi="Times New Roman" w:cs="Times New Roman"/>
          <w:sz w:val="24"/>
          <w:szCs w:val="24"/>
        </w:rPr>
        <w:t>Związanie organu pierwszego stopnia wskazaniami organu odwoławczego</w:t>
      </w:r>
      <w:r w:rsidR="002A6303" w:rsidRPr="00970F6A">
        <w:rPr>
          <w:rFonts w:ascii="Times New Roman" w:hAnsi="Times New Roman" w:cs="Times New Roman"/>
          <w:sz w:val="24"/>
          <w:szCs w:val="24"/>
        </w:rPr>
        <w:t>.</w:t>
      </w:r>
    </w:p>
    <w:p w14:paraId="38FA64F7" w14:textId="77777777" w:rsidR="005C40BC" w:rsidRPr="006D59BB" w:rsidRDefault="005C40BC"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 xml:space="preserve">W art. 139a Kpa wprowadza się instrument, który będzie prowadził do stanowczego obowiązku organu I instancji zastosowania się do treści decyzji organu odwoławczego. Notowane jest dzisiaj zjawisko niewykonywania wytycznych organu odwoławczego przez organ I instancji. </w:t>
      </w:r>
    </w:p>
    <w:p w14:paraId="79003A42" w14:textId="77777777" w:rsidR="005C40BC" w:rsidRPr="006D59BB" w:rsidRDefault="005C40BC"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W przypadku wydania decyzji, o której mowa w art. 138 § 2 Kpa, organ odwoławczy wskazuje:</w:t>
      </w:r>
    </w:p>
    <w:p w14:paraId="18C7F0B6" w14:textId="5D96B0A5" w:rsidR="005C40BC" w:rsidRPr="006D59BB" w:rsidRDefault="005C40BC" w:rsidP="006D59BB">
      <w:pPr>
        <w:spacing w:before="120" w:after="0" w:line="360" w:lineRule="auto"/>
        <w:ind w:left="426" w:hanging="426"/>
        <w:jc w:val="both"/>
        <w:rPr>
          <w:rFonts w:ascii="Times New Roman" w:hAnsi="Times New Roman" w:cs="Times New Roman"/>
          <w:sz w:val="24"/>
          <w:szCs w:val="24"/>
        </w:rPr>
      </w:pPr>
      <w:r w:rsidRPr="006D59BB">
        <w:rPr>
          <w:rFonts w:ascii="Times New Roman" w:hAnsi="Times New Roman" w:cs="Times New Roman"/>
          <w:sz w:val="24"/>
          <w:szCs w:val="24"/>
        </w:rPr>
        <w:t>•</w:t>
      </w:r>
      <w:r w:rsidR="00970F6A">
        <w:rPr>
          <w:rFonts w:ascii="Times New Roman" w:hAnsi="Times New Roman" w:cs="Times New Roman"/>
          <w:sz w:val="24"/>
          <w:szCs w:val="24"/>
        </w:rPr>
        <w:tab/>
      </w:r>
      <w:r w:rsidRPr="006D59BB">
        <w:rPr>
          <w:rFonts w:ascii="Times New Roman" w:hAnsi="Times New Roman" w:cs="Times New Roman"/>
          <w:sz w:val="24"/>
          <w:szCs w:val="24"/>
        </w:rPr>
        <w:t>okoliczności, jakie organ pierwszej instancji obowiązany jest wziąć pod uwagę przy proponowanym rozpatrzeniu sprawy. Chodzi o okoliczności faktyczne, które mają znaczenie dla rozstrzygnięcia sprawy (§ 2);</w:t>
      </w:r>
    </w:p>
    <w:p w14:paraId="496A3DF9" w14:textId="79038A4C" w:rsidR="005C40BC" w:rsidRPr="006D59BB" w:rsidRDefault="005C40BC" w:rsidP="006D59BB">
      <w:pPr>
        <w:spacing w:before="120" w:after="0" w:line="360" w:lineRule="auto"/>
        <w:ind w:left="426" w:hanging="426"/>
        <w:jc w:val="both"/>
        <w:rPr>
          <w:rFonts w:ascii="Times New Roman" w:hAnsi="Times New Roman" w:cs="Times New Roman"/>
          <w:sz w:val="24"/>
          <w:szCs w:val="24"/>
        </w:rPr>
      </w:pPr>
      <w:r w:rsidRPr="006D59BB">
        <w:rPr>
          <w:rFonts w:ascii="Times New Roman" w:hAnsi="Times New Roman" w:cs="Times New Roman"/>
          <w:sz w:val="24"/>
          <w:szCs w:val="24"/>
        </w:rPr>
        <w:t>•</w:t>
      </w:r>
      <w:r w:rsidR="00970F6A">
        <w:rPr>
          <w:rFonts w:ascii="Times New Roman" w:hAnsi="Times New Roman" w:cs="Times New Roman"/>
          <w:sz w:val="24"/>
          <w:szCs w:val="24"/>
        </w:rPr>
        <w:tab/>
      </w:r>
      <w:r w:rsidRPr="006D59BB">
        <w:rPr>
          <w:rFonts w:ascii="Times New Roman" w:hAnsi="Times New Roman" w:cs="Times New Roman"/>
          <w:sz w:val="24"/>
          <w:szCs w:val="24"/>
        </w:rPr>
        <w:t>wytyczne w zakresie wykładni przepisów prawa. Organ odwoławczy ma obowiązek, w razie przeprowadzenia przez organ pierwszej instancji błędnej wykładni przepisów prawa, które mają zastosowanie przy proponowanym rozpoznaniu i rozstrzygnięciu sprawy, w decyzji określenia wytycznych w zakresie wykładni tych przepisów (§ 2a).</w:t>
      </w:r>
    </w:p>
    <w:p w14:paraId="0BD85AB8" w14:textId="73EE1BE3" w:rsidR="005C40BC" w:rsidRPr="006D59BB" w:rsidRDefault="005C40BC"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 xml:space="preserve">W praktyce zdarza się, że organ I instancji nie przeprowadził postępowania wyjaśniającego. Podjęcie decyzji przez organ I instancji bez prowadzenia postępowania wyjaśniającego, jeżeli nie było podstaw do zastosowania uproszczonego postępowania wyjaśniającego (art. 35 § 2 Kpa), nie może być sanowane w postępowaniu odwoławczym, ponieważ naruszałoby to zasadę dwuinstancyjności, której istota polega na dwukrotnym rozpoznaniu i rozstrzygnięciu sprawy. W takim przypadku organ odwoławczy ma tylko kompetencje kasacyjne. Do takiego rodzaju </w:t>
      </w:r>
      <w:r w:rsidRPr="006D59BB">
        <w:rPr>
          <w:rFonts w:ascii="Times New Roman" w:hAnsi="Times New Roman" w:cs="Times New Roman"/>
          <w:sz w:val="24"/>
          <w:szCs w:val="24"/>
        </w:rPr>
        <w:lastRenderedPageBreak/>
        <w:t xml:space="preserve">naruszenia przepisów postępowania należy zaliczyć brak lub kwalifikowaną wadliwość środków dowodowych, które nie dają podstaw do ustalenia stanu faktycznego sprawy. Jednocześnie zdarza się, że pomimo wskazania przez organ II instancji okoliczności faktycznych, jakie powinien wziąć pod uwagę organ I instancji przy ponownym rozpatrywaniu sprawy, organ I instancji niekiedy uchyla się od podjęcia czynności, na które wskazywał organ II instancji. Nieustalenie istotnych okoliczności faktycznych ma zawsze istotny wpływ na wynik sprawy, co może prowadzić do uchylenia decyzji. Zatem przepis ten ma na celu zdyscyplinowanie organów I instancji do wykonywania zaleceń organu II instancji i tym samym nieprzedłużania postępowania administracyjnego. Przepis ten ma również na celu </w:t>
      </w:r>
      <w:r w:rsidR="00C52194" w:rsidRPr="006D59BB">
        <w:rPr>
          <w:rFonts w:ascii="Times New Roman" w:hAnsi="Times New Roman" w:cs="Times New Roman"/>
          <w:sz w:val="24"/>
          <w:szCs w:val="24"/>
        </w:rPr>
        <w:t xml:space="preserve">zobligowanie </w:t>
      </w:r>
      <w:r w:rsidRPr="006D59BB">
        <w:rPr>
          <w:rFonts w:ascii="Times New Roman" w:hAnsi="Times New Roman" w:cs="Times New Roman"/>
          <w:sz w:val="24"/>
          <w:szCs w:val="24"/>
        </w:rPr>
        <w:t>organu I instancji do analizy okoliczności wskazanych przez organ II instancji przy ponownym rozpatrywaniu sprawy.</w:t>
      </w:r>
    </w:p>
    <w:p w14:paraId="061CEF7B" w14:textId="77777777" w:rsidR="005C40BC" w:rsidRPr="006D59BB" w:rsidRDefault="005C40BC"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Te same sytuacje zdarzają się w odniesieniu do wytycznych organu odwoławczego w zakresie wykładni przepisów prawa.</w:t>
      </w:r>
    </w:p>
    <w:p w14:paraId="1F1C02B9" w14:textId="0A02F379" w:rsidR="005C40BC" w:rsidRPr="006D59BB" w:rsidRDefault="005C40BC"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Podkreślenia wymaga, że wprowadzenie tego instrumentu, mającego na celu zobowiązanie organu I</w:t>
      </w:r>
      <w:r w:rsidR="004C765C" w:rsidRPr="006D59BB">
        <w:rPr>
          <w:rFonts w:ascii="Times New Roman" w:hAnsi="Times New Roman" w:cs="Times New Roman"/>
          <w:sz w:val="24"/>
          <w:szCs w:val="24"/>
        </w:rPr>
        <w:t> </w:t>
      </w:r>
      <w:r w:rsidRPr="006D59BB">
        <w:rPr>
          <w:rFonts w:ascii="Times New Roman" w:hAnsi="Times New Roman" w:cs="Times New Roman"/>
          <w:sz w:val="24"/>
          <w:szCs w:val="24"/>
        </w:rPr>
        <w:t>instancji do zastosowania się do treści decyzji organu odwoławczego, będzie dotyczyło wyłącznie przypadku, o którym mowa w art. 138 § 2 lub 2a Kpa.</w:t>
      </w:r>
    </w:p>
    <w:p w14:paraId="10A14029" w14:textId="3AB17282" w:rsidR="005C40BC" w:rsidRPr="006D59BB" w:rsidRDefault="005C40BC"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Przepis ten znajdzie zastosowanie, gdy organ II instancji już raz wydał decyzję o przekazaniu sprawy do ponownego rozpatrzenia przez organ I instancji, a ten nie wykonał zaleceń organu II instancji i</w:t>
      </w:r>
      <w:r w:rsidR="00821E81" w:rsidRPr="006D59BB">
        <w:rPr>
          <w:rFonts w:ascii="Times New Roman" w:hAnsi="Times New Roman" w:cs="Times New Roman"/>
          <w:sz w:val="24"/>
          <w:szCs w:val="24"/>
        </w:rPr>
        <w:t> </w:t>
      </w:r>
      <w:r w:rsidRPr="006D59BB">
        <w:rPr>
          <w:rFonts w:ascii="Times New Roman" w:hAnsi="Times New Roman" w:cs="Times New Roman"/>
          <w:sz w:val="24"/>
          <w:szCs w:val="24"/>
        </w:rPr>
        <w:t>w</w:t>
      </w:r>
      <w:r w:rsidR="00821E81" w:rsidRPr="006D59BB">
        <w:rPr>
          <w:rFonts w:ascii="Times New Roman" w:hAnsi="Times New Roman" w:cs="Times New Roman"/>
          <w:sz w:val="24"/>
          <w:szCs w:val="24"/>
        </w:rPr>
        <w:t> </w:t>
      </w:r>
      <w:r w:rsidRPr="006D59BB">
        <w:rPr>
          <w:rFonts w:ascii="Times New Roman" w:hAnsi="Times New Roman" w:cs="Times New Roman"/>
          <w:sz w:val="24"/>
          <w:szCs w:val="24"/>
        </w:rPr>
        <w:t xml:space="preserve">wyniku tego ponownie zostało wniesione odwołanie. </w:t>
      </w:r>
    </w:p>
    <w:p w14:paraId="15272D47" w14:textId="35F24026" w:rsidR="005C40BC" w:rsidRPr="006D59BB" w:rsidRDefault="005C40BC"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Zatem stwierdzenie uchybień w działaniu organu I instancji przy ponownym rozpatrywaniu sprawy, polegające na braku uwzględnienia przez ten organ okoliczności faktycznych lub wytycznych w</w:t>
      </w:r>
      <w:r w:rsidR="00821E81" w:rsidRPr="006D59BB">
        <w:rPr>
          <w:rFonts w:ascii="Times New Roman" w:hAnsi="Times New Roman" w:cs="Times New Roman"/>
          <w:sz w:val="24"/>
          <w:szCs w:val="24"/>
        </w:rPr>
        <w:t> </w:t>
      </w:r>
      <w:r w:rsidRPr="006D59BB">
        <w:rPr>
          <w:rFonts w:ascii="Times New Roman" w:hAnsi="Times New Roman" w:cs="Times New Roman"/>
          <w:sz w:val="24"/>
          <w:szCs w:val="24"/>
        </w:rPr>
        <w:t>zakresie wykładni przepisów prawa wskazanych przez organ odwoławczy, będzie następowało w</w:t>
      </w:r>
      <w:r w:rsidR="00821E81" w:rsidRPr="006D59BB">
        <w:rPr>
          <w:rFonts w:ascii="Times New Roman" w:hAnsi="Times New Roman" w:cs="Times New Roman"/>
          <w:sz w:val="24"/>
          <w:szCs w:val="24"/>
        </w:rPr>
        <w:t> </w:t>
      </w:r>
      <w:r w:rsidRPr="006D59BB">
        <w:rPr>
          <w:rFonts w:ascii="Times New Roman" w:hAnsi="Times New Roman" w:cs="Times New Roman"/>
          <w:sz w:val="24"/>
          <w:szCs w:val="24"/>
        </w:rPr>
        <w:t xml:space="preserve">ramach prowadzonego postępowania odwoławczego, jeżeli strona skorzysta z prawa do wniesienia odwołania na decyzję organu I instancji wydaną po decyzji organu II instancji o przekazaniu sprawy do ponownego rozpatrzenia. </w:t>
      </w:r>
    </w:p>
    <w:p w14:paraId="1B00C21B" w14:textId="08A6F947" w:rsidR="005C40BC" w:rsidRPr="006D59BB" w:rsidRDefault="005C40BC"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 xml:space="preserve">Jednocześnie należy mieć na uwadze, że zarządzenie przez organ odwoławczy ustalenia przyczyn naruszenia obowiązku wynikającego z art. 138 § 2 lub 2a Kpa będzie toczyło się obok (niezależnie od) prowadzonego postępowania odwoławczego – sprawa ta będzie wyjaśniana wyłącznie pomiędzy organem pierwszej i drugiej instancji. </w:t>
      </w:r>
    </w:p>
    <w:p w14:paraId="50B4B82F" w14:textId="6ED85AE7" w:rsidR="003057CA" w:rsidRPr="006D59BB" w:rsidRDefault="003057CA"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Przepis art. 139a § 1 Kpa przewiduje związanie organu pierwszej instancji w przypadku</w:t>
      </w:r>
      <w:r w:rsidR="00CB7C74" w:rsidRPr="006D59BB">
        <w:rPr>
          <w:rFonts w:ascii="Times New Roman" w:hAnsi="Times New Roman" w:cs="Times New Roman"/>
          <w:sz w:val="24"/>
          <w:szCs w:val="24"/>
        </w:rPr>
        <w:t>,</w:t>
      </w:r>
      <w:r w:rsidRPr="006D59BB">
        <w:rPr>
          <w:rFonts w:ascii="Times New Roman" w:hAnsi="Times New Roman" w:cs="Times New Roman"/>
          <w:sz w:val="24"/>
          <w:szCs w:val="24"/>
        </w:rPr>
        <w:t xml:space="preserve"> o którym mowa w art. 138 § 2 lub 2a Kpa, wytycznymi organu odwoławczego wskazanymi w decyzji uchylającej zaskarżoną decyzję w całości i przekazującej sprawę do ponownego </w:t>
      </w:r>
      <w:r w:rsidRPr="006D59BB">
        <w:rPr>
          <w:rFonts w:ascii="Times New Roman" w:hAnsi="Times New Roman" w:cs="Times New Roman"/>
          <w:sz w:val="24"/>
          <w:szCs w:val="24"/>
        </w:rPr>
        <w:lastRenderedPageBreak/>
        <w:t>rozpatrzenia. Niemniej przepis ten przewiduje, że powyższe związanie nie będzie miało miejsca, gdy</w:t>
      </w:r>
      <w:r w:rsidR="000C180C" w:rsidRPr="006D59BB">
        <w:rPr>
          <w:rFonts w:ascii="Times New Roman" w:hAnsi="Times New Roman" w:cs="Times New Roman"/>
          <w:sz w:val="24"/>
          <w:szCs w:val="24"/>
        </w:rPr>
        <w:t xml:space="preserve"> </w:t>
      </w:r>
      <w:r w:rsidRPr="006D59BB">
        <w:rPr>
          <w:rFonts w:ascii="Times New Roman" w:hAnsi="Times New Roman" w:cs="Times New Roman"/>
          <w:sz w:val="24"/>
          <w:szCs w:val="24"/>
        </w:rPr>
        <w:t>przepisy prawa uległy zmianie</w:t>
      </w:r>
      <w:r w:rsidR="000C180C" w:rsidRPr="006D59BB">
        <w:rPr>
          <w:rFonts w:ascii="Times New Roman" w:hAnsi="Times New Roman" w:cs="Times New Roman"/>
          <w:sz w:val="24"/>
          <w:szCs w:val="24"/>
        </w:rPr>
        <w:t>.</w:t>
      </w:r>
    </w:p>
    <w:p w14:paraId="016FC470" w14:textId="32534BE4" w:rsidR="005C40BC" w:rsidRPr="006D59BB" w:rsidRDefault="005C40BC"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 xml:space="preserve">Art. 139a § </w:t>
      </w:r>
      <w:r w:rsidR="00B2748C" w:rsidRPr="006D59BB">
        <w:rPr>
          <w:rFonts w:ascii="Times New Roman" w:hAnsi="Times New Roman" w:cs="Times New Roman"/>
          <w:sz w:val="24"/>
          <w:szCs w:val="24"/>
        </w:rPr>
        <w:t xml:space="preserve">2 </w:t>
      </w:r>
      <w:r w:rsidRPr="006D59BB">
        <w:rPr>
          <w:rFonts w:ascii="Times New Roman" w:hAnsi="Times New Roman" w:cs="Times New Roman"/>
          <w:sz w:val="24"/>
          <w:szCs w:val="24"/>
        </w:rPr>
        <w:t xml:space="preserve">Kpa stanowi, że organ odwoławczy „zarządza” wyjaśnienie przyczyn. W tym zakresie należy wskazać, że organ odwoławczy będzie zarządzał wyjaśnienie przez organ pierwszej instancji wskazanych w art. 139a § </w:t>
      </w:r>
      <w:r w:rsidR="00B2748C" w:rsidRPr="006D59BB">
        <w:rPr>
          <w:rFonts w:ascii="Times New Roman" w:hAnsi="Times New Roman" w:cs="Times New Roman"/>
          <w:sz w:val="24"/>
          <w:szCs w:val="24"/>
        </w:rPr>
        <w:t xml:space="preserve">2 </w:t>
      </w:r>
      <w:r w:rsidRPr="006D59BB">
        <w:rPr>
          <w:rFonts w:ascii="Times New Roman" w:hAnsi="Times New Roman" w:cs="Times New Roman"/>
          <w:sz w:val="24"/>
          <w:szCs w:val="24"/>
        </w:rPr>
        <w:t xml:space="preserve">Kpa kwestii w ramach odrębnego postępowania, które będzie całkowicie niezależne od postępowania odwoławczego (tj. głównego) i nie będzie miało na nie wpływu. </w:t>
      </w:r>
    </w:p>
    <w:p w14:paraId="37CFA766" w14:textId="743489CA" w:rsidR="005C40BC" w:rsidRPr="006D59BB" w:rsidRDefault="005C40BC"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 xml:space="preserve">Należy też wskazać, że „zarządzenie” </w:t>
      </w:r>
      <w:bookmarkStart w:id="12" w:name="_Hlk163120921"/>
      <w:r w:rsidR="00C52194" w:rsidRPr="006D59BB">
        <w:rPr>
          <w:rFonts w:ascii="Times New Roman" w:hAnsi="Times New Roman" w:cs="Times New Roman"/>
          <w:sz w:val="24"/>
          <w:szCs w:val="24"/>
        </w:rPr>
        <w:t>wyjaśnienia</w:t>
      </w:r>
      <w:bookmarkEnd w:id="12"/>
      <w:r w:rsidRPr="006D59BB">
        <w:rPr>
          <w:rFonts w:ascii="Times New Roman" w:hAnsi="Times New Roman" w:cs="Times New Roman"/>
          <w:sz w:val="24"/>
          <w:szCs w:val="24"/>
        </w:rPr>
        <w:t xml:space="preserve"> przyczyn nie będzie wydawane ani w formie decyzji ani w formie postanowienia. Zarządzenie, o którym mowa w art. art. 139a § </w:t>
      </w:r>
      <w:r w:rsidR="00B2748C" w:rsidRPr="006D59BB">
        <w:rPr>
          <w:rFonts w:ascii="Times New Roman" w:hAnsi="Times New Roman" w:cs="Times New Roman"/>
          <w:sz w:val="24"/>
          <w:szCs w:val="24"/>
        </w:rPr>
        <w:t xml:space="preserve">2 </w:t>
      </w:r>
      <w:r w:rsidRPr="006D59BB">
        <w:rPr>
          <w:rFonts w:ascii="Times New Roman" w:hAnsi="Times New Roman" w:cs="Times New Roman"/>
          <w:sz w:val="24"/>
          <w:szCs w:val="24"/>
        </w:rPr>
        <w:t>Kpa, będzie miało formę zwykłego pisma skierowanego do organu pierwszej instancji. W tym zakresie należy wskazać, że strona nie będzie uczestnikiem „postępowania” zainicjowanego w związku z</w:t>
      </w:r>
      <w:r w:rsidR="00821E81" w:rsidRPr="006D59BB">
        <w:rPr>
          <w:rFonts w:ascii="Times New Roman" w:hAnsi="Times New Roman" w:cs="Times New Roman"/>
          <w:sz w:val="24"/>
          <w:szCs w:val="24"/>
        </w:rPr>
        <w:t> </w:t>
      </w:r>
      <w:r w:rsidRPr="006D59BB">
        <w:rPr>
          <w:rFonts w:ascii="Times New Roman" w:hAnsi="Times New Roman" w:cs="Times New Roman"/>
          <w:sz w:val="24"/>
          <w:szCs w:val="24"/>
        </w:rPr>
        <w:t xml:space="preserve">zarządzeniem wyjaśnienia kwestii wskazanych w art. art. 139a § </w:t>
      </w:r>
      <w:r w:rsidR="00B2748C" w:rsidRPr="006D59BB">
        <w:rPr>
          <w:rFonts w:ascii="Times New Roman" w:hAnsi="Times New Roman" w:cs="Times New Roman"/>
          <w:sz w:val="24"/>
          <w:szCs w:val="24"/>
        </w:rPr>
        <w:t>2</w:t>
      </w:r>
      <w:r w:rsidRPr="006D59BB">
        <w:rPr>
          <w:rFonts w:ascii="Times New Roman" w:hAnsi="Times New Roman" w:cs="Times New Roman"/>
          <w:sz w:val="24"/>
          <w:szCs w:val="24"/>
        </w:rPr>
        <w:t xml:space="preserve"> Kpa. Zatem wprowadzenie regulacji, w zakresie wydania zarządzenia w formie postanowienia czy decyzji nie ma uzasadnienia ponieważ nie będzie podmiotu upoważnionego do zaskarżenia takiego rozstrzygnięcia. Kwestie związane z wyjaśnieniem okoliczności, o których mowa w art. 139a § 1 Kpa, będą należały wyłącznie do organu pierwszej instancji w związku z zarządzeniem organu odwoławczego a strona postępowania nie będzie uczestnikiem tego „postępowania”.</w:t>
      </w:r>
    </w:p>
    <w:p w14:paraId="3455BC10" w14:textId="77777777" w:rsidR="005C40BC" w:rsidRPr="006D59BB" w:rsidRDefault="005C40BC"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Organem właściwym do wyjaśnienia przyczyn i ustalenia osób winnych naruszenia art. 138 § 2 lub 2a Kpa, będzie organ pierwszej instancji.</w:t>
      </w:r>
    </w:p>
    <w:p w14:paraId="50564226" w14:textId="45A2C237" w:rsidR="00FE2A67" w:rsidRPr="006D59BB" w:rsidRDefault="00FE2A67"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 xml:space="preserve">Jednocześnie należy wskazać, że zgodnie z art. </w:t>
      </w:r>
      <w:proofErr w:type="spellStart"/>
      <w:r w:rsidRPr="006D59BB">
        <w:rPr>
          <w:rFonts w:ascii="Times New Roman" w:hAnsi="Times New Roman" w:cs="Times New Roman"/>
          <w:sz w:val="24"/>
          <w:szCs w:val="24"/>
        </w:rPr>
        <w:t>64e</w:t>
      </w:r>
      <w:proofErr w:type="spellEnd"/>
      <w:r w:rsidRPr="006D59BB">
        <w:rPr>
          <w:rFonts w:ascii="Times New Roman" w:hAnsi="Times New Roman" w:cs="Times New Roman"/>
          <w:sz w:val="24"/>
          <w:szCs w:val="24"/>
        </w:rPr>
        <w:t xml:space="preserve"> </w:t>
      </w:r>
      <w:proofErr w:type="spellStart"/>
      <w:r w:rsidR="00AB24A7" w:rsidRPr="006D59BB">
        <w:rPr>
          <w:rFonts w:ascii="Times New Roman" w:hAnsi="Times New Roman" w:cs="Times New Roman"/>
          <w:sz w:val="24"/>
          <w:szCs w:val="24"/>
        </w:rPr>
        <w:t>Ppsa</w:t>
      </w:r>
      <w:proofErr w:type="spellEnd"/>
      <w:r w:rsidRPr="006D59BB">
        <w:rPr>
          <w:rFonts w:ascii="Times New Roman" w:hAnsi="Times New Roman" w:cs="Times New Roman"/>
          <w:sz w:val="24"/>
          <w:szCs w:val="24"/>
        </w:rPr>
        <w:t xml:space="preserve"> rozpoznając sprzeciw od decyzji, sąd ocenia jedynie istnienie przesłanek do wydania decyzji, o której mowa w art. 138 § 2 </w:t>
      </w:r>
      <w:r w:rsidR="001E1C5A" w:rsidRPr="006D59BB">
        <w:rPr>
          <w:rFonts w:ascii="Times New Roman" w:hAnsi="Times New Roman" w:cs="Times New Roman"/>
          <w:sz w:val="24"/>
          <w:szCs w:val="24"/>
        </w:rPr>
        <w:t>Kpa</w:t>
      </w:r>
      <w:r w:rsidRPr="006D59BB">
        <w:rPr>
          <w:rFonts w:ascii="Times New Roman" w:hAnsi="Times New Roman" w:cs="Times New Roman"/>
          <w:sz w:val="24"/>
          <w:szCs w:val="24"/>
        </w:rPr>
        <w:t>. W związku z tym w</w:t>
      </w:r>
      <w:r w:rsidR="006F3E02" w:rsidRPr="006D59BB">
        <w:rPr>
          <w:rFonts w:ascii="Times New Roman" w:hAnsi="Times New Roman" w:cs="Times New Roman"/>
          <w:sz w:val="24"/>
          <w:szCs w:val="24"/>
        </w:rPr>
        <w:t> </w:t>
      </w:r>
      <w:r w:rsidRPr="006D59BB">
        <w:rPr>
          <w:rFonts w:ascii="Times New Roman" w:hAnsi="Times New Roman" w:cs="Times New Roman"/>
          <w:sz w:val="24"/>
          <w:szCs w:val="24"/>
        </w:rPr>
        <w:t>ramach sprzeciwu sąd będzie oceniał wytyczne organu II instancji</w:t>
      </w:r>
      <w:r w:rsidR="00F50FB5" w:rsidRPr="006D59BB">
        <w:rPr>
          <w:rFonts w:ascii="Times New Roman" w:hAnsi="Times New Roman" w:cs="Times New Roman"/>
          <w:sz w:val="24"/>
          <w:szCs w:val="24"/>
        </w:rPr>
        <w:t>,</w:t>
      </w:r>
      <w:r w:rsidRPr="006D59BB">
        <w:rPr>
          <w:rFonts w:ascii="Times New Roman" w:hAnsi="Times New Roman" w:cs="Times New Roman"/>
          <w:sz w:val="24"/>
          <w:szCs w:val="24"/>
        </w:rPr>
        <w:t xml:space="preserve"> ponieważ to one będą stanowiły uzasadnioną podstawę uchylenia i przekazania sprawy do ponownego rozpatrzenia organowi I instancji. Nadmienić należy, że wytyczne organu II instancji będą zawarte w decyzji kasacyjnej.</w:t>
      </w:r>
    </w:p>
    <w:p w14:paraId="20BAD68B" w14:textId="54DC6E52" w:rsidR="003057CA" w:rsidRPr="00970F6A" w:rsidRDefault="003057CA" w:rsidP="006D59BB">
      <w:pPr>
        <w:pStyle w:val="Akapitzlist"/>
        <w:numPr>
          <w:ilvl w:val="0"/>
          <w:numId w:val="1"/>
        </w:numPr>
        <w:tabs>
          <w:tab w:val="left" w:pos="426"/>
        </w:tabs>
        <w:spacing w:before="120" w:after="0" w:line="360" w:lineRule="auto"/>
        <w:ind w:left="0" w:firstLine="0"/>
        <w:jc w:val="both"/>
        <w:rPr>
          <w:rFonts w:ascii="Times New Roman" w:hAnsi="Times New Roman" w:cs="Times New Roman"/>
          <w:sz w:val="24"/>
          <w:szCs w:val="24"/>
        </w:rPr>
      </w:pPr>
      <w:r w:rsidRPr="00970F6A">
        <w:rPr>
          <w:rFonts w:ascii="Times New Roman" w:hAnsi="Times New Roman" w:cs="Times New Roman"/>
          <w:sz w:val="24"/>
          <w:szCs w:val="24"/>
        </w:rPr>
        <w:t>Zmiany dotyczące biegu terminu przedawnienia nałożenia administracyjnej kary pieniężnej</w:t>
      </w:r>
      <w:r w:rsidR="002A6303" w:rsidRPr="00970F6A">
        <w:rPr>
          <w:rFonts w:ascii="Times New Roman" w:hAnsi="Times New Roman" w:cs="Times New Roman"/>
          <w:sz w:val="24"/>
          <w:szCs w:val="24"/>
        </w:rPr>
        <w:t>.</w:t>
      </w:r>
    </w:p>
    <w:p w14:paraId="3AC56837" w14:textId="0C900888" w:rsidR="003057CA" w:rsidRPr="006D59BB" w:rsidRDefault="003057CA"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Zgodnie z art. 189g § 1 K</w:t>
      </w:r>
      <w:r w:rsidR="00C2495E" w:rsidRPr="006D59BB">
        <w:rPr>
          <w:rFonts w:ascii="Times New Roman" w:hAnsi="Times New Roman" w:cs="Times New Roman"/>
          <w:sz w:val="24"/>
          <w:szCs w:val="24"/>
        </w:rPr>
        <w:t>pa</w:t>
      </w:r>
      <w:r w:rsidRPr="006D59BB">
        <w:rPr>
          <w:rFonts w:ascii="Times New Roman" w:hAnsi="Times New Roman" w:cs="Times New Roman"/>
          <w:sz w:val="24"/>
          <w:szCs w:val="24"/>
        </w:rPr>
        <w:t xml:space="preserve"> administracyjna kara pieniężna nie może zostać nałożona, jeżeli upłynęło pięć lat od dnia naruszenia prawa albo wystąpienia skutków naruszenia prawa.</w:t>
      </w:r>
    </w:p>
    <w:p w14:paraId="423BD807" w14:textId="269A5E98" w:rsidR="003057CA" w:rsidRPr="006D59BB" w:rsidRDefault="003057CA"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Przerwanie biegu terminu przedawnienia, o którym mowa w art. 189g § 1 K</w:t>
      </w:r>
      <w:r w:rsidR="00C2495E" w:rsidRPr="006D59BB">
        <w:rPr>
          <w:rFonts w:ascii="Times New Roman" w:hAnsi="Times New Roman" w:cs="Times New Roman"/>
          <w:sz w:val="24"/>
          <w:szCs w:val="24"/>
        </w:rPr>
        <w:t>pa</w:t>
      </w:r>
      <w:r w:rsidRPr="006D59BB">
        <w:rPr>
          <w:rFonts w:ascii="Times New Roman" w:hAnsi="Times New Roman" w:cs="Times New Roman"/>
          <w:sz w:val="24"/>
          <w:szCs w:val="24"/>
        </w:rPr>
        <w:t>, następuje wyłącznie w</w:t>
      </w:r>
      <w:r w:rsidR="006F3E02" w:rsidRPr="006D59BB">
        <w:rPr>
          <w:rFonts w:ascii="Times New Roman" w:hAnsi="Times New Roman" w:cs="Times New Roman"/>
          <w:sz w:val="24"/>
          <w:szCs w:val="24"/>
        </w:rPr>
        <w:t> </w:t>
      </w:r>
      <w:r w:rsidRPr="006D59BB">
        <w:rPr>
          <w:rFonts w:ascii="Times New Roman" w:hAnsi="Times New Roman" w:cs="Times New Roman"/>
          <w:sz w:val="24"/>
          <w:szCs w:val="24"/>
        </w:rPr>
        <w:t>przypadkach, o których mowa w art. 189h K</w:t>
      </w:r>
      <w:r w:rsidR="00C2495E" w:rsidRPr="006D59BB">
        <w:rPr>
          <w:rFonts w:ascii="Times New Roman" w:hAnsi="Times New Roman" w:cs="Times New Roman"/>
          <w:sz w:val="24"/>
          <w:szCs w:val="24"/>
        </w:rPr>
        <w:t>pa</w:t>
      </w:r>
      <w:r w:rsidRPr="006D59BB">
        <w:rPr>
          <w:rFonts w:ascii="Times New Roman" w:hAnsi="Times New Roman" w:cs="Times New Roman"/>
          <w:sz w:val="24"/>
          <w:szCs w:val="24"/>
        </w:rPr>
        <w:t xml:space="preserve">. </w:t>
      </w:r>
    </w:p>
    <w:p w14:paraId="0CDB5A6A" w14:textId="77777777" w:rsidR="003057CA" w:rsidRPr="006D59BB" w:rsidRDefault="003057CA"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lastRenderedPageBreak/>
        <w:t>Zgodnie z obowiązującym art. 189h § 4 Kpa bieg terminu przedawnienia nałożenia administracyjnej kary pieniężnej nie rozpoczyna się, a rozpoczęty ulega zawieszeniu z dniem:</w:t>
      </w:r>
    </w:p>
    <w:p w14:paraId="56284E20" w14:textId="2EFD8BDA" w:rsidR="003057CA" w:rsidRPr="006D59BB" w:rsidRDefault="003057CA" w:rsidP="006D59BB">
      <w:pPr>
        <w:pStyle w:val="Akapitzlist"/>
        <w:numPr>
          <w:ilvl w:val="0"/>
          <w:numId w:val="21"/>
        </w:numPr>
        <w:spacing w:after="0" w:line="360" w:lineRule="auto"/>
        <w:ind w:left="426" w:hanging="437"/>
        <w:jc w:val="both"/>
        <w:rPr>
          <w:rFonts w:ascii="Times New Roman" w:hAnsi="Times New Roman" w:cs="Times New Roman"/>
          <w:sz w:val="24"/>
          <w:szCs w:val="24"/>
        </w:rPr>
      </w:pPr>
      <w:r w:rsidRPr="006D59BB">
        <w:rPr>
          <w:rFonts w:ascii="Times New Roman" w:hAnsi="Times New Roman" w:cs="Times New Roman"/>
          <w:sz w:val="24"/>
          <w:szCs w:val="24"/>
        </w:rPr>
        <w:t>wniesienia środka zaskarżenia od decyzji w przedmiocie administracyjnej kary pieniężnej do sądu administracyjnego albo sądu powszechnego, albo skargi kasacyjnej od prawomocnego orzeczenia w</w:t>
      </w:r>
      <w:r w:rsidR="00E6226B" w:rsidRPr="006D59BB">
        <w:rPr>
          <w:rFonts w:ascii="Times New Roman" w:hAnsi="Times New Roman" w:cs="Times New Roman"/>
          <w:sz w:val="24"/>
          <w:szCs w:val="24"/>
        </w:rPr>
        <w:t> </w:t>
      </w:r>
      <w:r w:rsidRPr="006D59BB">
        <w:rPr>
          <w:rFonts w:ascii="Times New Roman" w:hAnsi="Times New Roman" w:cs="Times New Roman"/>
          <w:sz w:val="24"/>
          <w:szCs w:val="24"/>
        </w:rPr>
        <w:t>przedmiocie administracyjnej kary pieniężnej;</w:t>
      </w:r>
    </w:p>
    <w:p w14:paraId="634A159D" w14:textId="4FEAFF17" w:rsidR="003057CA" w:rsidRPr="006D59BB" w:rsidRDefault="003057CA" w:rsidP="006D59BB">
      <w:pPr>
        <w:pStyle w:val="Akapitzlist"/>
        <w:numPr>
          <w:ilvl w:val="0"/>
          <w:numId w:val="21"/>
        </w:numPr>
        <w:spacing w:before="120" w:after="0" w:line="360" w:lineRule="auto"/>
        <w:ind w:left="426" w:hanging="437"/>
        <w:jc w:val="both"/>
        <w:rPr>
          <w:rFonts w:ascii="Times New Roman" w:hAnsi="Times New Roman" w:cs="Times New Roman"/>
          <w:sz w:val="24"/>
          <w:szCs w:val="24"/>
        </w:rPr>
      </w:pPr>
      <w:r w:rsidRPr="006D59BB">
        <w:rPr>
          <w:rFonts w:ascii="Times New Roman" w:hAnsi="Times New Roman" w:cs="Times New Roman"/>
          <w:sz w:val="24"/>
          <w:szCs w:val="24"/>
        </w:rPr>
        <w:t>wniesienia żądania ustalenia przez sąd powszechny istnienia lub nieistnienia stosunku prawnego lub prawa;</w:t>
      </w:r>
    </w:p>
    <w:p w14:paraId="2C2C08C5" w14:textId="0548E77B" w:rsidR="003057CA" w:rsidRPr="006D59BB" w:rsidRDefault="003057CA" w:rsidP="006D59BB">
      <w:pPr>
        <w:pStyle w:val="Akapitzlist"/>
        <w:numPr>
          <w:ilvl w:val="0"/>
          <w:numId w:val="21"/>
        </w:numPr>
        <w:spacing w:before="120" w:after="0" w:line="360" w:lineRule="auto"/>
        <w:ind w:left="426" w:hanging="437"/>
        <w:jc w:val="both"/>
        <w:rPr>
          <w:rFonts w:ascii="Times New Roman" w:hAnsi="Times New Roman" w:cs="Times New Roman"/>
          <w:sz w:val="24"/>
          <w:szCs w:val="24"/>
        </w:rPr>
      </w:pPr>
      <w:r w:rsidRPr="006D59BB">
        <w:rPr>
          <w:rFonts w:ascii="Times New Roman" w:hAnsi="Times New Roman" w:cs="Times New Roman"/>
          <w:sz w:val="24"/>
          <w:szCs w:val="24"/>
        </w:rPr>
        <w:t>doręczenia zarządzenia zabezpieczenia w trybie przepisów o postępowaniu egzekucyjnym w</w:t>
      </w:r>
      <w:r w:rsidR="00E6226B" w:rsidRPr="006D59BB">
        <w:rPr>
          <w:rFonts w:ascii="Times New Roman" w:hAnsi="Times New Roman" w:cs="Times New Roman"/>
          <w:sz w:val="24"/>
          <w:szCs w:val="24"/>
        </w:rPr>
        <w:t> </w:t>
      </w:r>
      <w:r w:rsidRPr="006D59BB">
        <w:rPr>
          <w:rFonts w:ascii="Times New Roman" w:hAnsi="Times New Roman" w:cs="Times New Roman"/>
          <w:sz w:val="24"/>
          <w:szCs w:val="24"/>
        </w:rPr>
        <w:t>administracji, jeżeli przepisy odrębne przewidują możliwość zarządzenia zabezpieczenia.</w:t>
      </w:r>
    </w:p>
    <w:p w14:paraId="30593426" w14:textId="77777777" w:rsidR="003057CA" w:rsidRPr="006D59BB" w:rsidRDefault="003057CA" w:rsidP="006D59BB">
      <w:pPr>
        <w:spacing w:before="120" w:after="0" w:line="360" w:lineRule="auto"/>
        <w:ind w:hanging="11"/>
        <w:jc w:val="both"/>
        <w:rPr>
          <w:rFonts w:ascii="Times New Roman" w:hAnsi="Times New Roman" w:cs="Times New Roman"/>
          <w:sz w:val="24"/>
          <w:szCs w:val="24"/>
        </w:rPr>
      </w:pPr>
      <w:r w:rsidRPr="006D59BB">
        <w:rPr>
          <w:rFonts w:ascii="Times New Roman" w:hAnsi="Times New Roman" w:cs="Times New Roman"/>
          <w:sz w:val="24"/>
          <w:szCs w:val="24"/>
        </w:rPr>
        <w:t>Natomiast w myśl obecnego brzmienia art. 189h § 5 Kpa termin przedawnienia nałożenia administracyjnej kary pieniężnej rozpoczyna się, a po zawieszeniu biegnie dalej, od dnia następującego po dniu:</w:t>
      </w:r>
    </w:p>
    <w:p w14:paraId="693273B0" w14:textId="58E51028" w:rsidR="003057CA" w:rsidRPr="006D59BB" w:rsidRDefault="003057CA" w:rsidP="006D59BB">
      <w:pPr>
        <w:pStyle w:val="Akapitzlist"/>
        <w:numPr>
          <w:ilvl w:val="0"/>
          <w:numId w:val="21"/>
        </w:numPr>
        <w:tabs>
          <w:tab w:val="left" w:pos="426"/>
        </w:tabs>
        <w:spacing w:after="0" w:line="360" w:lineRule="auto"/>
        <w:ind w:left="426" w:hanging="437"/>
        <w:jc w:val="both"/>
        <w:rPr>
          <w:rFonts w:ascii="Times New Roman" w:hAnsi="Times New Roman" w:cs="Times New Roman"/>
          <w:sz w:val="24"/>
          <w:szCs w:val="24"/>
        </w:rPr>
      </w:pPr>
      <w:r w:rsidRPr="006D59BB">
        <w:rPr>
          <w:rFonts w:ascii="Times New Roman" w:hAnsi="Times New Roman" w:cs="Times New Roman"/>
          <w:sz w:val="24"/>
          <w:szCs w:val="24"/>
        </w:rPr>
        <w:t>uprawomocnienia się orzeczenia sądu administracyjnego albo sądu powszechnego właściwego do rozpoznania odwołania od decyzji w przedmiocie administracyjnej kary pieniężnej, albo odmowy przyjęcia skargi kasacyjnej do rozpoznania przez Sąd Najwyższy, oddalenia skargi kasacyjnej, albo uchylenia przez Sąd Najwyższy zaskarżonego wyroku i orzeczenia co do istoty sprawy;</w:t>
      </w:r>
    </w:p>
    <w:p w14:paraId="4F8D17A1" w14:textId="66A9AA64" w:rsidR="003057CA" w:rsidRPr="006D59BB" w:rsidRDefault="003057CA" w:rsidP="006D59BB">
      <w:pPr>
        <w:pStyle w:val="Akapitzlist"/>
        <w:numPr>
          <w:ilvl w:val="0"/>
          <w:numId w:val="21"/>
        </w:numPr>
        <w:tabs>
          <w:tab w:val="left" w:pos="426"/>
        </w:tabs>
        <w:spacing w:before="120" w:after="0" w:line="360" w:lineRule="auto"/>
        <w:ind w:left="426" w:hanging="437"/>
        <w:jc w:val="both"/>
        <w:rPr>
          <w:rFonts w:ascii="Times New Roman" w:hAnsi="Times New Roman" w:cs="Times New Roman"/>
          <w:sz w:val="24"/>
          <w:szCs w:val="24"/>
        </w:rPr>
      </w:pPr>
      <w:r w:rsidRPr="006D59BB">
        <w:rPr>
          <w:rFonts w:ascii="Times New Roman" w:hAnsi="Times New Roman" w:cs="Times New Roman"/>
          <w:sz w:val="24"/>
          <w:szCs w:val="24"/>
        </w:rPr>
        <w:t>uprawomocnienia się orzeczenia lub ogłoszenia prawomocnego orzeczenia sądu powszechnego w</w:t>
      </w:r>
      <w:r w:rsidR="00E6226B" w:rsidRPr="006D59BB">
        <w:rPr>
          <w:rFonts w:ascii="Times New Roman" w:hAnsi="Times New Roman" w:cs="Times New Roman"/>
          <w:sz w:val="24"/>
          <w:szCs w:val="24"/>
        </w:rPr>
        <w:t> </w:t>
      </w:r>
      <w:r w:rsidRPr="006D59BB">
        <w:rPr>
          <w:rFonts w:ascii="Times New Roman" w:hAnsi="Times New Roman" w:cs="Times New Roman"/>
          <w:sz w:val="24"/>
          <w:szCs w:val="24"/>
        </w:rPr>
        <w:t>sprawie ustalenia istnienia lub nieistnienia stosunku prawnego lub prawa;</w:t>
      </w:r>
    </w:p>
    <w:p w14:paraId="72D05C85" w14:textId="15FAB2B2" w:rsidR="003057CA" w:rsidRPr="006D59BB" w:rsidRDefault="003057CA" w:rsidP="006D59BB">
      <w:pPr>
        <w:pStyle w:val="Akapitzlist"/>
        <w:numPr>
          <w:ilvl w:val="0"/>
          <w:numId w:val="21"/>
        </w:numPr>
        <w:tabs>
          <w:tab w:val="left" w:pos="426"/>
        </w:tabs>
        <w:spacing w:before="120" w:after="0" w:line="360" w:lineRule="auto"/>
        <w:ind w:left="426" w:hanging="437"/>
        <w:jc w:val="both"/>
        <w:rPr>
          <w:rFonts w:ascii="Times New Roman" w:hAnsi="Times New Roman" w:cs="Times New Roman"/>
          <w:sz w:val="24"/>
          <w:szCs w:val="24"/>
        </w:rPr>
      </w:pPr>
      <w:r w:rsidRPr="006D59BB">
        <w:rPr>
          <w:rFonts w:ascii="Times New Roman" w:hAnsi="Times New Roman" w:cs="Times New Roman"/>
          <w:sz w:val="24"/>
          <w:szCs w:val="24"/>
        </w:rPr>
        <w:t>zakończenia postępowania zabezpieczającego w trybie przepisów o postępowaniu egzekucyjnym w</w:t>
      </w:r>
      <w:r w:rsidR="00E6226B" w:rsidRPr="006D59BB">
        <w:rPr>
          <w:rFonts w:ascii="Times New Roman" w:hAnsi="Times New Roman" w:cs="Times New Roman"/>
          <w:sz w:val="24"/>
          <w:szCs w:val="24"/>
        </w:rPr>
        <w:t> </w:t>
      </w:r>
      <w:r w:rsidRPr="006D59BB">
        <w:rPr>
          <w:rFonts w:ascii="Times New Roman" w:hAnsi="Times New Roman" w:cs="Times New Roman"/>
          <w:sz w:val="24"/>
          <w:szCs w:val="24"/>
        </w:rPr>
        <w:t>administracji.</w:t>
      </w:r>
    </w:p>
    <w:p w14:paraId="3E7A3CC6" w14:textId="7A408F7B" w:rsidR="003057CA" w:rsidRPr="006D59BB" w:rsidRDefault="003057CA"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W katalogu przyczyn przerwania i zawieszenia biegu terminu przedawnienia nałożenia administracyjnej kary pieniężnej nie zostało uwzględnione obligatoryjne zawieszenie postępowania, o którym mowa w</w:t>
      </w:r>
      <w:r w:rsidR="00E6226B" w:rsidRPr="006D59BB">
        <w:rPr>
          <w:rFonts w:ascii="Times New Roman" w:hAnsi="Times New Roman" w:cs="Times New Roman"/>
          <w:sz w:val="24"/>
          <w:szCs w:val="24"/>
        </w:rPr>
        <w:t> </w:t>
      </w:r>
      <w:r w:rsidRPr="006D59BB">
        <w:rPr>
          <w:rFonts w:ascii="Times New Roman" w:hAnsi="Times New Roman" w:cs="Times New Roman"/>
          <w:sz w:val="24"/>
          <w:szCs w:val="24"/>
        </w:rPr>
        <w:t>art. 97 § 1 pkt 2</w:t>
      </w:r>
      <w:r w:rsidR="0081387C">
        <w:rPr>
          <w:rFonts w:ascii="Times New Roman" w:hAnsi="Times New Roman" w:cs="Times New Roman"/>
          <w:sz w:val="24"/>
          <w:szCs w:val="24"/>
        </w:rPr>
        <w:t>–</w:t>
      </w:r>
      <w:r w:rsidRPr="006D59BB">
        <w:rPr>
          <w:rFonts w:ascii="Times New Roman" w:hAnsi="Times New Roman" w:cs="Times New Roman"/>
          <w:sz w:val="24"/>
          <w:szCs w:val="24"/>
        </w:rPr>
        <w:t>4 Kpa. W związku z tym ww. katalog uzupełniony został o okres obligatoryjnego zawieszenia postępowania przez zmianę w tym zakresie art. 189h § 4 i § 5 Kpa.</w:t>
      </w:r>
    </w:p>
    <w:p w14:paraId="727A457A" w14:textId="19CD505B" w:rsidR="003057CA" w:rsidRPr="006D59BB" w:rsidRDefault="003057CA"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 xml:space="preserve">W postępowaniach w sprawie zapłaty administracyjnej kary pieniężnej nierzadko występują sytuacje, które powodują obligatoryjne zawieszenie postępowania administracyjnego na podstawie art. 97 </w:t>
      </w:r>
      <w:bookmarkStart w:id="13" w:name="_Hlk171429183"/>
      <w:r w:rsidRPr="006D59BB">
        <w:rPr>
          <w:rFonts w:ascii="Times New Roman" w:hAnsi="Times New Roman" w:cs="Times New Roman"/>
          <w:sz w:val="24"/>
          <w:szCs w:val="24"/>
        </w:rPr>
        <w:t xml:space="preserve">§ </w:t>
      </w:r>
      <w:bookmarkEnd w:id="13"/>
      <w:r w:rsidRPr="006D59BB">
        <w:rPr>
          <w:rFonts w:ascii="Times New Roman" w:hAnsi="Times New Roman" w:cs="Times New Roman"/>
          <w:sz w:val="24"/>
          <w:szCs w:val="24"/>
        </w:rPr>
        <w:t>1 pkt 2</w:t>
      </w:r>
      <w:r w:rsidR="0081387C">
        <w:rPr>
          <w:rFonts w:ascii="Times New Roman" w:hAnsi="Times New Roman" w:cs="Times New Roman"/>
          <w:sz w:val="24"/>
          <w:szCs w:val="24"/>
        </w:rPr>
        <w:t>–</w:t>
      </w:r>
      <w:r w:rsidRPr="006D59BB">
        <w:rPr>
          <w:rFonts w:ascii="Times New Roman" w:hAnsi="Times New Roman" w:cs="Times New Roman"/>
          <w:sz w:val="24"/>
          <w:szCs w:val="24"/>
        </w:rPr>
        <w:t xml:space="preserve">4 Kpa, np. w razie utraty przez stronę lub przez jej ustawowego przedstawiciela zdolności do czynności prawnych (art. 97 § 1 pkt 3 Kpa). Zgodnie z art. 102 Kpa w czasie zawieszenia postępowania organ administracji publicznej może podejmować jedynie czynności niezbędne w celu zapobieżenia niebezpieczeństwu dla życia lub zdrowia </w:t>
      </w:r>
      <w:r w:rsidRPr="006D59BB">
        <w:rPr>
          <w:rFonts w:ascii="Times New Roman" w:hAnsi="Times New Roman" w:cs="Times New Roman"/>
          <w:sz w:val="24"/>
          <w:szCs w:val="24"/>
        </w:rPr>
        <w:lastRenderedPageBreak/>
        <w:t>ludzkiego albo poważnym szkodom dla interesu społecznego. W tym czasie organ administracji publicznej nie ma możliwości podejmowania czynności zmierzających do wyjaśnienia stanu faktycznego danej sprawy, czy wydania decyzji o nałożeniu administracyjnej kary pieniężnej. W związku z tym skróceniu ulega czas, w którym możliwe jest nałożenie administracyjnej kary pieniężnej na dany podmiot. Dodatkowo brak możliwości w czasie obligatoryjnego zawieszenia postępowania prowadzenia postępowania dowodowego i następnie ustąpienie przesłanki tego zawieszenia mogą powodować zbyt mało czasu na przeprowadzenie takiego postępowania, które może okazać się skomplikowane i czasochłonne. Powyższe może prowadzić do przedawnienia administracyjnej kary pieniężnej. Dodatkowo należy mieć na uwadze, że niektóre naruszenia mogą ujawnić się z pewnym opóźnieniem, co powoduje skrócenie terminu dochodzenia administracyjnej kary pieniężnej, a co w połączeniu z obligatoryjnym zawieszeniem postępowania tym bardziej może przyczynić się do przedawnienia ww. sankcji.</w:t>
      </w:r>
    </w:p>
    <w:p w14:paraId="0ADDB75D" w14:textId="17056765" w:rsidR="00375C2A" w:rsidRPr="006D59BB" w:rsidRDefault="003057CA"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Jednocześnie ze względu na to, że administracyjna kara pieniężna nie przechodzi na spadkobierców w</w:t>
      </w:r>
      <w:r w:rsidR="00E6226B" w:rsidRPr="006D59BB">
        <w:rPr>
          <w:rFonts w:ascii="Times New Roman" w:hAnsi="Times New Roman" w:cs="Times New Roman"/>
          <w:sz w:val="24"/>
          <w:szCs w:val="24"/>
        </w:rPr>
        <w:t> </w:t>
      </w:r>
      <w:r w:rsidRPr="006D59BB">
        <w:rPr>
          <w:rFonts w:ascii="Times New Roman" w:hAnsi="Times New Roman" w:cs="Times New Roman"/>
          <w:sz w:val="24"/>
          <w:szCs w:val="24"/>
        </w:rPr>
        <w:t>przepisie nie została uwzględniona przesłanka obligatoryjnego zawieszenia postępowania uregulowana w art. 97 § 1 pkt 1 i 3a Kpa.</w:t>
      </w:r>
    </w:p>
    <w:p w14:paraId="43582ECC" w14:textId="267A953D" w:rsidR="005C40BC" w:rsidRPr="006D59BB" w:rsidRDefault="005C40BC" w:rsidP="006D59BB">
      <w:pPr>
        <w:pStyle w:val="Akapitzlist"/>
        <w:numPr>
          <w:ilvl w:val="0"/>
          <w:numId w:val="1"/>
        </w:numPr>
        <w:tabs>
          <w:tab w:val="left" w:pos="426"/>
        </w:tabs>
        <w:spacing w:before="120" w:after="0" w:line="360" w:lineRule="auto"/>
        <w:ind w:left="0" w:firstLine="0"/>
        <w:jc w:val="both"/>
        <w:rPr>
          <w:rFonts w:ascii="Times New Roman" w:hAnsi="Times New Roman" w:cs="Times New Roman"/>
          <w:sz w:val="24"/>
          <w:szCs w:val="24"/>
        </w:rPr>
      </w:pPr>
      <w:r w:rsidRPr="006D59BB">
        <w:rPr>
          <w:rFonts w:ascii="Times New Roman" w:hAnsi="Times New Roman" w:cs="Times New Roman"/>
          <w:sz w:val="24"/>
          <w:szCs w:val="24"/>
        </w:rPr>
        <w:t>Zmiany w zakresie definicji zaległej administracyjnej kary pieniężnej</w:t>
      </w:r>
    </w:p>
    <w:p w14:paraId="0974E698" w14:textId="25A0A8BE" w:rsidR="0057461D" w:rsidRPr="006D59BB" w:rsidRDefault="0057461D" w:rsidP="006D59BB">
      <w:pPr>
        <w:spacing w:before="120" w:after="0" w:line="360" w:lineRule="auto"/>
        <w:jc w:val="both"/>
        <w:rPr>
          <w:rFonts w:ascii="Times New Roman" w:hAnsi="Times New Roman" w:cs="Times New Roman"/>
          <w:sz w:val="24"/>
          <w:szCs w:val="24"/>
        </w:rPr>
      </w:pPr>
      <w:bookmarkStart w:id="14" w:name="_Hlk185496311"/>
      <w:r w:rsidRPr="006D59BB">
        <w:rPr>
          <w:rFonts w:ascii="Times New Roman" w:hAnsi="Times New Roman" w:cs="Times New Roman"/>
          <w:sz w:val="24"/>
          <w:szCs w:val="24"/>
        </w:rPr>
        <w:t>W art. 189i § 1 Kpa wskazano, że zaległą administracyjną karą pieniężna jest kara niezapłacona w</w:t>
      </w:r>
      <w:r w:rsidR="006F3E02" w:rsidRPr="006D59BB">
        <w:rPr>
          <w:rFonts w:ascii="Times New Roman" w:hAnsi="Times New Roman" w:cs="Times New Roman"/>
          <w:sz w:val="24"/>
          <w:szCs w:val="24"/>
        </w:rPr>
        <w:t> </w:t>
      </w:r>
      <w:r w:rsidRPr="006D59BB">
        <w:rPr>
          <w:rFonts w:ascii="Times New Roman" w:hAnsi="Times New Roman" w:cs="Times New Roman"/>
          <w:sz w:val="24"/>
          <w:szCs w:val="24"/>
        </w:rPr>
        <w:t xml:space="preserve">terminie 14 dni od dnia, w którym decyzja w sprawie administracyjnej kary pieniężnej stała się ostateczna, chyba że przepisy szczególne wskazują inny termin jej zapłaty. </w:t>
      </w:r>
      <w:bookmarkEnd w:id="14"/>
    </w:p>
    <w:p w14:paraId="35DD920A" w14:textId="77777777" w:rsidR="005C40BC" w:rsidRPr="006D59BB" w:rsidRDefault="005C40BC"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Obecnie przepis ten nie zawiera określenia terminu, do którego administracyjna kara pieniężna może zostać uregulowana.</w:t>
      </w:r>
    </w:p>
    <w:p w14:paraId="10385CE2" w14:textId="20431A27" w:rsidR="005C40BC" w:rsidRPr="006D59BB" w:rsidRDefault="005C40BC"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W związku z tym, w przypadku gdy przepisy szczególne stanowiące podstawę nałożenia kary pieniężnej nie określają terminu jej zapłaty, organy administracji publicznej muszą ustalać termin jej zapłaty w</w:t>
      </w:r>
      <w:r w:rsidR="00E6226B" w:rsidRPr="006D59BB">
        <w:rPr>
          <w:rFonts w:ascii="Times New Roman" w:hAnsi="Times New Roman" w:cs="Times New Roman"/>
          <w:sz w:val="24"/>
          <w:szCs w:val="24"/>
        </w:rPr>
        <w:t> </w:t>
      </w:r>
      <w:r w:rsidRPr="006D59BB">
        <w:rPr>
          <w:rFonts w:ascii="Times New Roman" w:hAnsi="Times New Roman" w:cs="Times New Roman"/>
          <w:sz w:val="24"/>
          <w:szCs w:val="24"/>
        </w:rPr>
        <w:t>drodze wykładni przepisów Kpa. Zgodnie z art. 130 § 1 Kpa przed upływem terminu do wniesienia odwołania decyzja nie ulega wykonaniu. Tym samym – w celu równego traktowania sytuacji obłożenia strony administracyjną karą pieniężną, tj. zarówno w ramach postępowania w</w:t>
      </w:r>
      <w:r w:rsidR="00B4401E" w:rsidRPr="006D59BB">
        <w:rPr>
          <w:rFonts w:ascii="Times New Roman" w:hAnsi="Times New Roman" w:cs="Times New Roman"/>
          <w:sz w:val="24"/>
          <w:szCs w:val="24"/>
        </w:rPr>
        <w:t> </w:t>
      </w:r>
      <w:r w:rsidRPr="006D59BB">
        <w:rPr>
          <w:rFonts w:ascii="Times New Roman" w:hAnsi="Times New Roman" w:cs="Times New Roman"/>
          <w:sz w:val="24"/>
          <w:szCs w:val="24"/>
        </w:rPr>
        <w:t>I</w:t>
      </w:r>
      <w:r w:rsidR="00B4401E" w:rsidRPr="006D59BB">
        <w:rPr>
          <w:rFonts w:ascii="Times New Roman" w:hAnsi="Times New Roman" w:cs="Times New Roman"/>
          <w:sz w:val="24"/>
          <w:szCs w:val="24"/>
        </w:rPr>
        <w:t> </w:t>
      </w:r>
      <w:r w:rsidRPr="006D59BB">
        <w:rPr>
          <w:rFonts w:ascii="Times New Roman" w:hAnsi="Times New Roman" w:cs="Times New Roman"/>
          <w:sz w:val="24"/>
          <w:szCs w:val="24"/>
        </w:rPr>
        <w:t>instancji, jak i w II instancji – słusznym wydaje się przyjęcie, że kara ta powinna być zapłacona w</w:t>
      </w:r>
      <w:r w:rsidR="00B4401E" w:rsidRPr="006D59BB">
        <w:rPr>
          <w:rFonts w:ascii="Times New Roman" w:hAnsi="Times New Roman" w:cs="Times New Roman"/>
          <w:sz w:val="24"/>
          <w:szCs w:val="24"/>
        </w:rPr>
        <w:t> </w:t>
      </w:r>
      <w:r w:rsidRPr="006D59BB">
        <w:rPr>
          <w:rFonts w:ascii="Times New Roman" w:hAnsi="Times New Roman" w:cs="Times New Roman"/>
          <w:sz w:val="24"/>
          <w:szCs w:val="24"/>
        </w:rPr>
        <w:t xml:space="preserve">terminie 14 dni od doręczenia stronie decyzji w tej sprawie, jednak tylko pod warunkiem, że decyzja nabędzie przymiot ostateczności – tj. upłynie termin do wniesienia odwołania lub zostanie wydana przez organ odwoławczy. Niemniej zgodnie z art. 110 § 1 Kpa organ administracji publicznej, który wydał decyzję, jest nią związany od chwili </w:t>
      </w:r>
      <w:r w:rsidRPr="006D59BB">
        <w:rPr>
          <w:rFonts w:ascii="Times New Roman" w:hAnsi="Times New Roman" w:cs="Times New Roman"/>
          <w:sz w:val="24"/>
          <w:szCs w:val="24"/>
        </w:rPr>
        <w:lastRenderedPageBreak/>
        <w:t>jej doręczenia lub ogłoszenia, o ile kodeks nie stanowi inaczej. W</w:t>
      </w:r>
      <w:r w:rsidR="00E6226B" w:rsidRPr="006D59BB">
        <w:rPr>
          <w:rFonts w:ascii="Times New Roman" w:hAnsi="Times New Roman" w:cs="Times New Roman"/>
          <w:sz w:val="24"/>
          <w:szCs w:val="24"/>
        </w:rPr>
        <w:t> </w:t>
      </w:r>
      <w:r w:rsidRPr="006D59BB">
        <w:rPr>
          <w:rFonts w:ascii="Times New Roman" w:hAnsi="Times New Roman" w:cs="Times New Roman"/>
          <w:sz w:val="24"/>
          <w:szCs w:val="24"/>
        </w:rPr>
        <w:t>orzecznictwie sądów administracyjnych przyjmuje się, że decyzja administracyjna zaczyna funkcjonować w obrocie prawnym od momentu jej skutecznego doręczenia. Brak jednoznacznego uregulowania w przepisach Kpa terminu zapłaty kary pieniężnej powoduje wątpliwości po stronie organów odnośnie chwili, w której ukarany podmiot ma zapłacić karę, a</w:t>
      </w:r>
      <w:r w:rsidR="00821E81" w:rsidRPr="006D59BB">
        <w:rPr>
          <w:rFonts w:ascii="Times New Roman" w:hAnsi="Times New Roman" w:cs="Times New Roman"/>
          <w:sz w:val="24"/>
          <w:szCs w:val="24"/>
        </w:rPr>
        <w:t> </w:t>
      </w:r>
      <w:r w:rsidRPr="006D59BB">
        <w:rPr>
          <w:rFonts w:ascii="Times New Roman" w:hAnsi="Times New Roman" w:cs="Times New Roman"/>
          <w:sz w:val="24"/>
          <w:szCs w:val="24"/>
        </w:rPr>
        <w:t>w</w:t>
      </w:r>
      <w:r w:rsidR="00821E81" w:rsidRPr="006D59BB">
        <w:rPr>
          <w:rFonts w:ascii="Times New Roman" w:hAnsi="Times New Roman" w:cs="Times New Roman"/>
          <w:sz w:val="24"/>
          <w:szCs w:val="24"/>
        </w:rPr>
        <w:t> </w:t>
      </w:r>
      <w:r w:rsidRPr="006D59BB">
        <w:rPr>
          <w:rFonts w:ascii="Times New Roman" w:hAnsi="Times New Roman" w:cs="Times New Roman"/>
          <w:sz w:val="24"/>
          <w:szCs w:val="24"/>
        </w:rPr>
        <w:t xml:space="preserve">konsekwencji określenia daty, w której kara pieniężna staje się zaległą karą pieniężną skutkującą koniecznością naliczenia odsetek. Ponadto nakładane przez organy administracji publicznej kary pieniężne mogą stanowić istotne obciążenie finansowe dla ukaranego podmiotu. Przyjęcie, że karę pieniężną uiszcza się w określonym w powyższy sposób terminie, pozwoli na zgromadzenie odpowiednich środków na dokonanie zapłaty kary pieniężnej. Ponadto </w:t>
      </w:r>
      <w:r w:rsidR="00A7393F" w:rsidRPr="006D59BB">
        <w:rPr>
          <w:rFonts w:ascii="Times New Roman" w:hAnsi="Times New Roman" w:cs="Times New Roman"/>
          <w:sz w:val="24"/>
          <w:szCs w:val="24"/>
        </w:rPr>
        <w:t>jednoznaczne</w:t>
      </w:r>
      <w:r w:rsidRPr="006D59BB">
        <w:rPr>
          <w:rFonts w:ascii="Times New Roman" w:hAnsi="Times New Roman" w:cs="Times New Roman"/>
          <w:sz w:val="24"/>
          <w:szCs w:val="24"/>
        </w:rPr>
        <w:t xml:space="preserve"> określenie terminu uiszczenia kary pieniężnej wyeliminuje wątpliwości w tym zakresie po stronie organów odpowiedzialnych za ich nakładanie i egzekucję.</w:t>
      </w:r>
    </w:p>
    <w:p w14:paraId="5D4FF602" w14:textId="77088557" w:rsidR="005C40BC" w:rsidRPr="006D59BB" w:rsidRDefault="005C40BC" w:rsidP="006D59BB">
      <w:pPr>
        <w:pStyle w:val="Akapitzlist"/>
        <w:numPr>
          <w:ilvl w:val="0"/>
          <w:numId w:val="1"/>
        </w:numPr>
        <w:tabs>
          <w:tab w:val="left" w:pos="426"/>
        </w:tabs>
        <w:spacing w:before="120" w:after="0" w:line="360" w:lineRule="auto"/>
        <w:ind w:left="0" w:firstLine="0"/>
        <w:jc w:val="both"/>
        <w:rPr>
          <w:rFonts w:ascii="Times New Roman" w:hAnsi="Times New Roman" w:cs="Times New Roman"/>
          <w:sz w:val="24"/>
          <w:szCs w:val="24"/>
        </w:rPr>
      </w:pPr>
      <w:r w:rsidRPr="006D59BB">
        <w:rPr>
          <w:rFonts w:ascii="Times New Roman" w:hAnsi="Times New Roman" w:cs="Times New Roman"/>
          <w:sz w:val="24"/>
          <w:szCs w:val="24"/>
        </w:rPr>
        <w:t>Zmiany w zakresie wykonania kar administracyjnych oraz zaległych kar administracyjnych</w:t>
      </w:r>
      <w:r w:rsidR="002A6303" w:rsidRPr="006D59BB">
        <w:rPr>
          <w:rFonts w:ascii="Times New Roman" w:hAnsi="Times New Roman" w:cs="Times New Roman"/>
          <w:sz w:val="24"/>
          <w:szCs w:val="24"/>
        </w:rPr>
        <w:t>.</w:t>
      </w:r>
    </w:p>
    <w:p w14:paraId="3F122F98" w14:textId="494F1ED6" w:rsidR="0011039C" w:rsidRPr="006D59BB" w:rsidRDefault="00802AF0" w:rsidP="006D59BB">
      <w:pPr>
        <w:tabs>
          <w:tab w:val="left" w:pos="426"/>
        </w:tabs>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A</w:t>
      </w:r>
      <w:r w:rsidR="0011039C" w:rsidRPr="006D59BB">
        <w:rPr>
          <w:rFonts w:ascii="Times New Roman" w:hAnsi="Times New Roman" w:cs="Times New Roman"/>
          <w:sz w:val="24"/>
          <w:szCs w:val="24"/>
        </w:rPr>
        <w:t>)</w:t>
      </w:r>
      <w:r w:rsidR="00970F6A">
        <w:rPr>
          <w:rFonts w:ascii="Times New Roman" w:hAnsi="Times New Roman" w:cs="Times New Roman"/>
          <w:sz w:val="24"/>
          <w:szCs w:val="24"/>
        </w:rPr>
        <w:tab/>
      </w:r>
      <w:r w:rsidR="0011039C" w:rsidRPr="006D59BB">
        <w:rPr>
          <w:rFonts w:ascii="Times New Roman" w:hAnsi="Times New Roman" w:cs="Times New Roman"/>
          <w:sz w:val="24"/>
          <w:szCs w:val="24"/>
        </w:rPr>
        <w:t>Zgodnie z obowiązującym art. 189k § 1 pkt 2 Kpa organ administracji publicznej może odroczyć termin wykonania zaległej administracyjnej kary pieniężnej lub rozłożyć ją na raty. Jednocześnie przepis ten nie przewiduje możliwości zastosowania ww. ulg do odsetek za zwłokę.</w:t>
      </w:r>
    </w:p>
    <w:p w14:paraId="37B89F3B" w14:textId="77777777" w:rsidR="0011039C" w:rsidRPr="006D59BB" w:rsidRDefault="0011039C"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Dlatego zasadnym jest dokonanie zmian w art. 189k § 1 pkt 2 Kpa przez dodanie w tym przepisie wyrazów „wraz z odsetkami za zwłokę”, analogicznie jak ma to miejsce w art. 67a § 1 pkt 2 Ordynacji podatkowej, na którym regulacja dotycząca ulg w spłacie administracyjnych kar pieniężnych była wzorowana. Zgodnie z art. 67a § 1 pkt 2 Ordynacji podatkowej organ podatkowy może odroczyć lub rozłożyć na raty zapłatę zaległości podatkowej wraz z odsetkami za zwłokę lub odsetki od nieuregulowanych w terminie zaliczek na podatek.</w:t>
      </w:r>
    </w:p>
    <w:p w14:paraId="40C15913" w14:textId="77777777" w:rsidR="0011039C" w:rsidRPr="006D59BB" w:rsidRDefault="0011039C"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 xml:space="preserve">Pominięcie w art. 189k § 1 pkt 2 Kpa odsetek za zwłokę nie ma żadnego uzasadnienia i stwarza problemy przy udzielaniu ulg w spłacie zaległych administracyjnych kar pieniężnych. W obecnym stanie prawnym zapłata odsetek za zwłokę nie może być bowiem odroczona lub rozłożona na raty, a jedyną ulgą, jaką można w stosunku do nich zastosować, jest umorzenie. W związku z tym zasadne jest ujednolicenie katalogu ulg, które mogą być zastosowane wobec zaległej administracyjnej kary pieniężnej oraz naliczonych od niej odsetek za zwłokę. </w:t>
      </w:r>
    </w:p>
    <w:p w14:paraId="5483020C" w14:textId="7B5EDB52" w:rsidR="0011039C" w:rsidRPr="006D59BB" w:rsidRDefault="00802AF0" w:rsidP="006D59BB">
      <w:pPr>
        <w:tabs>
          <w:tab w:val="left" w:pos="426"/>
        </w:tabs>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B</w:t>
      </w:r>
      <w:r w:rsidR="0011039C" w:rsidRPr="006D59BB">
        <w:rPr>
          <w:rFonts w:ascii="Times New Roman" w:hAnsi="Times New Roman" w:cs="Times New Roman"/>
          <w:sz w:val="24"/>
          <w:szCs w:val="24"/>
        </w:rPr>
        <w:t>)</w:t>
      </w:r>
      <w:r w:rsidR="00970F6A">
        <w:rPr>
          <w:rFonts w:ascii="Times New Roman" w:hAnsi="Times New Roman" w:cs="Times New Roman"/>
          <w:sz w:val="24"/>
          <w:szCs w:val="24"/>
        </w:rPr>
        <w:tab/>
      </w:r>
      <w:r w:rsidR="0011039C" w:rsidRPr="006D59BB">
        <w:rPr>
          <w:rFonts w:ascii="Times New Roman" w:hAnsi="Times New Roman" w:cs="Times New Roman"/>
          <w:sz w:val="24"/>
          <w:szCs w:val="24"/>
        </w:rPr>
        <w:t>Dodatkowo uregulowana zostanie kwestia naliczania odsetek za zwłokę w przypadku odroczenia lub rozłożenia na raty zapłaty zaległej administracyjnej kary pieniężnej.</w:t>
      </w:r>
      <w:r w:rsidR="0011039C" w:rsidRPr="006D59BB" w:rsidDel="000A1C61">
        <w:rPr>
          <w:rFonts w:ascii="Times New Roman" w:hAnsi="Times New Roman" w:cs="Times New Roman"/>
          <w:sz w:val="24"/>
          <w:szCs w:val="24"/>
        </w:rPr>
        <w:t xml:space="preserve"> </w:t>
      </w:r>
      <w:r w:rsidR="0011039C" w:rsidRPr="006D59BB">
        <w:rPr>
          <w:rFonts w:ascii="Times New Roman" w:hAnsi="Times New Roman" w:cs="Times New Roman"/>
          <w:sz w:val="24"/>
          <w:szCs w:val="24"/>
        </w:rPr>
        <w:t xml:space="preserve">W </w:t>
      </w:r>
      <w:r w:rsidR="0011039C" w:rsidRPr="006D59BB">
        <w:rPr>
          <w:rFonts w:ascii="Times New Roman" w:hAnsi="Times New Roman" w:cs="Times New Roman"/>
          <w:sz w:val="24"/>
          <w:szCs w:val="24"/>
        </w:rPr>
        <w:lastRenderedPageBreak/>
        <w:t>przypadku zaległej administracyjnej kary pieniężnej mamy do czynienia z koniecznością naliczenia odsetek za zwłokę. W związku z tym w przypadku odroczenia lub rozłożenia na raty zaległej administracyjnej kary pieniężnej, w związku ze złożonym wnioskiem przez stronę w ww. zakresie, konieczne jest uregulowanie momentu, do którego będą naliczane odsetki za zwłokę. W takim przypadku odsetki za zwłokę będzie naliczać się do dnia złożenia wniosku przez stronę o zastosowanie ww. ulgi, włącznie z tym dniem (art. 189k § 2a Kpa)</w:t>
      </w:r>
      <w:r w:rsidR="006966E0" w:rsidRPr="006D59BB">
        <w:rPr>
          <w:rFonts w:ascii="Times New Roman" w:hAnsi="Times New Roman" w:cs="Times New Roman"/>
          <w:sz w:val="24"/>
          <w:szCs w:val="24"/>
        </w:rPr>
        <w:t>.</w:t>
      </w:r>
      <w:r w:rsidR="0011039C" w:rsidRPr="006D59BB">
        <w:rPr>
          <w:rFonts w:ascii="Times New Roman" w:hAnsi="Times New Roman" w:cs="Times New Roman"/>
          <w:sz w:val="24"/>
          <w:szCs w:val="24"/>
        </w:rPr>
        <w:t xml:space="preserve"> </w:t>
      </w:r>
    </w:p>
    <w:p w14:paraId="40F25F86" w14:textId="77777777" w:rsidR="0011039C" w:rsidRPr="006D59BB" w:rsidRDefault="0011039C"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Należy też zauważyć, że analogiczny przepis zawarty jest w rozporządzeniu Ministra Finansów z dnia 22 sierpnia 2005 r. w sprawie naliczania odsetek za zwłokę oraz opłaty prolongacyjnej, a także zakresu informacji, które muszą być zawarte w rachunkach.</w:t>
      </w:r>
    </w:p>
    <w:p w14:paraId="2D47775D" w14:textId="0110C1FE" w:rsidR="0011039C" w:rsidRPr="006D59BB" w:rsidRDefault="0011039C"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 xml:space="preserve">W art. 189k § 2a Kpa nie odniesiono się do odroczenia lub rozłożenia na raty administracyjnej kary pieniężnej „wraz z odsetkami za zwłokę”, ponieważ zastosowanie ww. ulgi wynika z art. 189k § 2 pkt 2 Kpa. Natomiast w art. 189 § 2a Kpa chodzi jedynie o określenie momentu, do którego naliczane są odsetki za zwłokę od zaległej administracyjnej kary pieniężnej w związku z zastosowaniem ww. ulg. </w:t>
      </w:r>
    </w:p>
    <w:p w14:paraId="29BB02E7" w14:textId="0D55182B" w:rsidR="0011039C" w:rsidRPr="006D59BB" w:rsidRDefault="0011039C"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 xml:space="preserve">W </w:t>
      </w:r>
      <w:bookmarkStart w:id="15" w:name="_Hlk172210109"/>
      <w:r w:rsidRPr="006D59BB">
        <w:rPr>
          <w:rFonts w:ascii="Times New Roman" w:hAnsi="Times New Roman" w:cs="Times New Roman"/>
          <w:sz w:val="24"/>
          <w:szCs w:val="24"/>
        </w:rPr>
        <w:t xml:space="preserve">art. 189k § 2b Kpa </w:t>
      </w:r>
      <w:bookmarkEnd w:id="15"/>
      <w:r w:rsidRPr="006D59BB">
        <w:rPr>
          <w:rFonts w:ascii="Times New Roman" w:hAnsi="Times New Roman" w:cs="Times New Roman"/>
          <w:sz w:val="24"/>
          <w:szCs w:val="24"/>
        </w:rPr>
        <w:t>uregulowane zostały zasady naliczania odsetek za zwłokę w przypadku wydania decyzji odmawiającej odroczenie terminu płatności lub rozłożenia na raty zapłaty administracyjnej kary pieniężnej. Przepis ten będzie miał odpowiednie zastosowanie do odroczonej lub rozłożonej na raty zaległej administracyjnej kary pieniężnej (art. 189k § 2f Kpa). Jednocześnie odsetki za zwłokę będą naliczane począwszy od dnia następującego po upływie terminu płatności administracyjnej kary pieniężnej, gdy decyzja o odmowie odroczenia terminu płatności lub rozłożenia na raty administracyjnej kary pieniężnej została doręczona stronie przed upływem dwóch miesięcy od dnia wniesienia wniosku strony o udzielenie ww. ulgi (</w:t>
      </w:r>
      <w:bookmarkStart w:id="16" w:name="_Hlk172210249"/>
      <w:r w:rsidRPr="006D59BB">
        <w:rPr>
          <w:rFonts w:ascii="Times New Roman" w:hAnsi="Times New Roman" w:cs="Times New Roman"/>
          <w:sz w:val="24"/>
          <w:szCs w:val="24"/>
        </w:rPr>
        <w:t xml:space="preserve">art. 189k § 2b pkt 1 Kpa). </w:t>
      </w:r>
      <w:bookmarkEnd w:id="16"/>
      <w:r w:rsidRPr="006D59BB">
        <w:rPr>
          <w:rFonts w:ascii="Times New Roman" w:hAnsi="Times New Roman" w:cs="Times New Roman"/>
          <w:sz w:val="24"/>
          <w:szCs w:val="24"/>
        </w:rPr>
        <w:t>Natomiast po w przypadku, gdy ww. decyzja zostanie doręczona stronie po upływie dwóch miesięcy, wówczas odsetki będą naliczane z wyłączaniem okresu od dnia następującego po dniu wniesienia wniosku do dnia doręczenia ww. decyzji (art. 189k</w:t>
      </w:r>
      <w:r w:rsidR="006F3E02" w:rsidRPr="006D59BB">
        <w:rPr>
          <w:rFonts w:ascii="Times New Roman" w:hAnsi="Times New Roman" w:cs="Times New Roman"/>
          <w:sz w:val="24"/>
          <w:szCs w:val="24"/>
        </w:rPr>
        <w:t> </w:t>
      </w:r>
      <w:r w:rsidRPr="006D59BB">
        <w:rPr>
          <w:rFonts w:ascii="Times New Roman" w:hAnsi="Times New Roman" w:cs="Times New Roman"/>
          <w:sz w:val="24"/>
          <w:szCs w:val="24"/>
        </w:rPr>
        <w:t>§</w:t>
      </w:r>
      <w:r w:rsidR="00802AF0" w:rsidRPr="006D59BB">
        <w:rPr>
          <w:rFonts w:ascii="Times New Roman" w:hAnsi="Times New Roman" w:cs="Times New Roman"/>
          <w:sz w:val="24"/>
          <w:szCs w:val="24"/>
        </w:rPr>
        <w:t> </w:t>
      </w:r>
      <w:r w:rsidRPr="006D59BB">
        <w:rPr>
          <w:rFonts w:ascii="Times New Roman" w:hAnsi="Times New Roman" w:cs="Times New Roman"/>
          <w:sz w:val="24"/>
          <w:szCs w:val="24"/>
        </w:rPr>
        <w:t>2b pkt 2 Kpa). Mając na uwadze, że organ administracji publicznej ma obowiązek wydać decyzję w terminie dwóch miesięcy od dnia złożenia wniosku przez stronę, konieczne jest ww. rozróżnienie w</w:t>
      </w:r>
      <w:r w:rsidR="006F3E02" w:rsidRPr="006D59BB">
        <w:rPr>
          <w:rFonts w:ascii="Times New Roman" w:hAnsi="Times New Roman" w:cs="Times New Roman"/>
          <w:sz w:val="24"/>
          <w:szCs w:val="24"/>
        </w:rPr>
        <w:t> </w:t>
      </w:r>
      <w:r w:rsidRPr="006D59BB">
        <w:rPr>
          <w:rFonts w:ascii="Times New Roman" w:hAnsi="Times New Roman" w:cs="Times New Roman"/>
          <w:sz w:val="24"/>
          <w:szCs w:val="24"/>
        </w:rPr>
        <w:t>naliczaniu odsetek. Należy mieć na uwadze, że strona nie może ponosić konsekwencji prowadzenia postępowania administracyjnego przez organ administracji publicznej ponad terminy przewidziane w</w:t>
      </w:r>
      <w:r w:rsidR="006F3E02" w:rsidRPr="006D59BB">
        <w:rPr>
          <w:rFonts w:ascii="Times New Roman" w:hAnsi="Times New Roman" w:cs="Times New Roman"/>
          <w:sz w:val="24"/>
          <w:szCs w:val="24"/>
        </w:rPr>
        <w:t> </w:t>
      </w:r>
      <w:r w:rsidRPr="006D59BB">
        <w:rPr>
          <w:rFonts w:ascii="Times New Roman" w:hAnsi="Times New Roman" w:cs="Times New Roman"/>
          <w:sz w:val="24"/>
          <w:szCs w:val="24"/>
        </w:rPr>
        <w:t>Kpa.</w:t>
      </w:r>
    </w:p>
    <w:p w14:paraId="66B75D3E" w14:textId="694B393F" w:rsidR="002A6303" w:rsidRPr="006D59BB" w:rsidRDefault="0011039C"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 xml:space="preserve">Dodawany natomiast art. 189k § 2c–2e Kpa ma na celu uregulowanie zasad postępowania w przypadku opóźnień w zapłacie odroczonej lub rozłożonej na raty administracyjnej kary </w:t>
      </w:r>
      <w:r w:rsidRPr="006D59BB">
        <w:rPr>
          <w:rFonts w:ascii="Times New Roman" w:hAnsi="Times New Roman" w:cs="Times New Roman"/>
          <w:sz w:val="24"/>
          <w:szCs w:val="24"/>
        </w:rPr>
        <w:lastRenderedPageBreak/>
        <w:t>pieniężnej. Przepisy te będą miały odpowiednie zastosowanie do odroczonej lub rozłożonej na raty zaległej administracyjnej kary pieniężnej (art. 189k § 2f Kpa).</w:t>
      </w:r>
      <w:r w:rsidRPr="006D59BB" w:rsidDel="009543F2">
        <w:rPr>
          <w:rFonts w:ascii="Times New Roman" w:hAnsi="Times New Roman" w:cs="Times New Roman"/>
          <w:sz w:val="24"/>
          <w:szCs w:val="24"/>
        </w:rPr>
        <w:t xml:space="preserve"> </w:t>
      </w:r>
    </w:p>
    <w:p w14:paraId="1F6159ED" w14:textId="7B080EDD" w:rsidR="005C40BC" w:rsidRPr="006D59BB" w:rsidRDefault="005C40BC" w:rsidP="006D59BB">
      <w:pPr>
        <w:pStyle w:val="Akapitzlist"/>
        <w:numPr>
          <w:ilvl w:val="0"/>
          <w:numId w:val="1"/>
        </w:numPr>
        <w:tabs>
          <w:tab w:val="left" w:pos="426"/>
        </w:tabs>
        <w:spacing w:before="120" w:after="0" w:line="360" w:lineRule="auto"/>
        <w:ind w:left="0" w:firstLine="0"/>
        <w:jc w:val="both"/>
        <w:rPr>
          <w:rFonts w:ascii="Times New Roman" w:hAnsi="Times New Roman" w:cs="Times New Roman"/>
          <w:sz w:val="24"/>
          <w:szCs w:val="24"/>
        </w:rPr>
      </w:pPr>
      <w:r w:rsidRPr="006D59BB">
        <w:rPr>
          <w:rFonts w:ascii="Times New Roman" w:hAnsi="Times New Roman" w:cs="Times New Roman"/>
          <w:sz w:val="24"/>
          <w:szCs w:val="24"/>
        </w:rPr>
        <w:t>Udzielanie ulg z urzędu w zakresie administracyjnych kar pieniężnych</w:t>
      </w:r>
      <w:r w:rsidR="002A6303" w:rsidRPr="006D59BB">
        <w:rPr>
          <w:rFonts w:ascii="Times New Roman" w:hAnsi="Times New Roman" w:cs="Times New Roman"/>
          <w:sz w:val="24"/>
          <w:szCs w:val="24"/>
        </w:rPr>
        <w:t>.</w:t>
      </w:r>
      <w:r w:rsidRPr="006D59BB">
        <w:rPr>
          <w:rFonts w:ascii="Times New Roman" w:hAnsi="Times New Roman" w:cs="Times New Roman"/>
          <w:sz w:val="24"/>
          <w:szCs w:val="24"/>
        </w:rPr>
        <w:t xml:space="preserve"> </w:t>
      </w:r>
    </w:p>
    <w:p w14:paraId="74C3AAEB" w14:textId="4739AD1E" w:rsidR="005C40BC" w:rsidRPr="006D59BB" w:rsidRDefault="005C40BC"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W obowiązującym stanie prawnym ulga w wykonywaniu administracyjnej kary pieniężnej jest udzielana w formie decyzji administracyjnej w postępowaniu wszczynanym na wniosek. Zgodnie z</w:t>
      </w:r>
      <w:r w:rsidR="00821E81" w:rsidRPr="006D59BB">
        <w:rPr>
          <w:rFonts w:ascii="Times New Roman" w:hAnsi="Times New Roman" w:cs="Times New Roman"/>
          <w:sz w:val="24"/>
          <w:szCs w:val="24"/>
        </w:rPr>
        <w:t> </w:t>
      </w:r>
      <w:r w:rsidRPr="006D59BB">
        <w:rPr>
          <w:rFonts w:ascii="Times New Roman" w:hAnsi="Times New Roman" w:cs="Times New Roman"/>
          <w:sz w:val="24"/>
          <w:szCs w:val="24"/>
        </w:rPr>
        <w:t>art.</w:t>
      </w:r>
      <w:r w:rsidR="00802AF0" w:rsidRPr="006D59BB">
        <w:rPr>
          <w:rFonts w:ascii="Times New Roman" w:hAnsi="Times New Roman" w:cs="Times New Roman"/>
          <w:sz w:val="24"/>
          <w:szCs w:val="24"/>
        </w:rPr>
        <w:t> </w:t>
      </w:r>
      <w:r w:rsidRPr="006D59BB">
        <w:rPr>
          <w:rFonts w:ascii="Times New Roman" w:hAnsi="Times New Roman" w:cs="Times New Roman"/>
          <w:sz w:val="24"/>
          <w:szCs w:val="24"/>
        </w:rPr>
        <w:t>189k § 1 Kpa organ administracji publicznej, który nałożył administracyjną karę pieniężną, na wniosek strony, w przypadkach uzasadnionych ważnym interesem publicznym lub ważnym interesem strony, może udzielić ulg w wykonaniu administracyjnej kary pieniężnej. Obecnie nie jest więc dopuszczalne prowadzenie ww. postępowania przez organ z urzędu.</w:t>
      </w:r>
    </w:p>
    <w:p w14:paraId="1180E0B3" w14:textId="12ADE9D6" w:rsidR="005C40BC" w:rsidRPr="006D59BB" w:rsidRDefault="005C40BC"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W związku z tym proponuje się wprowadzenie możliwości wszczęcia postępowania o udzielenie ulgi w</w:t>
      </w:r>
      <w:r w:rsidR="00E6226B" w:rsidRPr="006D59BB">
        <w:rPr>
          <w:rFonts w:ascii="Times New Roman" w:hAnsi="Times New Roman" w:cs="Times New Roman"/>
          <w:sz w:val="24"/>
          <w:szCs w:val="24"/>
        </w:rPr>
        <w:t> </w:t>
      </w:r>
      <w:r w:rsidRPr="006D59BB">
        <w:rPr>
          <w:rFonts w:ascii="Times New Roman" w:hAnsi="Times New Roman" w:cs="Times New Roman"/>
          <w:sz w:val="24"/>
          <w:szCs w:val="24"/>
        </w:rPr>
        <w:t>wykonaniu administracyjnej kary pieniężnej z urzędu (art. 189</w:t>
      </w:r>
      <w:r w:rsidR="00272935" w:rsidRPr="006D59BB">
        <w:rPr>
          <w:rFonts w:ascii="Times New Roman" w:hAnsi="Times New Roman" w:cs="Times New Roman"/>
          <w:sz w:val="24"/>
          <w:szCs w:val="24"/>
        </w:rPr>
        <w:t>l</w:t>
      </w:r>
      <w:r w:rsidRPr="006D59BB">
        <w:rPr>
          <w:rFonts w:ascii="Times New Roman" w:hAnsi="Times New Roman" w:cs="Times New Roman"/>
          <w:sz w:val="24"/>
          <w:szCs w:val="24"/>
        </w:rPr>
        <w:t xml:space="preserve"> Kpa). Rozstrzygnięcie w tym przedmiocie opiera się na uznaniu administracyjnym, gdyż nawet w przypadku zaistnienia enumeratywnie wymienionych przesłanek, organ podatkowy „może”, ale nie musi umorzyć zaległości.</w:t>
      </w:r>
    </w:p>
    <w:p w14:paraId="1838F917" w14:textId="24B193A6" w:rsidR="005C40BC" w:rsidRPr="006D59BB" w:rsidRDefault="005C40BC"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Wskazane w art. 189l § 1 Kpa przesłanki mają na celu wyeliminowanie tych administracyjnych kar pieniężnych m.in., w stosunku do których zachodzi uzasadnione przypuszczenie, że egzekucja administracyjna będzie bezskuteczna z powodu braku majątku lub źródła dochodu zobowiązanego, z</w:t>
      </w:r>
      <w:r w:rsidR="00821E81" w:rsidRPr="006D59BB">
        <w:rPr>
          <w:rFonts w:ascii="Times New Roman" w:hAnsi="Times New Roman" w:cs="Times New Roman"/>
          <w:sz w:val="24"/>
          <w:szCs w:val="24"/>
        </w:rPr>
        <w:t> </w:t>
      </w:r>
      <w:r w:rsidRPr="006D59BB">
        <w:rPr>
          <w:rFonts w:ascii="Times New Roman" w:hAnsi="Times New Roman" w:cs="Times New Roman"/>
          <w:sz w:val="24"/>
          <w:szCs w:val="24"/>
        </w:rPr>
        <w:t>których jest możliwe wyegzekwowanie środków pieniężnych przewyższających koszty egzekucyjne.</w:t>
      </w:r>
    </w:p>
    <w:p w14:paraId="533F423E" w14:textId="57FFD479" w:rsidR="003B31BC" w:rsidRPr="006D59BB" w:rsidRDefault="003B31BC"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Jednocześnie w przypadku art. 189l § 1 pkt 3 Kpa organ administracji publicznej, który nałożył administracyjną karę pieniężną, może z urzędu udzielić ulg w wykonaniu administracyjnej kary pieniężnej, jeżeli zaległa wysokość administracyjnej kary pieniężnej nie przekracza pięciokrotnej wartości kosztów upomnienia, o którym mowa w art. 15 ustawy z dnia 17 czerwca 1966 r. o</w:t>
      </w:r>
      <w:r w:rsidR="002A6303" w:rsidRPr="006D59BB">
        <w:rPr>
          <w:rFonts w:ascii="Times New Roman" w:hAnsi="Times New Roman" w:cs="Times New Roman"/>
          <w:sz w:val="24"/>
          <w:szCs w:val="24"/>
        </w:rPr>
        <w:t> </w:t>
      </w:r>
      <w:r w:rsidRPr="006D59BB">
        <w:rPr>
          <w:rFonts w:ascii="Times New Roman" w:hAnsi="Times New Roman" w:cs="Times New Roman"/>
          <w:sz w:val="24"/>
          <w:szCs w:val="24"/>
        </w:rPr>
        <w:t>postępowaniu egzekucyjnym w administracji.</w:t>
      </w:r>
    </w:p>
    <w:p w14:paraId="5CB89476" w14:textId="2D226F97" w:rsidR="005C40BC" w:rsidRPr="006D59BB" w:rsidRDefault="005C40BC"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Wprowadzana instytucja jest wzorowana na regulacji art. 67d O</w:t>
      </w:r>
      <w:r w:rsidR="007E5F33" w:rsidRPr="006D59BB">
        <w:rPr>
          <w:rFonts w:ascii="Times New Roman" w:hAnsi="Times New Roman" w:cs="Times New Roman"/>
          <w:sz w:val="24"/>
          <w:szCs w:val="24"/>
        </w:rPr>
        <w:t>rdynacji podatkowej</w:t>
      </w:r>
      <w:r w:rsidRPr="006D59BB">
        <w:rPr>
          <w:rFonts w:ascii="Times New Roman" w:hAnsi="Times New Roman" w:cs="Times New Roman"/>
          <w:sz w:val="24"/>
          <w:szCs w:val="24"/>
        </w:rPr>
        <w:t xml:space="preserve"> oraz art. 64 ustawy z dnia 27 sierpnia 2009 r. o finansach publicznych.</w:t>
      </w:r>
    </w:p>
    <w:p w14:paraId="26AA8BFB" w14:textId="3199F53B" w:rsidR="00EB6BE4" w:rsidRPr="006D59BB" w:rsidRDefault="00EB6BE4" w:rsidP="006D59BB">
      <w:pPr>
        <w:pStyle w:val="Styl1"/>
        <w:spacing w:before="120" w:after="0" w:line="360" w:lineRule="auto"/>
        <w:rPr>
          <w:sz w:val="24"/>
          <w:szCs w:val="24"/>
        </w:rPr>
      </w:pPr>
      <w:bookmarkStart w:id="17" w:name="_Hlk162354247"/>
      <w:bookmarkStart w:id="18" w:name="_Toc192358910"/>
      <w:r w:rsidRPr="006D59BB">
        <w:rPr>
          <w:sz w:val="24"/>
          <w:szCs w:val="24"/>
        </w:rPr>
        <w:t>Ustawa z dnia 23 kwietnia 1964 r. – Kodeks cywilny</w:t>
      </w:r>
      <w:bookmarkEnd w:id="17"/>
      <w:bookmarkEnd w:id="18"/>
    </w:p>
    <w:p w14:paraId="48ED966C" w14:textId="72BC11DF" w:rsidR="00E97B8A" w:rsidRPr="006D59BB" w:rsidRDefault="00E97B8A"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Obowiązujący aktualnie przepis art. 709</w:t>
      </w:r>
      <w:r w:rsidRPr="006D59BB">
        <w:rPr>
          <w:rFonts w:ascii="Times New Roman" w:hAnsi="Times New Roman" w:cs="Times New Roman"/>
          <w:sz w:val="24"/>
          <w:szCs w:val="24"/>
          <w:vertAlign w:val="superscript"/>
        </w:rPr>
        <w:t>2</w:t>
      </w:r>
      <w:r w:rsidRPr="006D59BB">
        <w:rPr>
          <w:rFonts w:ascii="Times New Roman" w:hAnsi="Times New Roman" w:cs="Times New Roman"/>
          <w:sz w:val="24"/>
          <w:szCs w:val="24"/>
        </w:rPr>
        <w:t xml:space="preserve"> K</w:t>
      </w:r>
      <w:r w:rsidR="00D75898" w:rsidRPr="006D59BB">
        <w:rPr>
          <w:rFonts w:ascii="Times New Roman" w:hAnsi="Times New Roman" w:cs="Times New Roman"/>
          <w:sz w:val="24"/>
          <w:szCs w:val="24"/>
        </w:rPr>
        <w:t xml:space="preserve">odeksu cywilnego (dalej: </w:t>
      </w:r>
      <w:proofErr w:type="spellStart"/>
      <w:r w:rsidR="00D75898" w:rsidRPr="006D59BB">
        <w:rPr>
          <w:rFonts w:ascii="Times New Roman" w:hAnsi="Times New Roman" w:cs="Times New Roman"/>
          <w:sz w:val="24"/>
          <w:szCs w:val="24"/>
        </w:rPr>
        <w:t>Kc</w:t>
      </w:r>
      <w:proofErr w:type="spellEnd"/>
      <w:r w:rsidR="00D75898" w:rsidRPr="006D59BB">
        <w:rPr>
          <w:rFonts w:ascii="Times New Roman" w:hAnsi="Times New Roman" w:cs="Times New Roman"/>
          <w:sz w:val="24"/>
          <w:szCs w:val="24"/>
        </w:rPr>
        <w:t>)</w:t>
      </w:r>
      <w:r w:rsidRPr="006D59BB">
        <w:rPr>
          <w:rFonts w:ascii="Times New Roman" w:hAnsi="Times New Roman" w:cs="Times New Roman"/>
          <w:sz w:val="24"/>
          <w:szCs w:val="24"/>
        </w:rPr>
        <w:t xml:space="preserve"> zawiera wymóg zawarcia umowy leasingu w formie pisemnej ad solemnitatem. Skutkiem niezachowania formy pisemnej jest bezwzględna nieważność umowy leasingu (art. 73 § 1 </w:t>
      </w:r>
      <w:proofErr w:type="spellStart"/>
      <w:r w:rsidRPr="006D59BB">
        <w:rPr>
          <w:rFonts w:ascii="Times New Roman" w:hAnsi="Times New Roman" w:cs="Times New Roman"/>
          <w:sz w:val="24"/>
          <w:szCs w:val="24"/>
        </w:rPr>
        <w:t>Kc</w:t>
      </w:r>
      <w:proofErr w:type="spellEnd"/>
      <w:r w:rsidRPr="006D59BB">
        <w:rPr>
          <w:rFonts w:ascii="Times New Roman" w:hAnsi="Times New Roman" w:cs="Times New Roman"/>
          <w:sz w:val="24"/>
          <w:szCs w:val="24"/>
        </w:rPr>
        <w:t>).</w:t>
      </w:r>
    </w:p>
    <w:p w14:paraId="5DB0819A" w14:textId="77777777" w:rsidR="00E97B8A" w:rsidRPr="006D59BB" w:rsidRDefault="00E97B8A"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lastRenderedPageBreak/>
        <w:t xml:space="preserve">Leasing jest instrumentem finansującym inwestycje polskich przedsiębiorców. Zastrzeżenie formy pisemnej pod rygorem nieważności przewidzianej dla umowy leasingu może wydłużać proces zawierania umów lub wprowadzania do nich zmian. </w:t>
      </w:r>
    </w:p>
    <w:p w14:paraId="5768DF04" w14:textId="739B3BF8" w:rsidR="00E97B8A" w:rsidRPr="006D59BB" w:rsidRDefault="00E97B8A"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Zawieranie umów leasingu w formie dokumentowej, bez konieczności posiadania podpisu elektronicznego weryfikowanego za pomocą kwalifikowanego certyfikatu, pozwoli usprawnić i przyspieszyć zawieranie tego typu umów, a tak</w:t>
      </w:r>
      <w:r w:rsidR="006966E0" w:rsidRPr="006D59BB">
        <w:rPr>
          <w:rFonts w:ascii="Times New Roman" w:hAnsi="Times New Roman" w:cs="Times New Roman"/>
          <w:sz w:val="24"/>
          <w:szCs w:val="24"/>
        </w:rPr>
        <w:t>że</w:t>
      </w:r>
      <w:r w:rsidRPr="006D59BB">
        <w:rPr>
          <w:rFonts w:ascii="Times New Roman" w:hAnsi="Times New Roman" w:cs="Times New Roman"/>
          <w:sz w:val="24"/>
          <w:szCs w:val="24"/>
        </w:rPr>
        <w:t xml:space="preserve"> wpłynie pozytywnie na bezpieczeństwo stron obrotu. Ponadto znacznie ułatwi i przyspieszy efektywność i dynamikę udzielania finansowania w</w:t>
      </w:r>
      <w:r w:rsidR="00B4401E" w:rsidRPr="006D59BB">
        <w:rPr>
          <w:rFonts w:ascii="Times New Roman" w:hAnsi="Times New Roman" w:cs="Times New Roman"/>
          <w:sz w:val="24"/>
          <w:szCs w:val="24"/>
        </w:rPr>
        <w:t> </w:t>
      </w:r>
      <w:r w:rsidRPr="006D59BB">
        <w:rPr>
          <w:rFonts w:ascii="Times New Roman" w:hAnsi="Times New Roman" w:cs="Times New Roman"/>
          <w:sz w:val="24"/>
          <w:szCs w:val="24"/>
        </w:rPr>
        <w:t>formie leasingu tego typu przedsiębiorcom.</w:t>
      </w:r>
      <w:r w:rsidR="003B44D9" w:rsidRPr="006D59BB">
        <w:rPr>
          <w:rFonts w:ascii="Times New Roman" w:hAnsi="Times New Roman" w:cs="Times New Roman"/>
          <w:sz w:val="24"/>
          <w:szCs w:val="24"/>
        </w:rPr>
        <w:t xml:space="preserve"> Mając jednak na względzie konieczność zapewnienia pewności w</w:t>
      </w:r>
      <w:r w:rsidR="00E6226B" w:rsidRPr="006D59BB">
        <w:rPr>
          <w:rFonts w:ascii="Times New Roman" w:hAnsi="Times New Roman" w:cs="Times New Roman"/>
          <w:sz w:val="24"/>
          <w:szCs w:val="24"/>
        </w:rPr>
        <w:t> </w:t>
      </w:r>
      <w:r w:rsidR="003B44D9" w:rsidRPr="006D59BB">
        <w:rPr>
          <w:rFonts w:ascii="Times New Roman" w:hAnsi="Times New Roman" w:cs="Times New Roman"/>
          <w:sz w:val="24"/>
          <w:szCs w:val="24"/>
        </w:rPr>
        <w:t>relacjach gospodarczych, projektodawca proponuje, by w odniesieniu do nowej formy umowy leasingu obowiązywał rygor ad solemnitatem.</w:t>
      </w:r>
    </w:p>
    <w:p w14:paraId="6D406FC5" w14:textId="77777777" w:rsidR="00E97B8A" w:rsidRPr="006D59BB" w:rsidRDefault="00E97B8A"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 xml:space="preserve">Zliberalizowana forma prawna w postaci dokumentu znajdzie zastosowanie we wszystkich relacjach podmiotowych obrotu cywilnoprawnego, w tym gospodarczego. </w:t>
      </w:r>
    </w:p>
    <w:p w14:paraId="305FF666" w14:textId="21647549" w:rsidR="00EA3D25" w:rsidRPr="006D59BB" w:rsidRDefault="00E97B8A"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Dodatkowo, w związku z powyższą zmianą</w:t>
      </w:r>
      <w:r w:rsidR="00DE75DD">
        <w:rPr>
          <w:rFonts w:ascii="Times New Roman" w:hAnsi="Times New Roman" w:cs="Times New Roman"/>
          <w:sz w:val="24"/>
          <w:szCs w:val="24"/>
        </w:rPr>
        <w:t>,</w:t>
      </w:r>
      <w:r w:rsidRPr="006D59BB">
        <w:rPr>
          <w:rFonts w:ascii="Times New Roman" w:hAnsi="Times New Roman" w:cs="Times New Roman"/>
          <w:sz w:val="24"/>
          <w:szCs w:val="24"/>
        </w:rPr>
        <w:t xml:space="preserve"> proponuje się wprowadzenie dodatkowych modyfikacji w</w:t>
      </w:r>
      <w:r w:rsidR="00B4401E" w:rsidRPr="006D59BB">
        <w:rPr>
          <w:rFonts w:ascii="Times New Roman" w:hAnsi="Times New Roman" w:cs="Times New Roman"/>
          <w:sz w:val="24"/>
          <w:szCs w:val="24"/>
        </w:rPr>
        <w:t> </w:t>
      </w:r>
      <w:r w:rsidRPr="006D59BB">
        <w:rPr>
          <w:rFonts w:ascii="Times New Roman" w:hAnsi="Times New Roman" w:cs="Times New Roman"/>
          <w:sz w:val="24"/>
          <w:szCs w:val="24"/>
        </w:rPr>
        <w:t>art. 709</w:t>
      </w:r>
      <w:r w:rsidRPr="006D59BB">
        <w:rPr>
          <w:rFonts w:ascii="Times New Roman" w:hAnsi="Times New Roman" w:cs="Times New Roman"/>
          <w:sz w:val="24"/>
          <w:szCs w:val="24"/>
          <w:vertAlign w:val="superscript"/>
        </w:rPr>
        <w:t>11</w:t>
      </w:r>
      <w:r w:rsidRPr="006D59BB">
        <w:rPr>
          <w:rFonts w:ascii="Times New Roman" w:hAnsi="Times New Roman" w:cs="Times New Roman"/>
          <w:sz w:val="24"/>
          <w:szCs w:val="24"/>
        </w:rPr>
        <w:t xml:space="preserve"> oraz w art. 709</w:t>
      </w:r>
      <w:r w:rsidRPr="006D59BB">
        <w:rPr>
          <w:rFonts w:ascii="Times New Roman" w:hAnsi="Times New Roman" w:cs="Times New Roman"/>
          <w:sz w:val="24"/>
          <w:szCs w:val="24"/>
          <w:vertAlign w:val="superscript"/>
        </w:rPr>
        <w:t>13</w:t>
      </w:r>
      <w:r w:rsidRPr="006D59BB">
        <w:rPr>
          <w:rFonts w:ascii="Times New Roman" w:hAnsi="Times New Roman" w:cs="Times New Roman"/>
          <w:sz w:val="24"/>
          <w:szCs w:val="24"/>
        </w:rPr>
        <w:t xml:space="preserve"> § 2 </w:t>
      </w:r>
      <w:proofErr w:type="spellStart"/>
      <w:r w:rsidRPr="006D59BB">
        <w:rPr>
          <w:rFonts w:ascii="Times New Roman" w:hAnsi="Times New Roman" w:cs="Times New Roman"/>
          <w:sz w:val="24"/>
          <w:szCs w:val="24"/>
        </w:rPr>
        <w:t>Kc</w:t>
      </w:r>
      <w:proofErr w:type="spellEnd"/>
      <w:r w:rsidRPr="006D59BB">
        <w:rPr>
          <w:rFonts w:ascii="Times New Roman" w:hAnsi="Times New Roman" w:cs="Times New Roman"/>
          <w:sz w:val="24"/>
          <w:szCs w:val="24"/>
        </w:rPr>
        <w:t>. Przepisy te przewidują obecnie konieczność dokonania na piśmie – odpowiednio – upomnienia bądź wyznaczenia dodatkowego terminu przez finansującego korzystającemu. Jeżeli liberalizacji ulec ma sama forma prawna zawarcia umowy leasingu, to nie widać istotnych przeszkód, by także i wspomniane czynności nie mogły zostać dokonane w inny sposób. Z</w:t>
      </w:r>
      <w:r w:rsidR="00E6226B" w:rsidRPr="006D59BB">
        <w:rPr>
          <w:rFonts w:ascii="Times New Roman" w:hAnsi="Times New Roman" w:cs="Times New Roman"/>
          <w:sz w:val="24"/>
          <w:szCs w:val="24"/>
        </w:rPr>
        <w:t> </w:t>
      </w:r>
      <w:r w:rsidRPr="006D59BB">
        <w:rPr>
          <w:rFonts w:ascii="Times New Roman" w:hAnsi="Times New Roman" w:cs="Times New Roman"/>
          <w:sz w:val="24"/>
          <w:szCs w:val="24"/>
        </w:rPr>
        <w:t>tego powodu proponuje się, by możliwe to było także w formie dokumentowej. Projektodawca nie przewiduje, by w</w:t>
      </w:r>
      <w:r w:rsidR="00821E81" w:rsidRPr="006D59BB">
        <w:rPr>
          <w:rFonts w:ascii="Times New Roman" w:hAnsi="Times New Roman" w:cs="Times New Roman"/>
          <w:sz w:val="24"/>
          <w:szCs w:val="24"/>
        </w:rPr>
        <w:t> </w:t>
      </w:r>
      <w:r w:rsidRPr="006D59BB">
        <w:rPr>
          <w:rFonts w:ascii="Times New Roman" w:hAnsi="Times New Roman" w:cs="Times New Roman"/>
          <w:sz w:val="24"/>
          <w:szCs w:val="24"/>
        </w:rPr>
        <w:t>negatywny sposób mogło to wpływać na pewność i</w:t>
      </w:r>
      <w:r w:rsidR="00E6226B" w:rsidRPr="006D59BB">
        <w:rPr>
          <w:rFonts w:ascii="Times New Roman" w:hAnsi="Times New Roman" w:cs="Times New Roman"/>
          <w:sz w:val="24"/>
          <w:szCs w:val="24"/>
        </w:rPr>
        <w:t> </w:t>
      </w:r>
      <w:r w:rsidRPr="006D59BB">
        <w:rPr>
          <w:rFonts w:ascii="Times New Roman" w:hAnsi="Times New Roman" w:cs="Times New Roman"/>
          <w:sz w:val="24"/>
          <w:szCs w:val="24"/>
        </w:rPr>
        <w:t>bezpieczeństwo obrotu gospodarczego, w tym także na kwestie praw stron umowy. Przyczyni się to natomiast do usprawnienia procesu dochodzenia ewentualnych uzasadnionych roszczeń.</w:t>
      </w:r>
    </w:p>
    <w:p w14:paraId="35E3520E" w14:textId="6353DB66" w:rsidR="000B0C06" w:rsidRPr="006D59BB" w:rsidRDefault="000B0C06" w:rsidP="006D59BB">
      <w:pPr>
        <w:pStyle w:val="Styl1"/>
        <w:spacing w:before="120" w:after="0" w:line="360" w:lineRule="auto"/>
        <w:jc w:val="both"/>
        <w:rPr>
          <w:sz w:val="24"/>
          <w:szCs w:val="24"/>
        </w:rPr>
      </w:pPr>
      <w:bookmarkStart w:id="19" w:name="_Hlk162420065"/>
      <w:bookmarkStart w:id="20" w:name="_Toc192358911"/>
      <w:r w:rsidRPr="006D59BB">
        <w:rPr>
          <w:sz w:val="24"/>
          <w:szCs w:val="24"/>
        </w:rPr>
        <w:t>Ustawa z dnia 9 kwietnia 1968 r. o dokonywaniu w księgach wieczystych wpisów na rzecz Skarbu Państwa w oparciu o międzynarodowe umowy o uregulowaniu roszczeń finansowych</w:t>
      </w:r>
      <w:bookmarkEnd w:id="19"/>
      <w:bookmarkEnd w:id="20"/>
    </w:p>
    <w:p w14:paraId="4C5B6235" w14:textId="09372895" w:rsidR="002C5FB0" w:rsidRPr="006D59BB" w:rsidRDefault="002C5FB0"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 xml:space="preserve">Na gruncie postępowań prowadzonych na podstawie przepisów tej ustawy proponuje się odstąpienie od zasady dwuinstancyjności. Za przyjęciem tego stanowiska przemawia fakt, </w:t>
      </w:r>
      <w:r w:rsidR="0026273B" w:rsidRPr="006D59BB">
        <w:rPr>
          <w:rFonts w:ascii="Times New Roman" w:hAnsi="Times New Roman" w:cs="Times New Roman"/>
          <w:sz w:val="24"/>
          <w:szCs w:val="24"/>
        </w:rPr>
        <w:t>że</w:t>
      </w:r>
      <w:r w:rsidRPr="006D59BB">
        <w:rPr>
          <w:rFonts w:ascii="Times New Roman" w:hAnsi="Times New Roman" w:cs="Times New Roman"/>
          <w:sz w:val="24"/>
          <w:szCs w:val="24"/>
        </w:rPr>
        <w:t xml:space="preserve"> wydawane w trybie przepisów ww. ustawy decyzje mają charakter deklaratoryjny i potwierdzają przejście w przeszłości nieruchomości na rzecz Skarbu Państwa w związku z zawarciem z państwami obcymi układów indemnizacyjnych. Nie zmieniają one istniejącego stosunku prawnego lecz potwierdzają przejście praw rzeczowych w dacie zastosowania przepisów nacjonalizacyjnych lub podobnych, w</w:t>
      </w:r>
      <w:r w:rsidR="008170ED" w:rsidRPr="006D59BB">
        <w:rPr>
          <w:rFonts w:ascii="Times New Roman" w:hAnsi="Times New Roman" w:cs="Times New Roman"/>
          <w:sz w:val="24"/>
          <w:szCs w:val="24"/>
        </w:rPr>
        <w:t> </w:t>
      </w:r>
      <w:r w:rsidRPr="006D59BB">
        <w:rPr>
          <w:rFonts w:ascii="Times New Roman" w:hAnsi="Times New Roman" w:cs="Times New Roman"/>
          <w:sz w:val="24"/>
          <w:szCs w:val="24"/>
        </w:rPr>
        <w:t xml:space="preserve">konsekwencji których nieruchomości zostały </w:t>
      </w:r>
      <w:r w:rsidRPr="006D59BB">
        <w:rPr>
          <w:rFonts w:ascii="Times New Roman" w:hAnsi="Times New Roman" w:cs="Times New Roman"/>
          <w:sz w:val="24"/>
          <w:szCs w:val="24"/>
        </w:rPr>
        <w:lastRenderedPageBreak/>
        <w:t>przejęte przez Skarb Państwa. Zakres deklaratoryjnego stwierdzenia w</w:t>
      </w:r>
      <w:r w:rsidR="00E6226B" w:rsidRPr="006D59BB">
        <w:rPr>
          <w:rFonts w:ascii="Times New Roman" w:hAnsi="Times New Roman" w:cs="Times New Roman"/>
          <w:sz w:val="24"/>
          <w:szCs w:val="24"/>
        </w:rPr>
        <w:t> </w:t>
      </w:r>
      <w:r w:rsidRPr="006D59BB">
        <w:rPr>
          <w:rFonts w:ascii="Times New Roman" w:hAnsi="Times New Roman" w:cs="Times New Roman"/>
          <w:sz w:val="24"/>
          <w:szCs w:val="24"/>
        </w:rPr>
        <w:t xml:space="preserve">decyzji o przejściu na rzecz Skarbu Państwa nieruchomości na podstawie umowy międzynarodowej ogranicza się wyłącznie do kwestii uzyskania przez Skarb Państwa tytułu własności jako podstawy wpisu do księgi wieczystej, a nie prawa własności. Po ustaleniu, że zostały spełnione określone przesłanki na podstawie art. 2 ustawy z </w:t>
      </w:r>
      <w:r w:rsidR="0037008D" w:rsidRPr="006D59BB">
        <w:rPr>
          <w:rFonts w:ascii="Times New Roman" w:hAnsi="Times New Roman" w:cs="Times New Roman"/>
          <w:sz w:val="24"/>
          <w:szCs w:val="24"/>
        </w:rPr>
        <w:t>dnia 9 kwietnia 1968 r. o dokonywaniu w księgach wieczystych wpisów na rzecz Skarbu Państwa w oparciu o międzynarodowe umowy o uregulowaniu roszczeń finansowych</w:t>
      </w:r>
      <w:r w:rsidRPr="006D59BB">
        <w:rPr>
          <w:rFonts w:ascii="Times New Roman" w:hAnsi="Times New Roman" w:cs="Times New Roman"/>
          <w:sz w:val="24"/>
          <w:szCs w:val="24"/>
        </w:rPr>
        <w:t xml:space="preserve"> zachodzi obowiązek wydania decyzji stwierdzającej przejście na rzecz Skarbu Państwa praw rzeczowych do nieruchomości, która następnie może stanowić podstawę wpisu do księgi wieczystej Skarbu Państwa jako właściciela tej nieruchomości.</w:t>
      </w:r>
    </w:p>
    <w:p w14:paraId="68D35E33" w14:textId="5AD550D5" w:rsidR="002C5FB0" w:rsidRPr="006D59BB" w:rsidRDefault="002C5FB0"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 xml:space="preserve">Wskazać również należy, </w:t>
      </w:r>
      <w:r w:rsidR="00684CB0" w:rsidRPr="006D59BB">
        <w:rPr>
          <w:rFonts w:ascii="Times New Roman" w:hAnsi="Times New Roman" w:cs="Times New Roman"/>
          <w:sz w:val="24"/>
          <w:szCs w:val="24"/>
        </w:rPr>
        <w:t>że</w:t>
      </w:r>
      <w:r w:rsidRPr="006D59BB">
        <w:rPr>
          <w:rFonts w:ascii="Times New Roman" w:hAnsi="Times New Roman" w:cs="Times New Roman"/>
          <w:sz w:val="24"/>
          <w:szCs w:val="24"/>
        </w:rPr>
        <w:t xml:space="preserve"> w postępowaniu prowadzonym przez Ministra Finansów nie mamy do czynienia z odwołaniem składanym do organu wyższego stopnia, lecz z wnioskiem o ponowne rozpatrzenie sprawy, który rozpatrywany jest przez ten sam organ. Jak pokazują statystyki dotyczące decyzji wydawanych w postępowaniach w wyniku wniosku o ponowne rozpatrzenie sprawy, decyzje te w zdecydowanej większości nie prowadzą do zmiany rozstrzygnięć wydawanych w pierwszej instancji, lecz do ponownej polemiki z twierdzeniami przywoływanymi w toku postępowania </w:t>
      </w:r>
      <w:proofErr w:type="spellStart"/>
      <w:r w:rsidRPr="006D59BB">
        <w:rPr>
          <w:rFonts w:ascii="Times New Roman" w:hAnsi="Times New Roman" w:cs="Times New Roman"/>
          <w:sz w:val="24"/>
          <w:szCs w:val="24"/>
        </w:rPr>
        <w:t>pierwszoinstancyjnego</w:t>
      </w:r>
      <w:proofErr w:type="spellEnd"/>
      <w:r w:rsidRPr="006D59BB">
        <w:rPr>
          <w:rFonts w:ascii="Times New Roman" w:hAnsi="Times New Roman" w:cs="Times New Roman"/>
          <w:sz w:val="24"/>
          <w:szCs w:val="24"/>
        </w:rPr>
        <w:t xml:space="preserve">. </w:t>
      </w:r>
    </w:p>
    <w:p w14:paraId="0FD1A74B" w14:textId="207204FB" w:rsidR="002C5FB0" w:rsidRPr="006D59BB" w:rsidRDefault="002C5FB0"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 xml:space="preserve">Dodatkowo obserwuje się coraz częściej rezygnowanie przez strony postępowania ze składania wniosku o ponowne rozpatrzenie sprawy i składanie od razu skargi do wojewódzkiego sądu administracyjnego po wydaniu decyzji w pierwszej instancji na podstawie art. 52 § 3 </w:t>
      </w:r>
      <w:proofErr w:type="spellStart"/>
      <w:r w:rsidRPr="006D59BB">
        <w:rPr>
          <w:rFonts w:ascii="Times New Roman" w:hAnsi="Times New Roman" w:cs="Times New Roman"/>
          <w:sz w:val="24"/>
          <w:szCs w:val="24"/>
        </w:rPr>
        <w:t>Ppsa</w:t>
      </w:r>
      <w:proofErr w:type="spellEnd"/>
      <w:r w:rsidRPr="006D59BB">
        <w:rPr>
          <w:rFonts w:ascii="Times New Roman" w:hAnsi="Times New Roman" w:cs="Times New Roman"/>
          <w:sz w:val="24"/>
          <w:szCs w:val="24"/>
        </w:rPr>
        <w:t xml:space="preserve">, co należy tłumaczyć potrzebą przyspieszenia prowadzenia postępowania. Strona postępowania będzie mogła szybciej ostatecznie uzyskać rozstrzygnięcie w sprawie. Z kolei wszelkie błędy, korekty których wymagałyby określone rozstrzygnięcia wydane w pierwszej i jedynej (w toku postępowania administracyjnego) instancji zawsze mogłyby podlegać rozpatrzeniu w trybie art. 54 § 3 </w:t>
      </w:r>
      <w:proofErr w:type="spellStart"/>
      <w:r w:rsidRPr="006D59BB">
        <w:rPr>
          <w:rFonts w:ascii="Times New Roman" w:hAnsi="Times New Roman" w:cs="Times New Roman"/>
          <w:sz w:val="24"/>
          <w:szCs w:val="24"/>
        </w:rPr>
        <w:t>Ppsa</w:t>
      </w:r>
      <w:proofErr w:type="spellEnd"/>
      <w:r w:rsidRPr="006D59BB">
        <w:rPr>
          <w:rFonts w:ascii="Times New Roman" w:hAnsi="Times New Roman" w:cs="Times New Roman"/>
          <w:sz w:val="24"/>
          <w:szCs w:val="24"/>
        </w:rPr>
        <w:t xml:space="preserve">. Ponadto rozstrzygnięcia wydawane przez Ministra Finansów podlegają zaskarżeniu do sądu administracyjnego, a skargi w tych sprawach będą podlegały dwuinstancyjnemu postępowaniu sądowo-administracyjnemu. Powyższe oznacza, </w:t>
      </w:r>
      <w:r w:rsidR="00684CB0" w:rsidRPr="006D59BB">
        <w:rPr>
          <w:rFonts w:ascii="Times New Roman" w:hAnsi="Times New Roman" w:cs="Times New Roman"/>
          <w:sz w:val="24"/>
          <w:szCs w:val="24"/>
        </w:rPr>
        <w:t>że</w:t>
      </w:r>
      <w:r w:rsidRPr="006D59BB">
        <w:rPr>
          <w:rFonts w:ascii="Times New Roman" w:hAnsi="Times New Roman" w:cs="Times New Roman"/>
          <w:sz w:val="24"/>
          <w:szCs w:val="24"/>
        </w:rPr>
        <w:t xml:space="preserve"> prawa stron postępowania przed Ministrem Finansów, do wnikliwego rozpatrzenia sprawy i sądowej kontroli rozstrzygnięć administracji zostaną zapewnione.</w:t>
      </w:r>
    </w:p>
    <w:p w14:paraId="790B96C6" w14:textId="5135CAA7" w:rsidR="002C5FB0" w:rsidRPr="006D59BB" w:rsidRDefault="002C5FB0"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 xml:space="preserve">Ponadto przyspieszenie prowadzenia postępowania administracyjnego będzie miało pozytywny wpływ na uregulowanie stanu prawnego </w:t>
      </w:r>
      <w:r w:rsidR="00A7393F" w:rsidRPr="006D59BB">
        <w:rPr>
          <w:rFonts w:ascii="Times New Roman" w:hAnsi="Times New Roman" w:cs="Times New Roman"/>
          <w:sz w:val="24"/>
          <w:szCs w:val="24"/>
        </w:rPr>
        <w:t xml:space="preserve">nieruchomości, będących </w:t>
      </w:r>
      <w:r w:rsidRPr="006D59BB">
        <w:rPr>
          <w:rFonts w:ascii="Times New Roman" w:hAnsi="Times New Roman" w:cs="Times New Roman"/>
          <w:sz w:val="24"/>
          <w:szCs w:val="24"/>
        </w:rPr>
        <w:t>przedmiotem postępowania, a</w:t>
      </w:r>
      <w:r w:rsidR="00821E81" w:rsidRPr="006D59BB">
        <w:rPr>
          <w:rFonts w:ascii="Times New Roman" w:hAnsi="Times New Roman" w:cs="Times New Roman"/>
          <w:sz w:val="24"/>
          <w:szCs w:val="24"/>
        </w:rPr>
        <w:t> </w:t>
      </w:r>
      <w:r w:rsidRPr="006D59BB">
        <w:rPr>
          <w:rFonts w:ascii="Times New Roman" w:hAnsi="Times New Roman" w:cs="Times New Roman"/>
          <w:sz w:val="24"/>
          <w:szCs w:val="24"/>
        </w:rPr>
        <w:t>w</w:t>
      </w:r>
      <w:r w:rsidR="00821E81" w:rsidRPr="006D59BB">
        <w:rPr>
          <w:rFonts w:ascii="Times New Roman" w:hAnsi="Times New Roman" w:cs="Times New Roman"/>
          <w:sz w:val="24"/>
          <w:szCs w:val="24"/>
        </w:rPr>
        <w:t> </w:t>
      </w:r>
      <w:r w:rsidRPr="006D59BB">
        <w:rPr>
          <w:rFonts w:ascii="Times New Roman" w:hAnsi="Times New Roman" w:cs="Times New Roman"/>
          <w:sz w:val="24"/>
          <w:szCs w:val="24"/>
        </w:rPr>
        <w:t>konsekwencji może przyczynić się do podniesienia pewności obrotu prawnego nieruchomościami.</w:t>
      </w:r>
      <w:r w:rsidR="00C656EB">
        <w:rPr>
          <w:rFonts w:ascii="Times New Roman" w:hAnsi="Times New Roman" w:cs="Times New Roman"/>
          <w:sz w:val="24"/>
          <w:szCs w:val="24"/>
        </w:rPr>
        <w:t xml:space="preserve"> </w:t>
      </w:r>
    </w:p>
    <w:p w14:paraId="4CA4226A" w14:textId="51C105A4" w:rsidR="002C5FB0" w:rsidRPr="006D59BB" w:rsidRDefault="002C5FB0"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lastRenderedPageBreak/>
        <w:t xml:space="preserve">Zasadniczym więc celem przyjętych rozwiązań prawnych w projekcie ustawy jest przede wszystkim przyspieszenie i usprawnienie postępowań administracyjnych, co będzie możliwe m.in. przez zniesienie dwuinstancyjności w postępowaniach, których charakter na to pozwala. </w:t>
      </w:r>
    </w:p>
    <w:p w14:paraId="5017CF44" w14:textId="13E4B5C3" w:rsidR="002C5FB0" w:rsidRPr="006D59BB" w:rsidRDefault="002C5FB0"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 xml:space="preserve">Jednocześnie, po wprowadzeniu zasady, że od decyzji wydanych przez Ministra Finansów nie będzie przysługiwał wniosek o ponowne rozpatrzenie sprawy, podobne rozwiązanie powinno dotyczyć zaskarżalnych w toku postępowania administracyjnego postanowień. W tym zakresie proponuje się dodać </w:t>
      </w:r>
      <w:r w:rsidR="00CD7198" w:rsidRPr="006D59BB">
        <w:rPr>
          <w:rFonts w:ascii="Times New Roman" w:hAnsi="Times New Roman" w:cs="Times New Roman"/>
          <w:sz w:val="24"/>
          <w:szCs w:val="24"/>
        </w:rPr>
        <w:t>art. 2</w:t>
      </w:r>
      <w:r w:rsidR="00CB3F1C" w:rsidRPr="006D59BB">
        <w:rPr>
          <w:rFonts w:ascii="Times New Roman" w:hAnsi="Times New Roman" w:cs="Times New Roman"/>
          <w:sz w:val="24"/>
          <w:szCs w:val="24"/>
        </w:rPr>
        <w:t>b</w:t>
      </w:r>
      <w:r w:rsidR="00CD7198" w:rsidRPr="006D59BB">
        <w:rPr>
          <w:rFonts w:ascii="Times New Roman" w:hAnsi="Times New Roman" w:cs="Times New Roman"/>
          <w:sz w:val="24"/>
          <w:szCs w:val="24"/>
        </w:rPr>
        <w:t xml:space="preserve"> do</w:t>
      </w:r>
      <w:r w:rsidRPr="006D59BB">
        <w:rPr>
          <w:rFonts w:ascii="Times New Roman" w:hAnsi="Times New Roman" w:cs="Times New Roman"/>
          <w:sz w:val="24"/>
          <w:szCs w:val="24"/>
        </w:rPr>
        <w:t xml:space="preserve"> ustawy z dnia 9 kwietnia 1968 r. o dokonywaniu w księgach wieczystych wpisów na rzecz Skarbu Państwa w oparciu o międzynarodowe umowy o uregulowaniu roszczeń finansowych.</w:t>
      </w:r>
    </w:p>
    <w:p w14:paraId="5AF9FEC6" w14:textId="2F127F3F" w:rsidR="00EB6BE4" w:rsidRPr="006D59BB" w:rsidRDefault="000B0C06" w:rsidP="006D59BB">
      <w:pPr>
        <w:pStyle w:val="Styl1"/>
        <w:spacing w:before="120" w:after="0" w:line="360" w:lineRule="auto"/>
        <w:rPr>
          <w:sz w:val="24"/>
          <w:szCs w:val="24"/>
        </w:rPr>
      </w:pPr>
      <w:bookmarkStart w:id="21" w:name="_Toc192358912"/>
      <w:r w:rsidRPr="006D59BB">
        <w:rPr>
          <w:sz w:val="24"/>
          <w:szCs w:val="24"/>
        </w:rPr>
        <w:t>Ustawa z dnia 22 marca 1989 r. o rzemiośle</w:t>
      </w:r>
      <w:bookmarkEnd w:id="21"/>
    </w:p>
    <w:p w14:paraId="7648206E" w14:textId="77777777" w:rsidR="00D86F0D" w:rsidRPr="006D59BB" w:rsidRDefault="00D86F0D" w:rsidP="006D59BB">
      <w:pPr>
        <w:spacing w:before="120" w:after="0" w:line="360" w:lineRule="auto"/>
        <w:jc w:val="both"/>
        <w:rPr>
          <w:rFonts w:ascii="Times New Roman" w:eastAsia="Aptos" w:hAnsi="Times New Roman" w:cs="Times New Roman"/>
          <w:kern w:val="0"/>
          <w:sz w:val="24"/>
          <w:szCs w:val="24"/>
          <w14:ligatures w14:val="none"/>
        </w:rPr>
      </w:pPr>
      <w:r w:rsidRPr="006D59BB">
        <w:rPr>
          <w:rFonts w:ascii="Times New Roman" w:eastAsia="Aptos" w:hAnsi="Times New Roman" w:cs="Times New Roman"/>
          <w:kern w:val="0"/>
          <w:sz w:val="24"/>
          <w:szCs w:val="24"/>
          <w14:ligatures w14:val="none"/>
        </w:rPr>
        <w:t xml:space="preserve">Ustawa o rzemiośle regulująca zasady jego funkcjonowania była wielokrotnie nowelizowana. Ostatnią modyfikację przeszła 1 stycznia 2020 r. w związku z wejściem w życie ustawy z dnia 31 lipca 2019 r. o zmianie niektórych ustaw w celu ograniczenia obciążeń regulacyjnych. Wówczas na nowo określono m.in. zakres podmiotowy (definicję rzemieślnika) i zakres przedmiotowy (definicję rzemiosła) ustawy o rzemiośle. </w:t>
      </w:r>
    </w:p>
    <w:p w14:paraId="481113FF" w14:textId="34E6DA57" w:rsidR="00D86F0D" w:rsidRPr="006D59BB" w:rsidRDefault="00D86F0D" w:rsidP="006D59BB">
      <w:pPr>
        <w:spacing w:before="120" w:after="0" w:line="360" w:lineRule="auto"/>
        <w:jc w:val="both"/>
        <w:rPr>
          <w:rFonts w:ascii="Times New Roman" w:eastAsia="Aptos" w:hAnsi="Times New Roman" w:cs="Times New Roman"/>
          <w:kern w:val="0"/>
          <w:sz w:val="24"/>
          <w:szCs w:val="24"/>
          <w14:ligatures w14:val="none"/>
        </w:rPr>
      </w:pPr>
      <w:r w:rsidRPr="006D59BB">
        <w:rPr>
          <w:rFonts w:ascii="Times New Roman" w:eastAsia="Aptos" w:hAnsi="Times New Roman" w:cs="Times New Roman"/>
          <w:kern w:val="0"/>
          <w:sz w:val="24"/>
          <w:szCs w:val="24"/>
          <w14:ligatures w14:val="none"/>
        </w:rPr>
        <w:t>Nowe regulacje okazały się pozytywne dla rzemiosła, jednak dynamiczne zmiany zachodzące w otoczeniu prawnym, gospodarczym i społecznym oraz dotychczasowa praktyka stosowania ustawy o</w:t>
      </w:r>
      <w:r w:rsidR="00E6226B" w:rsidRPr="006D59BB">
        <w:rPr>
          <w:rFonts w:ascii="Times New Roman" w:eastAsia="Aptos" w:hAnsi="Times New Roman" w:cs="Times New Roman"/>
          <w:kern w:val="0"/>
          <w:sz w:val="24"/>
          <w:szCs w:val="24"/>
          <w14:ligatures w14:val="none"/>
        </w:rPr>
        <w:t> </w:t>
      </w:r>
      <w:r w:rsidRPr="006D59BB">
        <w:rPr>
          <w:rFonts w:ascii="Times New Roman" w:eastAsia="Aptos" w:hAnsi="Times New Roman" w:cs="Times New Roman"/>
          <w:kern w:val="0"/>
          <w:sz w:val="24"/>
          <w:szCs w:val="24"/>
          <w14:ligatures w14:val="none"/>
        </w:rPr>
        <w:t xml:space="preserve">rzemiośle wymuszają potrzebę ich kolejnej nowelizacji przez dostosowanie definicji rzemiosła i rzemieślnika do obecnych realiów społeczno-gospodarczych. </w:t>
      </w:r>
    </w:p>
    <w:p w14:paraId="5238F72D" w14:textId="7063A56A" w:rsidR="00D86F0D" w:rsidRPr="006D59BB" w:rsidRDefault="00D86F0D" w:rsidP="006D59BB">
      <w:pPr>
        <w:spacing w:before="120" w:after="0" w:line="360" w:lineRule="auto"/>
        <w:jc w:val="both"/>
        <w:rPr>
          <w:rFonts w:ascii="Times New Roman" w:eastAsia="Aptos" w:hAnsi="Times New Roman" w:cs="Times New Roman"/>
          <w:kern w:val="0"/>
          <w:sz w:val="24"/>
          <w:szCs w:val="24"/>
          <w14:ligatures w14:val="none"/>
        </w:rPr>
      </w:pPr>
      <w:r w:rsidRPr="006D59BB">
        <w:rPr>
          <w:rFonts w:ascii="Times New Roman" w:eastAsia="Aptos" w:hAnsi="Times New Roman" w:cs="Times New Roman"/>
          <w:kern w:val="0"/>
          <w:sz w:val="24"/>
          <w:szCs w:val="24"/>
          <w14:ligatures w14:val="none"/>
        </w:rPr>
        <w:t>Dynamika zmian i przekształceń form prowadzenia działalności gospodarczej przez mikro-, małych i średnich przedsiębiorców oraz sygnały płynące ze środowiska rzemiosła pokazują, że nowelizacja przepisów ustawy o rzemiośle definiujących rzemiosło i rzemieślnika winna obejmować następujące zagadnienia:</w:t>
      </w:r>
    </w:p>
    <w:p w14:paraId="6E6F5582" w14:textId="77777777" w:rsidR="00D86F0D" w:rsidRPr="006D59BB" w:rsidRDefault="00D86F0D" w:rsidP="006D59BB">
      <w:pPr>
        <w:numPr>
          <w:ilvl w:val="0"/>
          <w:numId w:val="5"/>
        </w:numPr>
        <w:spacing w:before="120" w:after="0" w:line="360" w:lineRule="auto"/>
        <w:ind w:left="426" w:hanging="426"/>
        <w:contextualSpacing/>
        <w:jc w:val="both"/>
        <w:rPr>
          <w:rFonts w:ascii="Times New Roman" w:eastAsia="Aptos" w:hAnsi="Times New Roman" w:cs="Times New Roman"/>
          <w:kern w:val="0"/>
          <w:sz w:val="24"/>
          <w:szCs w:val="24"/>
          <w14:ligatures w14:val="none"/>
        </w:rPr>
      </w:pPr>
      <w:r w:rsidRPr="006D59BB">
        <w:rPr>
          <w:rFonts w:ascii="Times New Roman" w:eastAsia="Aptos" w:hAnsi="Times New Roman" w:cs="Times New Roman"/>
          <w:kern w:val="0"/>
          <w:sz w:val="24"/>
          <w:szCs w:val="24"/>
          <w14:ligatures w14:val="none"/>
        </w:rPr>
        <w:t>rozszerzenie katalogu prawnie dopuszczalnej formy prowadzenia działalności gospodarczej w zakresie rzemiosła;</w:t>
      </w:r>
    </w:p>
    <w:p w14:paraId="4030461A" w14:textId="138F1361" w:rsidR="00D86F0D" w:rsidRPr="006D59BB" w:rsidRDefault="00D86F0D" w:rsidP="006D59BB">
      <w:pPr>
        <w:numPr>
          <w:ilvl w:val="0"/>
          <w:numId w:val="5"/>
        </w:numPr>
        <w:spacing w:before="120" w:after="0" w:line="360" w:lineRule="auto"/>
        <w:ind w:left="426" w:hanging="426"/>
        <w:contextualSpacing/>
        <w:jc w:val="both"/>
        <w:rPr>
          <w:rFonts w:ascii="Times New Roman" w:eastAsia="Aptos" w:hAnsi="Times New Roman" w:cs="Times New Roman"/>
          <w:kern w:val="0"/>
          <w:sz w:val="24"/>
          <w:szCs w:val="24"/>
          <w14:ligatures w14:val="none"/>
        </w:rPr>
      </w:pPr>
      <w:r w:rsidRPr="006D59BB">
        <w:rPr>
          <w:rFonts w:ascii="Times New Roman" w:eastAsia="Aptos" w:hAnsi="Times New Roman" w:cs="Times New Roman"/>
          <w:kern w:val="0"/>
          <w:sz w:val="24"/>
          <w:szCs w:val="24"/>
          <w14:ligatures w14:val="none"/>
        </w:rPr>
        <w:t>rozszerzenie definicji rzemiosła przez dopuszczenie wykorzystywania przez przedsiębiorców, niezależnie od formy prowadzenia przez nich działalności, wszystkich kwalifikacji zawodowych w rzemiośle, wymienionych w ustawie;</w:t>
      </w:r>
    </w:p>
    <w:p w14:paraId="16FE2040" w14:textId="5B8A01C8" w:rsidR="00D86F0D" w:rsidRPr="006D59BB" w:rsidRDefault="00D86F0D" w:rsidP="006D59BB">
      <w:pPr>
        <w:numPr>
          <w:ilvl w:val="0"/>
          <w:numId w:val="5"/>
        </w:numPr>
        <w:spacing w:before="120" w:after="0" w:line="360" w:lineRule="auto"/>
        <w:ind w:left="426" w:hanging="426"/>
        <w:contextualSpacing/>
        <w:jc w:val="both"/>
        <w:rPr>
          <w:rFonts w:ascii="Times New Roman" w:eastAsia="Aptos" w:hAnsi="Times New Roman" w:cs="Times New Roman"/>
          <w:kern w:val="0"/>
          <w:sz w:val="24"/>
          <w:szCs w:val="24"/>
          <w14:ligatures w14:val="none"/>
        </w:rPr>
      </w:pPr>
      <w:r w:rsidRPr="006D59BB">
        <w:rPr>
          <w:rFonts w:ascii="Times New Roman" w:eastAsia="Aptos" w:hAnsi="Times New Roman" w:cs="Times New Roman"/>
          <w:kern w:val="0"/>
          <w:sz w:val="24"/>
          <w:szCs w:val="24"/>
          <w14:ligatures w14:val="none"/>
        </w:rPr>
        <w:t>odejście od wymogu dotyczącego wykorzystywania w ramach działalności gospodarczej spółek kwalifikacji zawodowych w rzemiośle i pracy własnej wszystkich wspólników;</w:t>
      </w:r>
    </w:p>
    <w:p w14:paraId="2E27F1B2" w14:textId="77777777" w:rsidR="00D86F0D" w:rsidRPr="006D59BB" w:rsidRDefault="00D86F0D" w:rsidP="006D59BB">
      <w:pPr>
        <w:numPr>
          <w:ilvl w:val="0"/>
          <w:numId w:val="5"/>
        </w:numPr>
        <w:spacing w:before="120" w:after="0" w:line="360" w:lineRule="auto"/>
        <w:ind w:left="426" w:hanging="426"/>
        <w:contextualSpacing/>
        <w:jc w:val="both"/>
        <w:rPr>
          <w:rFonts w:ascii="Times New Roman" w:eastAsia="Aptos" w:hAnsi="Times New Roman" w:cs="Times New Roman"/>
          <w:kern w:val="0"/>
          <w:sz w:val="24"/>
          <w:szCs w:val="24"/>
          <w14:ligatures w14:val="none"/>
        </w:rPr>
      </w:pPr>
      <w:r w:rsidRPr="006D59BB">
        <w:rPr>
          <w:rFonts w:ascii="Times New Roman" w:eastAsia="Aptos" w:hAnsi="Times New Roman" w:cs="Times New Roman"/>
          <w:kern w:val="0"/>
          <w:sz w:val="24"/>
          <w:szCs w:val="24"/>
          <w14:ligatures w14:val="none"/>
        </w:rPr>
        <w:t>włączenie do rzemiosła usług świadczonych przez optyka okularowego i protetyka słuchu;</w:t>
      </w:r>
    </w:p>
    <w:p w14:paraId="4D700737" w14:textId="77777777" w:rsidR="00D86F0D" w:rsidRPr="006D59BB" w:rsidRDefault="00D86F0D" w:rsidP="006D59BB">
      <w:pPr>
        <w:numPr>
          <w:ilvl w:val="0"/>
          <w:numId w:val="5"/>
        </w:numPr>
        <w:spacing w:before="120" w:after="0" w:line="360" w:lineRule="auto"/>
        <w:ind w:left="426" w:hanging="426"/>
        <w:contextualSpacing/>
        <w:jc w:val="both"/>
        <w:rPr>
          <w:rFonts w:ascii="Times New Roman" w:eastAsia="Aptos" w:hAnsi="Times New Roman" w:cs="Times New Roman"/>
          <w:kern w:val="0"/>
          <w:sz w:val="24"/>
          <w:szCs w:val="24"/>
          <w14:ligatures w14:val="none"/>
        </w:rPr>
      </w:pPr>
      <w:r w:rsidRPr="006D59BB">
        <w:rPr>
          <w:rFonts w:ascii="Times New Roman" w:eastAsia="Aptos" w:hAnsi="Times New Roman" w:cs="Times New Roman"/>
          <w:kern w:val="0"/>
          <w:sz w:val="24"/>
          <w:szCs w:val="24"/>
          <w14:ligatures w14:val="none"/>
        </w:rPr>
        <w:lastRenderedPageBreak/>
        <w:t xml:space="preserve">odejście od automatyzmu w kwestii nabywania statusu rzemieślnika przez niektóre spółki wykonujące rzemiosło. </w:t>
      </w:r>
    </w:p>
    <w:p w14:paraId="5DD1A2BE" w14:textId="77777777" w:rsidR="00D86F0D" w:rsidRPr="006D59BB" w:rsidRDefault="00D86F0D" w:rsidP="006D59BB">
      <w:pPr>
        <w:spacing w:before="120" w:after="0" w:line="360" w:lineRule="auto"/>
        <w:jc w:val="both"/>
        <w:rPr>
          <w:rFonts w:ascii="Times New Roman" w:eastAsia="Aptos" w:hAnsi="Times New Roman" w:cs="Times New Roman"/>
          <w:kern w:val="0"/>
          <w:sz w:val="24"/>
          <w:szCs w:val="24"/>
          <w14:ligatures w14:val="none"/>
        </w:rPr>
      </w:pPr>
      <w:r w:rsidRPr="006D59BB">
        <w:rPr>
          <w:rFonts w:ascii="Times New Roman" w:eastAsia="Aptos" w:hAnsi="Times New Roman" w:cs="Times New Roman"/>
          <w:kern w:val="0"/>
          <w:sz w:val="24"/>
          <w:szCs w:val="24"/>
          <w14:ligatures w14:val="none"/>
        </w:rPr>
        <w:t>Aktualnie definicję rzemieślnika określają przepisy art. 2 ust. 1, 4 i 6 oraz art. 3 ust. 1 nowelizowanej ustawy o rzemiośle.</w:t>
      </w:r>
    </w:p>
    <w:p w14:paraId="4E5D4417" w14:textId="77777777" w:rsidR="00D86F0D" w:rsidRPr="006D59BB" w:rsidRDefault="00D86F0D" w:rsidP="006D59BB">
      <w:pPr>
        <w:spacing w:before="120" w:after="0" w:line="360" w:lineRule="auto"/>
        <w:jc w:val="both"/>
        <w:rPr>
          <w:rFonts w:ascii="Times New Roman" w:eastAsia="Aptos" w:hAnsi="Times New Roman" w:cs="Times New Roman"/>
          <w:kern w:val="0"/>
          <w:sz w:val="24"/>
          <w:szCs w:val="24"/>
          <w14:ligatures w14:val="none"/>
        </w:rPr>
      </w:pPr>
      <w:r w:rsidRPr="006D59BB">
        <w:rPr>
          <w:rFonts w:ascii="Times New Roman" w:eastAsia="Aptos" w:hAnsi="Times New Roman" w:cs="Times New Roman"/>
          <w:kern w:val="0"/>
          <w:sz w:val="24"/>
          <w:szCs w:val="24"/>
          <w14:ligatures w14:val="none"/>
        </w:rPr>
        <w:t xml:space="preserve">W świetle wskazanych wyżej przepisów przedsiębiorca powinien spełniać łącznie następujące wymogi ustawowe określające status rzemieślnika: </w:t>
      </w:r>
    </w:p>
    <w:p w14:paraId="6B0A03DD" w14:textId="77777777" w:rsidR="00D86F0D" w:rsidRPr="006D59BB" w:rsidRDefault="00D86F0D" w:rsidP="006D59BB">
      <w:pPr>
        <w:numPr>
          <w:ilvl w:val="0"/>
          <w:numId w:val="6"/>
        </w:numPr>
        <w:spacing w:before="120" w:after="0" w:line="360" w:lineRule="auto"/>
        <w:ind w:left="426" w:hanging="426"/>
        <w:contextualSpacing/>
        <w:jc w:val="both"/>
        <w:rPr>
          <w:rFonts w:ascii="Times New Roman" w:eastAsia="Aptos" w:hAnsi="Times New Roman" w:cs="Times New Roman"/>
          <w:kern w:val="0"/>
          <w:sz w:val="24"/>
          <w:szCs w:val="24"/>
          <w14:ligatures w14:val="none"/>
        </w:rPr>
      </w:pPr>
      <w:r w:rsidRPr="006D59BB">
        <w:rPr>
          <w:rFonts w:ascii="Times New Roman" w:eastAsia="Aptos" w:hAnsi="Times New Roman" w:cs="Times New Roman"/>
          <w:kern w:val="0"/>
          <w:sz w:val="24"/>
          <w:szCs w:val="24"/>
          <w14:ligatures w14:val="none"/>
        </w:rPr>
        <w:t>posiadać status mikro-, małego lub średniego przedsiębiorcy w rozumieniu art. 7 ust. 1 pkt 1–3 ustawy z dnia 6 marca 2018 r. – Prawo przedsiębiorców;</w:t>
      </w:r>
    </w:p>
    <w:p w14:paraId="7A43297F" w14:textId="77777777" w:rsidR="00D86F0D" w:rsidRPr="006D59BB" w:rsidRDefault="00D86F0D" w:rsidP="006D59BB">
      <w:pPr>
        <w:numPr>
          <w:ilvl w:val="0"/>
          <w:numId w:val="6"/>
        </w:numPr>
        <w:spacing w:before="120" w:after="0" w:line="360" w:lineRule="auto"/>
        <w:ind w:left="426" w:hanging="426"/>
        <w:contextualSpacing/>
        <w:jc w:val="both"/>
        <w:rPr>
          <w:rFonts w:ascii="Times New Roman" w:eastAsia="Aptos" w:hAnsi="Times New Roman" w:cs="Times New Roman"/>
          <w:kern w:val="0"/>
          <w:sz w:val="24"/>
          <w:szCs w:val="24"/>
          <w14:ligatures w14:val="none"/>
        </w:rPr>
      </w:pPr>
      <w:r w:rsidRPr="006D59BB">
        <w:rPr>
          <w:rFonts w:ascii="Times New Roman" w:eastAsia="Aptos" w:hAnsi="Times New Roman" w:cs="Times New Roman"/>
          <w:kern w:val="0"/>
          <w:sz w:val="24"/>
          <w:szCs w:val="24"/>
          <w14:ligatures w14:val="none"/>
        </w:rPr>
        <w:t>prowadzić działalność gospodarczą w jednej z branż rzemieślniczych, tj. branży innej niż wyłączone w ustawie (art. 2 ust. 4 ustawy do rzemiosła nie zalicza działalności handlowej, usług hotelarskich, działalności transportowej, usług świadczonych w wykonywaniu wolnych zawodów, usług leczniczych oraz działalności wytwórczej i usługowej artystów plastyków i fotografików);</w:t>
      </w:r>
    </w:p>
    <w:p w14:paraId="7D9BE2D8" w14:textId="77777777" w:rsidR="00D86F0D" w:rsidRPr="006D59BB" w:rsidRDefault="00D86F0D" w:rsidP="006D59BB">
      <w:pPr>
        <w:numPr>
          <w:ilvl w:val="0"/>
          <w:numId w:val="6"/>
        </w:numPr>
        <w:spacing w:before="120" w:after="0" w:line="360" w:lineRule="auto"/>
        <w:ind w:left="426" w:hanging="426"/>
        <w:contextualSpacing/>
        <w:jc w:val="both"/>
        <w:rPr>
          <w:rFonts w:ascii="Times New Roman" w:eastAsia="Aptos" w:hAnsi="Times New Roman" w:cs="Times New Roman"/>
          <w:kern w:val="0"/>
          <w:sz w:val="24"/>
          <w:szCs w:val="24"/>
          <w14:ligatures w14:val="none"/>
        </w:rPr>
      </w:pPr>
      <w:r w:rsidRPr="006D59BB">
        <w:rPr>
          <w:rFonts w:ascii="Times New Roman" w:eastAsia="Aptos" w:hAnsi="Times New Roman" w:cs="Times New Roman"/>
          <w:kern w:val="0"/>
          <w:sz w:val="24"/>
          <w:szCs w:val="24"/>
          <w14:ligatures w14:val="none"/>
        </w:rPr>
        <w:t>prowadzić działalność w jednej z form wymienionych w ustawie, z wykorzystaniem kwalifikacji zawodowych i pracy własnej (zgodnie z art. 2 ust. 1 ustawy rzemiosło może być wykonywane przez: osobę fizyczną, wspólników spółki cywilnej osób fizycznych w zakresie wykonywanej przez nich wspólnie działalności gospodarczej, spółkę jawną, spółkę komandytową osób fizycznych, spółkę komandytowo-akcyjną osób fizycznych oraz jednoosobową spółkę kapitałową powstałą w wyniku przekształcenia przedsiębiorcy będącego osobą fizyczną);</w:t>
      </w:r>
    </w:p>
    <w:p w14:paraId="605A8675" w14:textId="77777777" w:rsidR="00D86F0D" w:rsidRPr="006D59BB" w:rsidRDefault="00D86F0D" w:rsidP="006D59BB">
      <w:pPr>
        <w:numPr>
          <w:ilvl w:val="0"/>
          <w:numId w:val="6"/>
        </w:numPr>
        <w:spacing w:before="120" w:after="0" w:line="360" w:lineRule="auto"/>
        <w:ind w:left="426" w:hanging="426"/>
        <w:contextualSpacing/>
        <w:jc w:val="both"/>
        <w:rPr>
          <w:rFonts w:ascii="Times New Roman" w:eastAsia="Aptos" w:hAnsi="Times New Roman" w:cs="Times New Roman"/>
          <w:kern w:val="0"/>
          <w:sz w:val="24"/>
          <w:szCs w:val="24"/>
          <w14:ligatures w14:val="none"/>
        </w:rPr>
      </w:pPr>
      <w:r w:rsidRPr="006D59BB">
        <w:rPr>
          <w:rFonts w:ascii="Times New Roman" w:eastAsia="Aptos" w:hAnsi="Times New Roman" w:cs="Times New Roman"/>
          <w:kern w:val="0"/>
          <w:sz w:val="24"/>
          <w:szCs w:val="24"/>
          <w14:ligatures w14:val="none"/>
        </w:rPr>
        <w:t>posiadać odpowiednie kwalifikacje rzemieślnicze, potwierdzone dowodami kwalifikacji zawodowych w rzemiośle wymienionymi w art. 3 ust. 1 ustawy o rzemiośle, stosownie do formy prowadzonej działalności gospodarczej oraz stosunków między wspólnikami.</w:t>
      </w:r>
    </w:p>
    <w:p w14:paraId="0BE51870" w14:textId="7104EC30" w:rsidR="00D86F0D" w:rsidRPr="006D59BB" w:rsidRDefault="00D86F0D" w:rsidP="006D59BB">
      <w:pPr>
        <w:spacing w:before="120" w:after="0" w:line="360" w:lineRule="auto"/>
        <w:jc w:val="both"/>
        <w:rPr>
          <w:rFonts w:ascii="Times New Roman" w:eastAsia="Aptos" w:hAnsi="Times New Roman" w:cs="Times New Roman"/>
          <w:kern w:val="0"/>
          <w:sz w:val="24"/>
          <w:szCs w:val="24"/>
          <w14:ligatures w14:val="none"/>
        </w:rPr>
      </w:pPr>
      <w:r w:rsidRPr="006D59BB">
        <w:rPr>
          <w:rFonts w:ascii="Times New Roman" w:eastAsia="Aptos" w:hAnsi="Times New Roman" w:cs="Times New Roman"/>
          <w:kern w:val="0"/>
          <w:sz w:val="24"/>
          <w:szCs w:val="24"/>
          <w14:ligatures w14:val="none"/>
        </w:rPr>
        <w:t>Zgodnie z art. 3 ust. 1 dowodami kwalifikacji zawodowych w rzemiośle są: a) dyplom lub świadectwo ukończenia wyższej, ponadgimnazjalnej lub ponadpodstawowej szkoły o profilu technicznym bądź artystycznym w zawodzie (kierunku) odpowiadającym dziedzinie wykonywanego rzemiosła, b) dyplom mistrza w zawodzie odpowiadającym danemu rodzajowi rzemiosła, c) świadectwo czeladnicze albo tytuł robotnika wykwalifikowanego w zawodzie odpowiadającym danemu rodzajowi rzemiosła, d) zaświadczenie potwierdzające posiadanie wybranych kwalifikacji zawodowych w zakresie zawodu odpowiadającego danemu rodzajowi rzemiosła;</w:t>
      </w:r>
    </w:p>
    <w:p w14:paraId="6EE743AC" w14:textId="77777777" w:rsidR="00D86F0D" w:rsidRPr="006D59BB" w:rsidRDefault="00D86F0D" w:rsidP="006D59BB">
      <w:pPr>
        <w:spacing w:before="120" w:after="0" w:line="360" w:lineRule="auto"/>
        <w:jc w:val="both"/>
        <w:rPr>
          <w:rFonts w:ascii="Times New Roman" w:eastAsia="Aptos" w:hAnsi="Times New Roman" w:cs="Times New Roman"/>
          <w:kern w:val="0"/>
          <w:sz w:val="24"/>
          <w:szCs w:val="24"/>
          <w14:ligatures w14:val="none"/>
        </w:rPr>
      </w:pPr>
      <w:r w:rsidRPr="006D59BB">
        <w:rPr>
          <w:rFonts w:ascii="Times New Roman" w:eastAsia="Aptos" w:hAnsi="Times New Roman" w:cs="Times New Roman"/>
          <w:kern w:val="0"/>
          <w:sz w:val="24"/>
          <w:szCs w:val="24"/>
          <w14:ligatures w14:val="none"/>
        </w:rPr>
        <w:t xml:space="preserve">W przypadku osoby fizycznej prowadzącej działalność gospodarczą oraz jednoosobowej spółki kapitałowej powstałej w wyniku przekształcenia przedsiębiorcy będącego osobą fizyczną </w:t>
      </w:r>
      <w:r w:rsidRPr="006D59BB">
        <w:rPr>
          <w:rFonts w:ascii="Times New Roman" w:eastAsia="Aptos" w:hAnsi="Times New Roman" w:cs="Times New Roman"/>
          <w:kern w:val="0"/>
          <w:sz w:val="24"/>
          <w:szCs w:val="24"/>
          <w14:ligatures w14:val="none"/>
        </w:rPr>
        <w:lastRenderedPageBreak/>
        <w:t>wykonującego we własnym imieniu działalność gospodarczą uznawane są dowolne kwalifikacje rzemieślnicze wymienione w art. 3 ust. 1 ustawy o rzemiośle, wykorzystywane w działalności gospodarczej.</w:t>
      </w:r>
    </w:p>
    <w:p w14:paraId="391C0629" w14:textId="77777777" w:rsidR="00D86F0D" w:rsidRPr="006D59BB" w:rsidRDefault="00D86F0D" w:rsidP="006D59BB">
      <w:pPr>
        <w:spacing w:before="120" w:after="0" w:line="360" w:lineRule="auto"/>
        <w:jc w:val="both"/>
        <w:rPr>
          <w:rFonts w:ascii="Times New Roman" w:eastAsia="Aptos" w:hAnsi="Times New Roman" w:cs="Times New Roman"/>
          <w:kern w:val="0"/>
          <w:sz w:val="24"/>
          <w:szCs w:val="24"/>
          <w14:ligatures w14:val="none"/>
        </w:rPr>
      </w:pPr>
      <w:r w:rsidRPr="006D59BB">
        <w:rPr>
          <w:rFonts w:ascii="Times New Roman" w:eastAsia="Aptos" w:hAnsi="Times New Roman" w:cs="Times New Roman"/>
          <w:kern w:val="0"/>
          <w:sz w:val="24"/>
          <w:szCs w:val="24"/>
          <w14:ligatures w14:val="none"/>
        </w:rPr>
        <w:t>W przypadku spółki cywilnej osób fizycznych w zakresie wykonywanej przez nich wspólnie działalności gospodarczej co do zasady konieczne jest, aby każdy ze wspólników posiadał i wykorzystywał dowolne kwalifikacje rzemieślnicze, potwierdzone dowodami kwalifikacji zawodowych w rzemiośle wymienionymi w art. 3 ust. 1 ustawy o rzemiośle. Wymóg dotyczący posiadania i wykorzystywania przez każdego ze wspólników kwalifikacji zawodowych w rzemiośle nie obowiązuje w odniesieniu do wspólników spółki cywilnej osób fizycznych, w której przynajmniej jeden wspólnik posiada i wykorzystuje kwalifikacje zawodowe w rzemiośle, pod warunkiem że pozostałymi wspólnikami takiej spółki są małżonek, wstępni lub zstępni wspólnika.</w:t>
      </w:r>
    </w:p>
    <w:p w14:paraId="0325234C" w14:textId="77777777" w:rsidR="00D86F0D" w:rsidRPr="006D59BB" w:rsidRDefault="00D86F0D" w:rsidP="006D59BB">
      <w:pPr>
        <w:spacing w:before="120" w:after="0" w:line="360" w:lineRule="auto"/>
        <w:jc w:val="both"/>
        <w:rPr>
          <w:rFonts w:ascii="Times New Roman" w:eastAsia="Aptos" w:hAnsi="Times New Roman" w:cs="Times New Roman"/>
          <w:kern w:val="0"/>
          <w:sz w:val="24"/>
          <w:szCs w:val="24"/>
          <w14:ligatures w14:val="none"/>
        </w:rPr>
      </w:pPr>
      <w:r w:rsidRPr="006D59BB">
        <w:rPr>
          <w:rFonts w:ascii="Times New Roman" w:eastAsia="Aptos" w:hAnsi="Times New Roman" w:cs="Times New Roman"/>
          <w:kern w:val="0"/>
          <w:sz w:val="24"/>
          <w:szCs w:val="24"/>
          <w14:ligatures w14:val="none"/>
        </w:rPr>
        <w:t>W przypadku spółek: jawnej, komandytowej osób fizycznych oraz spółki komandytowo-akcyjnej co do zasady wymagane jest, aby każdy wspólnik posiadał i wykorzystywał wyłącznie kwalifikacje rzemieślnicze, potwierdzone dowodami kwalifikacji zawodowych w rzemiośle wymienione w art. 3 ust. 1 pkt 2 ustawy (tj. dyplom mistrza w zawodzie odpowiadającym danemu rodzajowi rzemiosła) lub w art. 3 ust. 1 pkt 3 ustawy (świadectwo czeladnicze albo tytuł robotnika wykwalifikowanego w zawodzie odpowiadającym danemu rodzaju rzemiosła). Wymóg dotyczący posiadania i wykorzystywania przez każdego ze wspólników wyżej wymienionych spółek kwalifikacji zawodowych w rzemiośle nie obowiązuje w odniesieniu do tych podmiotów, w których przynajmniej jeden wspólnik posiada i wykorzystuje wyżej wymienione kwalifikacje zawodowe, pod warunkiem, że pozostałymi wspólnikami takiej spółki są małżonek, wstępni lub zstępni wspólnika.</w:t>
      </w:r>
    </w:p>
    <w:p w14:paraId="42C7CA44" w14:textId="77777777" w:rsidR="00D86F0D" w:rsidRPr="006D59BB" w:rsidRDefault="00D86F0D" w:rsidP="006D59BB">
      <w:pPr>
        <w:spacing w:before="120" w:after="0" w:line="360" w:lineRule="auto"/>
        <w:jc w:val="both"/>
        <w:rPr>
          <w:rFonts w:ascii="Times New Roman" w:eastAsia="Aptos" w:hAnsi="Times New Roman" w:cs="Times New Roman"/>
          <w:kern w:val="0"/>
          <w:sz w:val="24"/>
          <w:szCs w:val="24"/>
          <w14:ligatures w14:val="none"/>
        </w:rPr>
      </w:pPr>
      <w:r w:rsidRPr="006D59BB">
        <w:rPr>
          <w:rFonts w:ascii="Times New Roman" w:eastAsia="Aptos" w:hAnsi="Times New Roman" w:cs="Times New Roman"/>
          <w:kern w:val="0"/>
          <w:sz w:val="24"/>
          <w:szCs w:val="24"/>
          <w14:ligatures w14:val="none"/>
        </w:rPr>
        <w:t>Reasumując, zgodnie z obowiązującymi regulacjami rzemieślnikiem jest ten przedsiębiorca, który spełnia wszystkie wyżej wymienione wymogi.</w:t>
      </w:r>
    </w:p>
    <w:p w14:paraId="05A75A44" w14:textId="77777777" w:rsidR="00D86F0D" w:rsidRPr="006D59BB" w:rsidRDefault="00D86F0D" w:rsidP="006D59BB">
      <w:pPr>
        <w:spacing w:before="120" w:after="0" w:line="360" w:lineRule="auto"/>
        <w:jc w:val="both"/>
        <w:rPr>
          <w:rFonts w:ascii="Times New Roman" w:eastAsia="Aptos" w:hAnsi="Times New Roman" w:cs="Times New Roman"/>
          <w:kern w:val="0"/>
          <w:sz w:val="24"/>
          <w:szCs w:val="24"/>
          <w14:ligatures w14:val="none"/>
        </w:rPr>
      </w:pPr>
      <w:r w:rsidRPr="006D59BB">
        <w:rPr>
          <w:rFonts w:ascii="Times New Roman" w:eastAsia="Aptos" w:hAnsi="Times New Roman" w:cs="Times New Roman"/>
          <w:kern w:val="0"/>
          <w:sz w:val="24"/>
          <w:szCs w:val="24"/>
          <w14:ligatures w14:val="none"/>
        </w:rPr>
        <w:t>Praktyka stosowania przepisów ustawy o rzemiośle pokazała, że przewidziane w niej rozwiązania w zakresie definicji rzemiosła i rzemieślnika są niewystarczające.</w:t>
      </w:r>
    </w:p>
    <w:p w14:paraId="003E98BB" w14:textId="77777777" w:rsidR="00D86F0D" w:rsidRPr="006D59BB" w:rsidRDefault="00D86F0D" w:rsidP="006D59BB">
      <w:pPr>
        <w:spacing w:before="120" w:after="0" w:line="360" w:lineRule="auto"/>
        <w:jc w:val="both"/>
        <w:rPr>
          <w:rFonts w:ascii="Times New Roman" w:eastAsia="Aptos" w:hAnsi="Times New Roman" w:cs="Times New Roman"/>
          <w:kern w:val="0"/>
          <w:sz w:val="24"/>
          <w:szCs w:val="24"/>
          <w14:ligatures w14:val="none"/>
        </w:rPr>
      </w:pPr>
      <w:r w:rsidRPr="006D59BB">
        <w:rPr>
          <w:rFonts w:ascii="Times New Roman" w:eastAsia="Aptos" w:hAnsi="Times New Roman" w:cs="Times New Roman"/>
          <w:kern w:val="0"/>
          <w:sz w:val="24"/>
          <w:szCs w:val="24"/>
          <w14:ligatures w14:val="none"/>
        </w:rPr>
        <w:t xml:space="preserve">Środowisko rzemiosła wskazuje między innymi, że konieczna jest dalsza nowelizacja przepisów w zakresie definicji rzemiosła i rzemieślnika, polegająca na zastosowaniu bardziej uniwersalnych kryteriów zaliczania określonych podmiotów do rzemiosła. Problem ten dotyczy przede wszystkim spółek z ograniczoną odpowiedzialnością jako coraz powszechniejszej formy prowadzenia działalności gospodarczej. Ustawowe ograniczenie w zakresie możliwości </w:t>
      </w:r>
      <w:r w:rsidRPr="006D59BB">
        <w:rPr>
          <w:rFonts w:ascii="Times New Roman" w:eastAsia="Aptos" w:hAnsi="Times New Roman" w:cs="Times New Roman"/>
          <w:kern w:val="0"/>
          <w:sz w:val="24"/>
          <w:szCs w:val="24"/>
          <w14:ligatures w14:val="none"/>
        </w:rPr>
        <w:lastRenderedPageBreak/>
        <w:t xml:space="preserve">zaliczenia do rzemiosła jedynie wskazanych w ustawie o rzemiośle spółek prawa handlowego − zdaniem środowiska rzemieślniczego − nie znajduje uzasadnienia. W opinii środowiska rzemiosła − zgodnie z zasadą wolności gospodarczej zawartą w art. 22 Konstytucji oraz wyrażoną w ustawie z dnia 6 marca 2018 r. – Prawo przedsiębiorców – rzemieślnicy powinni mieć prawo do prowadzenia działalności w dogodnej dla nich formie prawnej, zaś ich wyróżnikiem powinny być wyłącznie kwalifikacje zawodowe, potwierdzone dowodami kwalifikacji zawodowych w rzemiośle. </w:t>
      </w:r>
    </w:p>
    <w:p w14:paraId="7C75EFFB" w14:textId="7394DB88" w:rsidR="00D86F0D" w:rsidRPr="006D59BB" w:rsidRDefault="00D86F0D" w:rsidP="006D59BB">
      <w:pPr>
        <w:spacing w:before="120" w:after="0" w:line="360" w:lineRule="auto"/>
        <w:jc w:val="both"/>
        <w:rPr>
          <w:rFonts w:ascii="Times New Roman" w:eastAsia="Aptos" w:hAnsi="Times New Roman" w:cs="Times New Roman"/>
          <w:kern w:val="0"/>
          <w:sz w:val="24"/>
          <w:szCs w:val="24"/>
          <w14:ligatures w14:val="none"/>
        </w:rPr>
      </w:pPr>
      <w:r w:rsidRPr="006D59BB">
        <w:rPr>
          <w:rFonts w:ascii="Times New Roman" w:eastAsia="Aptos" w:hAnsi="Times New Roman" w:cs="Times New Roman"/>
          <w:kern w:val="0"/>
          <w:sz w:val="24"/>
          <w:szCs w:val="24"/>
          <w14:ligatures w14:val="none"/>
        </w:rPr>
        <w:t>Proponowana obecnie nowelizacja obejmuje zmianę definicji rzemiosła i rzemieślnika przez rozszerzenie katalogu prawnie dopuszczalnej formy prowadzenia działalności gospodarczej w zakresie rzemiosła. Nowa definicja rzemieślnika obejmie dodatkowo spółki kapitałowe (inne niż jednoosobowe spółki kapitałowe powstałe w wyniku przekształcenia przedsiębiorcy będącego osobą fizyczną wykonującego we własnym imieniu działalność gospodarczą z wykorzystaniem zawodowych kwalifikacji i pracy własnej). W odniesieniu do spółki</w:t>
      </w:r>
      <w:r w:rsidR="00573836" w:rsidRPr="006D59BB">
        <w:rPr>
          <w:rFonts w:ascii="Times New Roman" w:eastAsia="Aptos" w:hAnsi="Times New Roman" w:cs="Times New Roman"/>
          <w:kern w:val="0"/>
          <w:sz w:val="24"/>
          <w:szCs w:val="24"/>
          <w14:ligatures w14:val="none"/>
        </w:rPr>
        <w:t xml:space="preserve"> cywilnej,</w:t>
      </w:r>
      <w:r w:rsidRPr="006D59BB">
        <w:rPr>
          <w:rFonts w:ascii="Times New Roman" w:eastAsia="Aptos" w:hAnsi="Times New Roman" w:cs="Times New Roman"/>
          <w:kern w:val="0"/>
          <w:sz w:val="24"/>
          <w:szCs w:val="24"/>
          <w14:ligatures w14:val="none"/>
        </w:rPr>
        <w:t xml:space="preserve"> komandytowej i komandytowo-akcyjnej proponuje się odejście od wymogu, aby wspólnikami takiej spółki mogły być wyłącznie osoby fizyczne. </w:t>
      </w:r>
    </w:p>
    <w:p w14:paraId="53847D46" w14:textId="77777777" w:rsidR="00D86F0D" w:rsidRPr="006D59BB" w:rsidRDefault="00D86F0D" w:rsidP="006D59BB">
      <w:pPr>
        <w:spacing w:before="120" w:after="0" w:line="360" w:lineRule="auto"/>
        <w:jc w:val="both"/>
        <w:rPr>
          <w:rFonts w:ascii="Times New Roman" w:eastAsia="Aptos" w:hAnsi="Times New Roman" w:cs="Times New Roman"/>
          <w:kern w:val="0"/>
          <w:sz w:val="24"/>
          <w:szCs w:val="24"/>
          <w14:ligatures w14:val="none"/>
        </w:rPr>
      </w:pPr>
      <w:r w:rsidRPr="006D59BB">
        <w:rPr>
          <w:rFonts w:ascii="Times New Roman" w:eastAsia="Aptos" w:hAnsi="Times New Roman" w:cs="Times New Roman"/>
          <w:kern w:val="0"/>
          <w:sz w:val="24"/>
          <w:szCs w:val="24"/>
          <w14:ligatures w14:val="none"/>
        </w:rPr>
        <w:t>Takie rozszerzenie definicji rzemiosła i rzemieślnika umożliwi przedsiębiorcom rzemieślnikom szeroki wybór prawnie dopuszczalnej formy prowadzenia działalności gospodarczej.</w:t>
      </w:r>
    </w:p>
    <w:p w14:paraId="1CC6CFDB" w14:textId="77777777" w:rsidR="00D86F0D" w:rsidRPr="006D59BB" w:rsidRDefault="00D86F0D" w:rsidP="006D59BB">
      <w:pPr>
        <w:spacing w:before="120" w:after="0" w:line="360" w:lineRule="auto"/>
        <w:jc w:val="both"/>
        <w:rPr>
          <w:rFonts w:ascii="Times New Roman" w:eastAsia="Aptos" w:hAnsi="Times New Roman" w:cs="Times New Roman"/>
          <w:kern w:val="0"/>
          <w:sz w:val="24"/>
          <w:szCs w:val="24"/>
          <w14:ligatures w14:val="none"/>
        </w:rPr>
      </w:pPr>
      <w:r w:rsidRPr="006D59BB">
        <w:rPr>
          <w:rFonts w:ascii="Times New Roman" w:eastAsia="Aptos" w:hAnsi="Times New Roman" w:cs="Times New Roman"/>
          <w:kern w:val="0"/>
          <w:sz w:val="24"/>
          <w:szCs w:val="24"/>
          <w14:ligatures w14:val="none"/>
        </w:rPr>
        <w:t>Kolejną zmianą oczekiwaną przez środowisko rzemieślnicze jest odejście od wymogu, aby co do zasady wszyscy wspólnicy spółek musieli posiadać i wykorzystywać w ramach wspólnie prowadzonej działalności gospodarczej kwalifikacje zawodowe w rzemiośle, a do tego wyłącznie potwierdzone dowodami kwalifikacji zawodowych w rzemiośle w postaci dyplomu mistrza, świadectwa czeladniczego lub robotnika wykwalifikowanego w zawodzie odpowiadającym danemu rodzajowi rzemiosła.</w:t>
      </w:r>
    </w:p>
    <w:p w14:paraId="1220CDD7" w14:textId="7191B33B" w:rsidR="00D86F0D" w:rsidRPr="006D59BB" w:rsidRDefault="00D86F0D" w:rsidP="006D59BB">
      <w:pPr>
        <w:spacing w:before="120" w:after="0" w:line="360" w:lineRule="auto"/>
        <w:jc w:val="both"/>
        <w:rPr>
          <w:rFonts w:ascii="Times New Roman" w:eastAsia="Aptos" w:hAnsi="Times New Roman" w:cs="Times New Roman"/>
          <w:kern w:val="0"/>
          <w:sz w:val="24"/>
          <w:szCs w:val="24"/>
          <w14:ligatures w14:val="none"/>
        </w:rPr>
      </w:pPr>
      <w:r w:rsidRPr="006D59BB">
        <w:rPr>
          <w:rFonts w:ascii="Times New Roman" w:eastAsia="Aptos" w:hAnsi="Times New Roman" w:cs="Times New Roman"/>
          <w:kern w:val="0"/>
          <w:sz w:val="24"/>
          <w:szCs w:val="24"/>
          <w14:ligatures w14:val="none"/>
        </w:rPr>
        <w:t>Wychodząc naprzeciw temu oczekiwaniu</w:t>
      </w:r>
      <w:r w:rsidR="00DE75DD">
        <w:rPr>
          <w:rFonts w:ascii="Times New Roman" w:eastAsia="Aptos" w:hAnsi="Times New Roman" w:cs="Times New Roman"/>
          <w:kern w:val="0"/>
          <w:sz w:val="24"/>
          <w:szCs w:val="24"/>
          <w14:ligatures w14:val="none"/>
        </w:rPr>
        <w:t>,</w:t>
      </w:r>
      <w:r w:rsidRPr="006D59BB">
        <w:rPr>
          <w:rFonts w:ascii="Times New Roman" w:eastAsia="Aptos" w:hAnsi="Times New Roman" w:cs="Times New Roman"/>
          <w:kern w:val="0"/>
          <w:sz w:val="24"/>
          <w:szCs w:val="24"/>
          <w14:ligatures w14:val="none"/>
        </w:rPr>
        <w:t xml:space="preserve"> proponuje się zastąpienie ww. wymogu wymogiem wykorzystywania we wspólnie prowadzonej działalności gospodarczej spółki (osobowej czy kapitałowej, z wyłączeniem spółki partnerskiej) kwalifikacji zawodowych w rzemiośle potwierdzonych którymikolwiek dowodami kwalifikacji zawodowych w rzemiośle, o których mowa w art. 3 ust. 1 nowelizowanej ustawy, co najmniej jednego wspólnika będącego osobą fizyczną oraz jego pracy własnej. Ww. wymóg uznaje się za spełniony także w sytuacji, gdy w ramach działalności gospodarczej prowadzonej przed przedsiębiorcę, którego jednym ze wspólników jest spółka, jest wykorzystywana praca własna oraz kwalifikacje zawodowe w rzemiośle potwierdzone dowodami kwalifikacji zawodowych w rzemiośle, co najmniej jednej osoby fizycznej będącej wspólnikiem tej spółki.</w:t>
      </w:r>
    </w:p>
    <w:p w14:paraId="0F857D50" w14:textId="55190D96" w:rsidR="00D86F0D" w:rsidRPr="006D59BB" w:rsidRDefault="00D86F0D" w:rsidP="006D59BB">
      <w:pPr>
        <w:spacing w:before="120" w:after="0" w:line="360" w:lineRule="auto"/>
        <w:jc w:val="both"/>
        <w:rPr>
          <w:rFonts w:ascii="Times New Roman" w:eastAsia="Aptos" w:hAnsi="Times New Roman" w:cs="Times New Roman"/>
          <w:kern w:val="0"/>
          <w:sz w:val="24"/>
          <w:szCs w:val="24"/>
          <w14:ligatures w14:val="none"/>
        </w:rPr>
      </w:pPr>
      <w:r w:rsidRPr="006D59BB">
        <w:rPr>
          <w:rFonts w:ascii="Times New Roman" w:eastAsia="Aptos" w:hAnsi="Times New Roman" w:cs="Times New Roman"/>
          <w:kern w:val="0"/>
          <w:sz w:val="24"/>
          <w:szCs w:val="24"/>
          <w14:ligatures w14:val="none"/>
        </w:rPr>
        <w:lastRenderedPageBreak/>
        <w:t>Projektodawca nie znajduje również uzasadnienia, aby przedsiębiorca prowadzący zawodową działalność gospodarczą w rzemiośle w formie spółki akcyjnej nie posiadał możliwości, tak jak pozostałe spółki, uzyskania statusu rzemieślnika.</w:t>
      </w:r>
      <w:r w:rsidRPr="006D59BB">
        <w:rPr>
          <w:rFonts w:ascii="Times New Roman" w:hAnsi="Times New Roman" w:cs="Times New Roman"/>
          <w:bCs/>
          <w:sz w:val="24"/>
          <w:szCs w:val="24"/>
        </w:rPr>
        <w:t xml:space="preserve"> Z samej definicji rzemieślnika wynika bowiem, że spółka kapitałowa będzie posiadała status rzemieślnika, o ile działalność gospodarcza tej spółki będzie prowadzona z wykorzystaniem kwalifikacji zawodowych w rzemiośle co najmniej jednego wspólnika potwierdzonych dowodami kwalifikacji zawodowych w rzemiośle i jego pracy własnej – jeżeli jest ona </w:t>
      </w:r>
      <w:proofErr w:type="spellStart"/>
      <w:r w:rsidRPr="006D59BB">
        <w:rPr>
          <w:rFonts w:ascii="Times New Roman" w:hAnsi="Times New Roman" w:cs="Times New Roman"/>
          <w:bCs/>
          <w:sz w:val="24"/>
          <w:szCs w:val="24"/>
        </w:rPr>
        <w:t>mikroprzedsiębiorcą</w:t>
      </w:r>
      <w:proofErr w:type="spellEnd"/>
      <w:r w:rsidRPr="006D59BB">
        <w:rPr>
          <w:rFonts w:ascii="Times New Roman" w:hAnsi="Times New Roman" w:cs="Times New Roman"/>
          <w:bCs/>
          <w:sz w:val="24"/>
          <w:szCs w:val="24"/>
        </w:rPr>
        <w:t>, małym przedsiębiorcą albo średnim przedsiębiorcą w rozumieniu ustawy z dnia 6</w:t>
      </w:r>
      <w:r w:rsidR="00E6226B" w:rsidRPr="006D59BB">
        <w:rPr>
          <w:rFonts w:ascii="Times New Roman" w:hAnsi="Times New Roman" w:cs="Times New Roman"/>
          <w:bCs/>
          <w:sz w:val="24"/>
          <w:szCs w:val="24"/>
        </w:rPr>
        <w:t> </w:t>
      </w:r>
      <w:r w:rsidRPr="006D59BB">
        <w:rPr>
          <w:rFonts w:ascii="Times New Roman" w:hAnsi="Times New Roman" w:cs="Times New Roman"/>
          <w:bCs/>
          <w:sz w:val="24"/>
          <w:szCs w:val="24"/>
        </w:rPr>
        <w:t>marca 2018 r. – Prawo przedsiębiorców</w:t>
      </w:r>
      <w:r w:rsidRPr="006D59BB">
        <w:rPr>
          <w:rFonts w:ascii="Times New Roman" w:eastAsia="Aptos" w:hAnsi="Times New Roman" w:cs="Times New Roman"/>
          <w:kern w:val="0"/>
          <w:sz w:val="24"/>
          <w:szCs w:val="24"/>
          <w14:ligatures w14:val="none"/>
        </w:rPr>
        <w:t xml:space="preserve">. </w:t>
      </w:r>
      <w:r w:rsidRPr="006D59BB">
        <w:rPr>
          <w:rFonts w:ascii="Times New Roman" w:hAnsi="Times New Roman" w:cs="Times New Roman"/>
          <w:bCs/>
          <w:sz w:val="24"/>
          <w:szCs w:val="24"/>
        </w:rPr>
        <w:t>Nie będzie więc to wspólnik powiązany jedynie kapitałowo ze spółką.</w:t>
      </w:r>
    </w:p>
    <w:p w14:paraId="0F250F20" w14:textId="77777777" w:rsidR="00D86F0D" w:rsidRPr="006D59BB" w:rsidRDefault="00D86F0D" w:rsidP="006D59BB">
      <w:pPr>
        <w:spacing w:before="120" w:after="0" w:line="360" w:lineRule="auto"/>
        <w:jc w:val="both"/>
        <w:rPr>
          <w:rFonts w:ascii="Times New Roman" w:eastAsia="Aptos" w:hAnsi="Times New Roman" w:cs="Times New Roman"/>
          <w:kern w:val="0"/>
          <w:sz w:val="24"/>
          <w:szCs w:val="24"/>
          <w14:ligatures w14:val="none"/>
        </w:rPr>
      </w:pPr>
      <w:r w:rsidRPr="006D59BB">
        <w:rPr>
          <w:rFonts w:ascii="Times New Roman" w:eastAsia="Aptos" w:hAnsi="Times New Roman" w:cs="Times New Roman"/>
          <w:kern w:val="0"/>
          <w:sz w:val="24"/>
          <w:szCs w:val="24"/>
          <w14:ligatures w14:val="none"/>
        </w:rPr>
        <w:t>Ponadto proponuje się zniesienie ograniczenia zawartego w art. 2 ust. 1 nowelizowanej ustawy, różnicującego wymogi dotyczące posiadania i wykorzystywania odpowiednich kwalifikacji rzemieślniczych w zależności od formy prowadzonej działalności gospodarczej oraz stosunków między wspólnikami. W ramach nowelizacji proponuje się, aby bez względu na formę prowadzonej działalności oraz niezależnie od stosunków między wspólnikami rzemiosło mogło być wykonywane przez przedsiębiorcę legitymującego się dowolnym dowodem kwalifikacji zawodowych w rzemiośle, wymienionym w art. 3 ust. 1 nowelizowanej ustawy.</w:t>
      </w:r>
    </w:p>
    <w:p w14:paraId="1BC206C9" w14:textId="77777777" w:rsidR="00D86F0D" w:rsidRPr="006D59BB" w:rsidRDefault="00D86F0D" w:rsidP="006D59BB">
      <w:pPr>
        <w:spacing w:before="120" w:after="0" w:line="360" w:lineRule="auto"/>
        <w:jc w:val="both"/>
        <w:rPr>
          <w:rFonts w:ascii="Times New Roman" w:eastAsia="Aptos" w:hAnsi="Times New Roman" w:cs="Times New Roman"/>
          <w:kern w:val="0"/>
          <w:sz w:val="24"/>
          <w:szCs w:val="24"/>
          <w14:ligatures w14:val="none"/>
        </w:rPr>
      </w:pPr>
      <w:r w:rsidRPr="006D59BB">
        <w:rPr>
          <w:rFonts w:ascii="Times New Roman" w:eastAsia="Aptos" w:hAnsi="Times New Roman" w:cs="Times New Roman"/>
          <w:kern w:val="0"/>
          <w:sz w:val="24"/>
          <w:szCs w:val="24"/>
          <w14:ligatures w14:val="none"/>
        </w:rPr>
        <w:t>Ustawodawca nie znajduje bowiem uzasadnienia dla dalszego utrzymywania ograniczenia, zgodnie z którym w przypadku spółek handlowych rzemieślnikiem może być wyłącznie osoba, która legitymuje się dowodami kwalifikacji rzemieślniczych, wydanymi przez izby rzemieślnicze przeprowadzające egzaminy czeladnicze i egzaminy mistrzowskie.</w:t>
      </w:r>
    </w:p>
    <w:p w14:paraId="7D8AFD6B" w14:textId="33ADDD3F" w:rsidR="00D86F0D" w:rsidRPr="006D59BB" w:rsidRDefault="00D86F0D" w:rsidP="006D59BB">
      <w:pPr>
        <w:spacing w:before="120" w:after="0" w:line="360" w:lineRule="auto"/>
        <w:jc w:val="both"/>
        <w:rPr>
          <w:rFonts w:ascii="Times New Roman" w:eastAsia="Aptos" w:hAnsi="Times New Roman" w:cs="Times New Roman"/>
          <w:kern w:val="0"/>
          <w:sz w:val="24"/>
          <w:szCs w:val="24"/>
          <w14:ligatures w14:val="none"/>
        </w:rPr>
      </w:pPr>
      <w:r w:rsidRPr="006D59BB">
        <w:rPr>
          <w:rFonts w:ascii="Times New Roman" w:eastAsia="Aptos" w:hAnsi="Times New Roman" w:cs="Times New Roman"/>
          <w:kern w:val="0"/>
          <w:sz w:val="24"/>
          <w:szCs w:val="24"/>
          <w14:ligatures w14:val="none"/>
        </w:rPr>
        <w:t>Zgodnie z obowiązującymi regulacjami przedsiębiorca spełniający wszystkie wymogi określone w art. 2 ust. 1, 4 i 6 oraz art. 3 ust. 1 nowelizowanej ustawy, z mocy ustawy był rzemieślnikiem.</w:t>
      </w:r>
    </w:p>
    <w:p w14:paraId="5828FF1C" w14:textId="02ED43D6" w:rsidR="00D86F0D" w:rsidRPr="006D59BB" w:rsidRDefault="00D86F0D" w:rsidP="006D59BB">
      <w:pPr>
        <w:spacing w:before="120" w:after="0" w:line="360" w:lineRule="auto"/>
        <w:jc w:val="both"/>
        <w:rPr>
          <w:rFonts w:ascii="Times New Roman" w:eastAsia="Aptos" w:hAnsi="Times New Roman" w:cs="Times New Roman"/>
          <w:kern w:val="0"/>
          <w:sz w:val="24"/>
          <w:szCs w:val="24"/>
          <w14:ligatures w14:val="none"/>
        </w:rPr>
      </w:pPr>
      <w:r w:rsidRPr="006D59BB">
        <w:rPr>
          <w:rFonts w:ascii="Times New Roman" w:eastAsia="Aptos" w:hAnsi="Times New Roman" w:cs="Times New Roman"/>
          <w:kern w:val="0"/>
          <w:sz w:val="24"/>
          <w:szCs w:val="24"/>
          <w14:ligatures w14:val="none"/>
        </w:rPr>
        <w:t>Przedsiębiorcy, którzy na mocy obowiązujących przed niniejszą nowelizacją przepisów są rzemieślnikami</w:t>
      </w:r>
      <w:r w:rsidR="00DE75DD">
        <w:rPr>
          <w:rFonts w:ascii="Times New Roman" w:eastAsia="Aptos" w:hAnsi="Times New Roman" w:cs="Times New Roman"/>
          <w:kern w:val="0"/>
          <w:sz w:val="24"/>
          <w:szCs w:val="24"/>
          <w14:ligatures w14:val="none"/>
        </w:rPr>
        <w:t>,</w:t>
      </w:r>
      <w:r w:rsidRPr="006D59BB">
        <w:rPr>
          <w:rFonts w:ascii="Times New Roman" w:eastAsia="Aptos" w:hAnsi="Times New Roman" w:cs="Times New Roman"/>
          <w:kern w:val="0"/>
          <w:sz w:val="24"/>
          <w:szCs w:val="24"/>
          <w14:ligatures w14:val="none"/>
        </w:rPr>
        <w:t xml:space="preserve"> utrzymają ten status po wejściu w życie znowelizowanych przepisów. </w:t>
      </w:r>
    </w:p>
    <w:p w14:paraId="37CFBE26" w14:textId="77777777" w:rsidR="00D86F0D" w:rsidRPr="006D59BB" w:rsidRDefault="00D86F0D" w:rsidP="006D59BB">
      <w:pPr>
        <w:spacing w:before="120" w:after="0" w:line="360" w:lineRule="auto"/>
        <w:jc w:val="both"/>
        <w:rPr>
          <w:rFonts w:ascii="Times New Roman" w:eastAsia="Aptos" w:hAnsi="Times New Roman" w:cs="Times New Roman"/>
          <w:kern w:val="0"/>
          <w:sz w:val="24"/>
          <w:szCs w:val="24"/>
          <w14:ligatures w14:val="none"/>
        </w:rPr>
      </w:pPr>
      <w:r w:rsidRPr="006D59BB">
        <w:rPr>
          <w:rFonts w:ascii="Times New Roman" w:eastAsia="Aptos" w:hAnsi="Times New Roman" w:cs="Times New Roman"/>
          <w:kern w:val="0"/>
          <w:sz w:val="24"/>
          <w:szCs w:val="24"/>
          <w14:ligatures w14:val="none"/>
        </w:rPr>
        <w:t xml:space="preserve">Bezwarunkowy status rzemieślnika otrzymają także </w:t>
      </w:r>
      <w:r w:rsidRPr="006D59BB">
        <w:rPr>
          <w:rFonts w:ascii="Times New Roman" w:eastAsia="Times New Roman" w:hAnsi="Times New Roman" w:cs="Times New Roman"/>
          <w:kern w:val="0"/>
          <w:sz w:val="24"/>
          <w:szCs w:val="24"/>
          <w14:ligatures w14:val="none"/>
        </w:rPr>
        <w:t>przedsiębiorcy, których działalność zostanie zarejestrowana po wejściu w życie nowelizacji ustawy o rzemiośle, których działalność wypełniałaby definicję rzemiosła w rozumieniu ustawy o rzemiośle w dotychczasowym brzmieniu.</w:t>
      </w:r>
    </w:p>
    <w:p w14:paraId="37BE7DA4" w14:textId="4ADB9081" w:rsidR="00D86F0D" w:rsidRPr="006D59BB" w:rsidRDefault="00D86F0D" w:rsidP="006D59BB">
      <w:pPr>
        <w:spacing w:before="120" w:after="0" w:line="360" w:lineRule="auto"/>
        <w:jc w:val="both"/>
        <w:rPr>
          <w:rFonts w:ascii="Times New Roman" w:eastAsia="Aptos" w:hAnsi="Times New Roman" w:cs="Times New Roman"/>
          <w:kern w:val="0"/>
          <w:sz w:val="24"/>
          <w:szCs w:val="24"/>
          <w14:ligatures w14:val="none"/>
        </w:rPr>
      </w:pPr>
      <w:r w:rsidRPr="006D59BB">
        <w:rPr>
          <w:rFonts w:ascii="Times New Roman" w:eastAsia="Aptos" w:hAnsi="Times New Roman" w:cs="Times New Roman"/>
          <w:kern w:val="0"/>
          <w:sz w:val="24"/>
          <w:szCs w:val="24"/>
          <w14:ligatures w14:val="none"/>
        </w:rPr>
        <w:t xml:space="preserve">Pozostali przedsiębiorcy wykonujący rzemiosło w rozumieniu nowelizacji ustawy o rzemiośle, tj. spółki zarówno działające już w dniu wejścia w życie znowelizowanych przepisów, a których zawodowo wykonywana działalność gospodarcza stała się rzemiosłem w związku z wejściem </w:t>
      </w:r>
      <w:r w:rsidRPr="006D59BB">
        <w:rPr>
          <w:rFonts w:ascii="Times New Roman" w:eastAsia="Aptos" w:hAnsi="Times New Roman" w:cs="Times New Roman"/>
          <w:kern w:val="0"/>
          <w:sz w:val="24"/>
          <w:szCs w:val="24"/>
          <w14:ligatures w14:val="none"/>
        </w:rPr>
        <w:lastRenderedPageBreak/>
        <w:t xml:space="preserve">w życie ww. przepisów, jak również spółki, </w:t>
      </w:r>
      <w:r w:rsidRPr="006D59BB">
        <w:rPr>
          <w:rFonts w:ascii="Times New Roman" w:eastAsia="Times New Roman" w:hAnsi="Times New Roman" w:cs="Times New Roman"/>
          <w:kern w:val="0"/>
          <w:sz w:val="24"/>
          <w:szCs w:val="24"/>
          <w14:ligatures w14:val="none"/>
        </w:rPr>
        <w:t>których działalność zostanie zarejestrowana dopiero po wejściu w życie nowelizacji ustawy o rzemiośle, a których działalność także będzie wypełniać zmienioną definicję rzemiosła w związku z jej rozszerzeniem</w:t>
      </w:r>
      <w:r w:rsidRPr="006D59BB">
        <w:rPr>
          <w:rFonts w:ascii="Times New Roman" w:eastAsia="Aptos" w:hAnsi="Times New Roman" w:cs="Times New Roman"/>
          <w:kern w:val="0"/>
          <w:sz w:val="24"/>
          <w:szCs w:val="24"/>
          <w14:ligatures w14:val="none"/>
        </w:rPr>
        <w:t xml:space="preserve">, zostaną uznane za rzemieślników, o ile zrzeszą się w cechu lub izbie rzemieślniczej. Spółki takie nabędą status rzemieślników z dniem </w:t>
      </w:r>
      <w:r w:rsidR="00EF786A" w:rsidRPr="006D59BB">
        <w:rPr>
          <w:rFonts w:ascii="Times New Roman" w:eastAsia="Aptos" w:hAnsi="Times New Roman" w:cs="Times New Roman"/>
          <w:kern w:val="0"/>
          <w:sz w:val="24"/>
          <w:szCs w:val="24"/>
          <w14:ligatures w14:val="none"/>
        </w:rPr>
        <w:t xml:space="preserve">podjęcia </w:t>
      </w:r>
      <w:r w:rsidRPr="006D59BB">
        <w:rPr>
          <w:rFonts w:ascii="Times New Roman" w:eastAsia="Aptos" w:hAnsi="Times New Roman" w:cs="Times New Roman"/>
          <w:kern w:val="0"/>
          <w:sz w:val="24"/>
          <w:szCs w:val="24"/>
          <w14:ligatures w14:val="none"/>
        </w:rPr>
        <w:t xml:space="preserve">przez właściwy organ statutowy organizacji samorządu gospodarczego rzemiosła </w:t>
      </w:r>
      <w:r w:rsidR="00942E8C" w:rsidRPr="006D59BB">
        <w:rPr>
          <w:rFonts w:ascii="Times New Roman" w:eastAsia="Aptos" w:hAnsi="Times New Roman" w:cs="Times New Roman"/>
          <w:kern w:val="0"/>
          <w:sz w:val="24"/>
          <w:szCs w:val="24"/>
          <w14:ligatures w14:val="none"/>
        </w:rPr>
        <w:t xml:space="preserve">uchwały </w:t>
      </w:r>
      <w:r w:rsidRPr="006D59BB">
        <w:rPr>
          <w:rFonts w:ascii="Times New Roman" w:eastAsia="Aptos" w:hAnsi="Times New Roman" w:cs="Times New Roman"/>
          <w:kern w:val="0"/>
          <w:sz w:val="24"/>
          <w:szCs w:val="24"/>
          <w14:ligatures w14:val="none"/>
        </w:rPr>
        <w:t>o przyjęciu przedsiębiorcy</w:t>
      </w:r>
      <w:r w:rsidR="00942E8C" w:rsidRPr="006D59BB">
        <w:rPr>
          <w:rFonts w:ascii="Times New Roman" w:eastAsia="Aptos" w:hAnsi="Times New Roman" w:cs="Times New Roman"/>
          <w:kern w:val="0"/>
          <w:sz w:val="24"/>
          <w:szCs w:val="24"/>
          <w14:ligatures w14:val="none"/>
        </w:rPr>
        <w:t xml:space="preserve"> do tej organizacji</w:t>
      </w:r>
      <w:r w:rsidRPr="006D59BB">
        <w:rPr>
          <w:rFonts w:ascii="Times New Roman" w:eastAsia="Aptos" w:hAnsi="Times New Roman" w:cs="Times New Roman"/>
          <w:kern w:val="0"/>
          <w:sz w:val="24"/>
          <w:szCs w:val="24"/>
          <w14:ligatures w14:val="none"/>
        </w:rPr>
        <w:t>.</w:t>
      </w:r>
    </w:p>
    <w:p w14:paraId="21E6BB25" w14:textId="72B7CCDA" w:rsidR="00D86F0D" w:rsidRPr="006D59BB" w:rsidRDefault="00D86F0D" w:rsidP="006D59BB">
      <w:pPr>
        <w:spacing w:before="120" w:after="0" w:line="360" w:lineRule="auto"/>
        <w:jc w:val="both"/>
        <w:rPr>
          <w:rFonts w:ascii="Times New Roman" w:eastAsia="Aptos" w:hAnsi="Times New Roman" w:cs="Times New Roman"/>
          <w:kern w:val="0"/>
          <w:sz w:val="24"/>
          <w:szCs w:val="24"/>
          <w14:ligatures w14:val="none"/>
        </w:rPr>
      </w:pPr>
      <w:r w:rsidRPr="006D59BB">
        <w:rPr>
          <w:rFonts w:ascii="Times New Roman" w:eastAsia="Aptos" w:hAnsi="Times New Roman" w:cs="Times New Roman"/>
          <w:kern w:val="0"/>
          <w:sz w:val="24"/>
          <w:szCs w:val="24"/>
          <w14:ligatures w14:val="none"/>
        </w:rPr>
        <w:t>Podkreślić należy, że uzależnienie uzyskania statusu rzemieślnika przez ww. przedsiębiorców od członkostwa w cechu lub izbie rzemieślniczej nie narusza konstytucyjnej wolności zrzeszania się przewidzianej w art. 58 ust. 1 Konstytucji RP. Celem projektowanej regulacji nie jest nakładanie na przedsiębiorcę wykonującego rzemiosło jakichkolwiek ograniczeń naruszających jego prawa. Intencją projektodawcy jest, aby uzyskanie, w związku z wejściem w życie nowelizacji ustawy o rzemiośle, ustawowego statusu rzemieślnika przez przedsiębiorców niespełniających dotychczasowej definicji rzemieślnika było konsekwencją ich świadomego wyboru. Decydującym kryterium kwalifikacji działalności przedsiębiorcy jako rzemieślniczej będzie nadal wykorzystywanie w niej zawodowych kwalifikacji w rzemiośle.</w:t>
      </w:r>
    </w:p>
    <w:p w14:paraId="2BA6479E" w14:textId="2E5B69D2" w:rsidR="00D86F0D" w:rsidRPr="006D59BB" w:rsidRDefault="00D86F0D" w:rsidP="006D59BB">
      <w:pPr>
        <w:spacing w:before="120" w:after="0" w:line="360" w:lineRule="auto"/>
        <w:jc w:val="both"/>
        <w:rPr>
          <w:rFonts w:ascii="Times New Roman" w:eastAsia="Aptos" w:hAnsi="Times New Roman" w:cs="Times New Roman"/>
          <w:kern w:val="0"/>
          <w:sz w:val="24"/>
          <w:szCs w:val="24"/>
          <w14:ligatures w14:val="none"/>
        </w:rPr>
      </w:pPr>
      <w:r w:rsidRPr="006D59BB">
        <w:rPr>
          <w:rFonts w:ascii="Times New Roman" w:eastAsia="Aptos" w:hAnsi="Times New Roman" w:cs="Times New Roman"/>
          <w:kern w:val="0"/>
          <w:sz w:val="24"/>
          <w:szCs w:val="24"/>
          <w14:ligatures w14:val="none"/>
        </w:rPr>
        <w:t>Świadomość posiadania, bądź nieposiadania ustawowego statusu rzemieślnika jest niezwykle istotna z</w:t>
      </w:r>
      <w:r w:rsidR="00E6226B" w:rsidRPr="006D59BB">
        <w:rPr>
          <w:rFonts w:ascii="Times New Roman" w:eastAsia="Aptos" w:hAnsi="Times New Roman" w:cs="Times New Roman"/>
          <w:kern w:val="0"/>
          <w:sz w:val="24"/>
          <w:szCs w:val="24"/>
          <w14:ligatures w14:val="none"/>
        </w:rPr>
        <w:t> </w:t>
      </w:r>
      <w:r w:rsidRPr="006D59BB">
        <w:rPr>
          <w:rFonts w:ascii="Times New Roman" w:eastAsia="Aptos" w:hAnsi="Times New Roman" w:cs="Times New Roman"/>
          <w:kern w:val="0"/>
          <w:sz w:val="24"/>
          <w:szCs w:val="24"/>
          <w14:ligatures w14:val="none"/>
        </w:rPr>
        <w:t>uwagi na proces prowadzonego przez przedsiębiorców przygotowania zawodowego młodocianych pracowników w rzemiośle. Proces ten kończy się egzaminem składanym przez młodocianego przed Okręgową Komisją Egzaminacyjną (w przypadku przedsiębiorcy nieposiadającego statusu rzemieślnika) lub egzaminem przed komisją egzaminacyjną izby rzemieślniczej (w przypadku przedsiębiorcy posiadającego ustawowy status rzemieślnika).</w:t>
      </w:r>
    </w:p>
    <w:p w14:paraId="251655B0" w14:textId="258AFE1C" w:rsidR="00D86F0D" w:rsidRPr="006D59BB" w:rsidRDefault="00D86F0D" w:rsidP="006D59BB">
      <w:pPr>
        <w:spacing w:before="120" w:after="0" w:line="360" w:lineRule="auto"/>
        <w:jc w:val="both"/>
        <w:rPr>
          <w:rFonts w:ascii="Times New Roman" w:eastAsia="Aptos" w:hAnsi="Times New Roman" w:cs="Times New Roman"/>
          <w:kern w:val="0"/>
          <w:sz w:val="24"/>
          <w:szCs w:val="24"/>
          <w14:ligatures w14:val="none"/>
        </w:rPr>
      </w:pPr>
      <w:r w:rsidRPr="006D59BB">
        <w:rPr>
          <w:rFonts w:ascii="Times New Roman" w:eastAsia="Aptos" w:hAnsi="Times New Roman" w:cs="Times New Roman"/>
          <w:kern w:val="0"/>
          <w:sz w:val="24"/>
          <w:szCs w:val="24"/>
          <w14:ligatures w14:val="none"/>
        </w:rPr>
        <w:t>Biorąc pod uwagę, że proponowane zmiany w ustawie o rzemiośle poszerzają definicję rzemiosła, m.in. przez rozszerzenie katalogu prawnie dopuszczalnych form działalności rzemieślniczej o spółki kapitałowe, czy też rozszerzenie zakresu wykorzystywanych kwalifikacji zawodowych w rzemiośle</w:t>
      </w:r>
      <w:r w:rsidR="0038340C" w:rsidRPr="006D59BB">
        <w:rPr>
          <w:rFonts w:ascii="Times New Roman" w:eastAsia="Aptos" w:hAnsi="Times New Roman" w:cs="Times New Roman"/>
          <w:kern w:val="0"/>
          <w:sz w:val="24"/>
          <w:szCs w:val="24"/>
          <w14:ligatures w14:val="none"/>
        </w:rPr>
        <w:t>,</w:t>
      </w:r>
      <w:r w:rsidRPr="006D59BB">
        <w:rPr>
          <w:rFonts w:ascii="Times New Roman" w:eastAsia="Aptos" w:hAnsi="Times New Roman" w:cs="Times New Roman"/>
          <w:kern w:val="0"/>
          <w:sz w:val="24"/>
          <w:szCs w:val="24"/>
          <w14:ligatures w14:val="none"/>
        </w:rPr>
        <w:t xml:space="preserve"> istotne jest wprowadzenie rozwiązania, które zagwarantuje m.in., że przedsiębiorca po zakończeniu 3-letniego cyklu kształcenia młodocianego, skieruje go na egzamin przed właściwą komisję egzaminacyjną, co warunkuje otrzymanie dofinansowania kosztów przygotowania zawodowego (art. </w:t>
      </w:r>
      <w:r w:rsidR="0038340C" w:rsidRPr="006D59BB">
        <w:rPr>
          <w:rFonts w:ascii="Times New Roman" w:eastAsia="Aptos" w:hAnsi="Times New Roman" w:cs="Times New Roman"/>
          <w:kern w:val="0"/>
          <w:sz w:val="24"/>
          <w:szCs w:val="24"/>
          <w14:ligatures w14:val="none"/>
        </w:rPr>
        <w:t>122 ustawy ‒ Prawo oświatowe).</w:t>
      </w:r>
      <w:r w:rsidR="00C656EB">
        <w:rPr>
          <w:rFonts w:ascii="Times New Roman" w:eastAsia="Aptos" w:hAnsi="Times New Roman" w:cs="Times New Roman"/>
          <w:kern w:val="0"/>
          <w:sz w:val="24"/>
          <w:szCs w:val="24"/>
          <w14:ligatures w14:val="none"/>
        </w:rPr>
        <w:t xml:space="preserve"> </w:t>
      </w:r>
    </w:p>
    <w:p w14:paraId="64E1F9E2" w14:textId="13F72340" w:rsidR="00D86F0D" w:rsidRPr="006D59BB" w:rsidRDefault="00D86F0D" w:rsidP="006D59BB">
      <w:pPr>
        <w:spacing w:before="120" w:after="0" w:line="360" w:lineRule="auto"/>
        <w:jc w:val="both"/>
        <w:rPr>
          <w:rFonts w:ascii="Times New Roman" w:eastAsia="Aptos" w:hAnsi="Times New Roman" w:cs="Times New Roman"/>
          <w:kern w:val="0"/>
          <w:sz w:val="24"/>
          <w:szCs w:val="24"/>
          <w14:ligatures w14:val="none"/>
        </w:rPr>
      </w:pPr>
      <w:r w:rsidRPr="006D59BB">
        <w:rPr>
          <w:rFonts w:ascii="Times New Roman" w:eastAsia="Aptos" w:hAnsi="Times New Roman" w:cs="Times New Roman"/>
          <w:kern w:val="0"/>
          <w:sz w:val="24"/>
          <w:szCs w:val="24"/>
          <w14:ligatures w14:val="none"/>
        </w:rPr>
        <w:t>Niezależnie od powyższego należy wskazać, że obowiązkowa przynależność do organizacji samorządu gospodarczego rzemiosła nie jest nowym rozwiązaniem. Zgodnie bowiem z art. 3 ust. 5 ustawy o</w:t>
      </w:r>
      <w:r w:rsidR="00E6226B" w:rsidRPr="006D59BB">
        <w:rPr>
          <w:rFonts w:ascii="Times New Roman" w:eastAsia="Aptos" w:hAnsi="Times New Roman" w:cs="Times New Roman"/>
          <w:kern w:val="0"/>
          <w:sz w:val="24"/>
          <w:szCs w:val="24"/>
          <w14:ligatures w14:val="none"/>
        </w:rPr>
        <w:t> </w:t>
      </w:r>
      <w:r w:rsidRPr="006D59BB">
        <w:rPr>
          <w:rFonts w:ascii="Times New Roman" w:eastAsia="Aptos" w:hAnsi="Times New Roman" w:cs="Times New Roman"/>
          <w:kern w:val="0"/>
          <w:sz w:val="24"/>
          <w:szCs w:val="24"/>
          <w14:ligatures w14:val="none"/>
        </w:rPr>
        <w:t xml:space="preserve">rzemiośle rzemieślnicy zatrudniający pracowników w celu przygotowania zawodowego w rzemiośle obowiązani są być członkami cechu lub izby rzemieślniczej. </w:t>
      </w:r>
    </w:p>
    <w:p w14:paraId="31AAB079" w14:textId="77777777" w:rsidR="00D86F0D" w:rsidRPr="006D59BB" w:rsidRDefault="00D86F0D" w:rsidP="006D59BB">
      <w:pPr>
        <w:spacing w:before="120" w:after="0" w:line="360" w:lineRule="auto"/>
        <w:jc w:val="both"/>
        <w:rPr>
          <w:rFonts w:ascii="Times New Roman" w:eastAsia="Aptos" w:hAnsi="Times New Roman" w:cs="Times New Roman"/>
          <w:kern w:val="0"/>
          <w:sz w:val="24"/>
          <w:szCs w:val="24"/>
          <w14:ligatures w14:val="none"/>
        </w:rPr>
      </w:pPr>
      <w:r w:rsidRPr="006D59BB">
        <w:rPr>
          <w:rFonts w:ascii="Times New Roman" w:eastAsia="Aptos" w:hAnsi="Times New Roman" w:cs="Times New Roman"/>
          <w:kern w:val="0"/>
          <w:sz w:val="24"/>
          <w:szCs w:val="24"/>
          <w14:ligatures w14:val="none"/>
        </w:rPr>
        <w:lastRenderedPageBreak/>
        <w:t xml:space="preserve">Znowelizowane przepisy przyznają wszystkim ww. podmiotom prawo zrzeszania się w cechach lub izbach rzemieślniczych na zasadach określonych w ustawie o rzemiośle. </w:t>
      </w:r>
    </w:p>
    <w:p w14:paraId="7C40E92C" w14:textId="77777777" w:rsidR="00D86F0D" w:rsidRPr="006D59BB" w:rsidRDefault="00D86F0D" w:rsidP="006D59BB">
      <w:pPr>
        <w:spacing w:before="120" w:after="0" w:line="360" w:lineRule="auto"/>
        <w:jc w:val="both"/>
        <w:rPr>
          <w:rFonts w:ascii="Times New Roman" w:eastAsia="Aptos" w:hAnsi="Times New Roman" w:cs="Times New Roman"/>
          <w:kern w:val="0"/>
          <w:sz w:val="24"/>
          <w:szCs w:val="24"/>
          <w14:ligatures w14:val="none"/>
        </w:rPr>
      </w:pPr>
      <w:r w:rsidRPr="006D59BB">
        <w:rPr>
          <w:rFonts w:ascii="Times New Roman" w:eastAsia="Aptos" w:hAnsi="Times New Roman" w:cs="Times New Roman"/>
          <w:kern w:val="0"/>
          <w:sz w:val="24"/>
          <w:szCs w:val="24"/>
          <w14:ligatures w14:val="none"/>
        </w:rPr>
        <w:t>Przedsiębiorcy prowadzący działalność gospodarczą z wykorzystaniem kwalifikacji zawodowych w rzemiośle, których zawodowo wykonywana działalność gospodarcza stała się rzemiosłem w związku z wejściem w życie znowelizowanych przepisów, niezainteresowani statusem rzemieślnika, będą mogli kontynuować działalność rzemieślniczą bez posiadania ustawowego statusu rzemieślnika.</w:t>
      </w:r>
    </w:p>
    <w:p w14:paraId="613E274E" w14:textId="4D28DFE1" w:rsidR="00D86F0D" w:rsidRPr="006D59BB" w:rsidRDefault="00D86F0D" w:rsidP="006D59BB">
      <w:pPr>
        <w:spacing w:before="120" w:after="0" w:line="360" w:lineRule="auto"/>
        <w:jc w:val="both"/>
        <w:rPr>
          <w:rFonts w:ascii="Times New Roman" w:eastAsia="Aptos" w:hAnsi="Times New Roman" w:cs="Times New Roman"/>
          <w:kern w:val="0"/>
          <w:sz w:val="24"/>
          <w:szCs w:val="24"/>
          <w14:ligatures w14:val="none"/>
        </w:rPr>
      </w:pPr>
      <w:r w:rsidRPr="006D59BB">
        <w:rPr>
          <w:rFonts w:ascii="Times New Roman" w:eastAsia="Aptos" w:hAnsi="Times New Roman" w:cs="Times New Roman"/>
          <w:kern w:val="0"/>
          <w:sz w:val="24"/>
          <w:szCs w:val="24"/>
          <w14:ligatures w14:val="none"/>
        </w:rPr>
        <w:t xml:space="preserve">Kolejną proponowaną zmianą, również postulowaną przez środowisko rzemieślnicze, jest modyfikacja obowiązującego aktualnie katalogu działalności i usług, których nie zalicza się do rzemiosła, przez wyłączenie usług optyków okularowych i protetyków słuchu z usług </w:t>
      </w:r>
      <w:r w:rsidR="00942E8C" w:rsidRPr="006D59BB">
        <w:rPr>
          <w:rFonts w:ascii="Times New Roman" w:eastAsia="Aptos" w:hAnsi="Times New Roman" w:cs="Times New Roman"/>
          <w:kern w:val="0"/>
          <w:sz w:val="24"/>
          <w:szCs w:val="24"/>
          <w14:ligatures w14:val="none"/>
        </w:rPr>
        <w:t xml:space="preserve">działalności </w:t>
      </w:r>
      <w:r w:rsidRPr="006D59BB">
        <w:rPr>
          <w:rFonts w:ascii="Times New Roman" w:eastAsia="Aptos" w:hAnsi="Times New Roman" w:cs="Times New Roman"/>
          <w:kern w:val="0"/>
          <w:sz w:val="24"/>
          <w:szCs w:val="24"/>
          <w14:ligatures w14:val="none"/>
        </w:rPr>
        <w:t>lecznicz</w:t>
      </w:r>
      <w:r w:rsidR="000C180C" w:rsidRPr="006D59BB">
        <w:rPr>
          <w:rFonts w:ascii="Times New Roman" w:eastAsia="Aptos" w:hAnsi="Times New Roman" w:cs="Times New Roman"/>
          <w:kern w:val="0"/>
          <w:sz w:val="24"/>
          <w:szCs w:val="24"/>
          <w14:ligatures w14:val="none"/>
        </w:rPr>
        <w:t xml:space="preserve">ej </w:t>
      </w:r>
      <w:r w:rsidRPr="006D59BB">
        <w:rPr>
          <w:rFonts w:ascii="Times New Roman" w:eastAsia="Aptos" w:hAnsi="Times New Roman" w:cs="Times New Roman"/>
          <w:kern w:val="0"/>
          <w:sz w:val="24"/>
          <w:szCs w:val="24"/>
          <w14:ligatures w14:val="none"/>
        </w:rPr>
        <w:t>wymienion</w:t>
      </w:r>
      <w:r w:rsidR="000C180C" w:rsidRPr="006D59BB">
        <w:rPr>
          <w:rFonts w:ascii="Times New Roman" w:eastAsia="Aptos" w:hAnsi="Times New Roman" w:cs="Times New Roman"/>
          <w:kern w:val="0"/>
          <w:sz w:val="24"/>
          <w:szCs w:val="24"/>
          <w14:ligatures w14:val="none"/>
        </w:rPr>
        <w:t>ej</w:t>
      </w:r>
      <w:r w:rsidRPr="006D59BB">
        <w:rPr>
          <w:rFonts w:ascii="Times New Roman" w:eastAsia="Aptos" w:hAnsi="Times New Roman" w:cs="Times New Roman"/>
          <w:kern w:val="0"/>
          <w:sz w:val="24"/>
          <w:szCs w:val="24"/>
          <w14:ligatures w14:val="none"/>
        </w:rPr>
        <w:t xml:space="preserve"> w tym katalogu.</w:t>
      </w:r>
    </w:p>
    <w:p w14:paraId="2876D1F3" w14:textId="77777777" w:rsidR="00D86F0D" w:rsidRPr="006D59BB" w:rsidRDefault="00D86F0D" w:rsidP="006D59BB">
      <w:pPr>
        <w:spacing w:before="120" w:after="0" w:line="360" w:lineRule="auto"/>
        <w:jc w:val="both"/>
        <w:rPr>
          <w:rFonts w:ascii="Times New Roman" w:eastAsia="Aptos" w:hAnsi="Times New Roman" w:cs="Times New Roman"/>
          <w:kern w:val="0"/>
          <w:sz w:val="24"/>
          <w:szCs w:val="24"/>
          <w14:ligatures w14:val="none"/>
        </w:rPr>
      </w:pPr>
      <w:r w:rsidRPr="006D59BB">
        <w:rPr>
          <w:rFonts w:ascii="Times New Roman" w:eastAsia="Aptos" w:hAnsi="Times New Roman" w:cs="Times New Roman"/>
          <w:kern w:val="0"/>
          <w:sz w:val="24"/>
          <w:szCs w:val="24"/>
          <w14:ligatures w14:val="none"/>
        </w:rPr>
        <w:t>Zawody optyka okularowego oraz protetyka słuchu są zawodami rzemieślniczymi. W obu zawodach prowadzona jest zarówno szkolna, jak i praktyczna nauka zawodu oraz przeprowadzane są egzaminy czeladnicze i mistrzowskie.</w:t>
      </w:r>
    </w:p>
    <w:p w14:paraId="71611F5B" w14:textId="77777777" w:rsidR="00D86F0D" w:rsidRPr="006D59BB" w:rsidRDefault="00D86F0D" w:rsidP="006D59BB">
      <w:pPr>
        <w:spacing w:before="120" w:after="0" w:line="360" w:lineRule="auto"/>
        <w:jc w:val="both"/>
        <w:rPr>
          <w:rFonts w:ascii="Times New Roman" w:eastAsia="Aptos" w:hAnsi="Times New Roman" w:cs="Times New Roman"/>
          <w:kern w:val="0"/>
          <w:sz w:val="24"/>
          <w:szCs w:val="24"/>
          <w14:ligatures w14:val="none"/>
        </w:rPr>
      </w:pPr>
      <w:r w:rsidRPr="006D59BB">
        <w:rPr>
          <w:rFonts w:ascii="Times New Roman" w:eastAsia="Aptos" w:hAnsi="Times New Roman" w:cs="Times New Roman"/>
          <w:kern w:val="0"/>
          <w:sz w:val="24"/>
          <w:szCs w:val="24"/>
          <w14:ligatures w14:val="none"/>
        </w:rPr>
        <w:t>Ograniczenie wielkości przedsiębiorcy rzemieślnika wykonującego rzemiosło w formie spółki kapitałowej do mikro-, małego i średniego przedsiębiorcy jest rozwiązaniem analogicznym do aktualnie obowiązującego.</w:t>
      </w:r>
    </w:p>
    <w:p w14:paraId="35FCDC39" w14:textId="77777777" w:rsidR="00D86F0D" w:rsidRPr="006D59BB" w:rsidRDefault="00D86F0D" w:rsidP="006D59BB">
      <w:pPr>
        <w:spacing w:before="120" w:after="0" w:line="360" w:lineRule="auto"/>
        <w:jc w:val="both"/>
        <w:rPr>
          <w:rFonts w:ascii="Times New Roman" w:eastAsia="Aptos" w:hAnsi="Times New Roman" w:cs="Times New Roman"/>
          <w:kern w:val="0"/>
          <w:sz w:val="24"/>
          <w:szCs w:val="24"/>
          <w14:ligatures w14:val="none"/>
        </w:rPr>
      </w:pPr>
      <w:r w:rsidRPr="006D59BB">
        <w:rPr>
          <w:rFonts w:ascii="Times New Roman" w:eastAsia="Aptos" w:hAnsi="Times New Roman" w:cs="Times New Roman"/>
          <w:kern w:val="0"/>
          <w:sz w:val="24"/>
          <w:szCs w:val="24"/>
          <w14:ligatures w14:val="none"/>
        </w:rPr>
        <w:t xml:space="preserve">Oczekuje się, że rozszerzenie definicji rzemieślnika i rzemiosła przyczyni się do włączenia do rzemiosła tych podmiotów rzemieślniczych, które były dotychczas z niego wykluczone. Przewiduje się, że zaproponowana nowelizacja wzmocni i zróżnicuje podmiotowo sektor rzemiosła, zwiększy efektywność operacyjną mikro-, małych i średnich przedsiębiorstw rzemieślniczych oraz poprawi rentowność i konkurencyjność tych podmiotów gospodarczych. </w:t>
      </w:r>
    </w:p>
    <w:p w14:paraId="067F1C77" w14:textId="604334DD" w:rsidR="00421BBB" w:rsidRPr="006D59BB" w:rsidRDefault="00D86F0D" w:rsidP="006D59BB">
      <w:pPr>
        <w:spacing w:before="120" w:after="0" w:line="360" w:lineRule="auto"/>
        <w:jc w:val="both"/>
        <w:rPr>
          <w:rFonts w:ascii="Times New Roman" w:eastAsia="Aptos" w:hAnsi="Times New Roman" w:cs="Times New Roman"/>
          <w:kern w:val="0"/>
          <w:sz w:val="24"/>
          <w:szCs w:val="24"/>
          <w14:ligatures w14:val="none"/>
        </w:rPr>
      </w:pPr>
      <w:r w:rsidRPr="006D59BB">
        <w:rPr>
          <w:rFonts w:ascii="Times New Roman" w:eastAsia="Aptos" w:hAnsi="Times New Roman" w:cs="Times New Roman"/>
          <w:kern w:val="0"/>
          <w:sz w:val="24"/>
          <w:szCs w:val="24"/>
          <w14:ligatures w14:val="none"/>
        </w:rPr>
        <w:t xml:space="preserve">Art. </w:t>
      </w:r>
      <w:r w:rsidR="00942E8C" w:rsidRPr="006D59BB">
        <w:rPr>
          <w:rFonts w:ascii="Times New Roman" w:eastAsia="Aptos" w:hAnsi="Times New Roman" w:cs="Times New Roman"/>
          <w:kern w:val="0"/>
          <w:sz w:val="24"/>
          <w:szCs w:val="24"/>
          <w14:ligatures w14:val="none"/>
        </w:rPr>
        <w:t>2</w:t>
      </w:r>
      <w:r w:rsidR="000E6D8F">
        <w:rPr>
          <w:rFonts w:ascii="Times New Roman" w:eastAsia="Aptos" w:hAnsi="Times New Roman" w:cs="Times New Roman"/>
          <w:kern w:val="0"/>
          <w:sz w:val="24"/>
          <w:szCs w:val="24"/>
          <w14:ligatures w14:val="none"/>
        </w:rPr>
        <w:t>9</w:t>
      </w:r>
      <w:r w:rsidR="00942E8C" w:rsidRPr="006D59BB">
        <w:rPr>
          <w:rFonts w:ascii="Times New Roman" w:eastAsia="Aptos" w:hAnsi="Times New Roman" w:cs="Times New Roman"/>
          <w:kern w:val="0"/>
          <w:sz w:val="24"/>
          <w:szCs w:val="24"/>
          <w14:ligatures w14:val="none"/>
        </w:rPr>
        <w:t xml:space="preserve"> </w:t>
      </w:r>
      <w:r w:rsidRPr="006D59BB">
        <w:rPr>
          <w:rFonts w:ascii="Times New Roman" w:eastAsia="Aptos" w:hAnsi="Times New Roman" w:cs="Times New Roman"/>
          <w:kern w:val="0"/>
          <w:sz w:val="24"/>
          <w:szCs w:val="24"/>
          <w14:ligatures w14:val="none"/>
        </w:rPr>
        <w:t xml:space="preserve">ma gwarantować młodocianym pracownikom </w:t>
      </w:r>
      <w:r w:rsidR="00942E8C" w:rsidRPr="006D59BB">
        <w:rPr>
          <w:rFonts w:ascii="Times New Roman" w:eastAsia="Aptos" w:hAnsi="Times New Roman" w:cs="Times New Roman"/>
          <w:kern w:val="0"/>
          <w:sz w:val="24"/>
          <w:szCs w:val="24"/>
          <w14:ligatures w14:val="none"/>
        </w:rPr>
        <w:t xml:space="preserve">odbywanie </w:t>
      </w:r>
      <w:r w:rsidRPr="006D59BB">
        <w:rPr>
          <w:rFonts w:ascii="Times New Roman" w:eastAsia="Aptos" w:hAnsi="Times New Roman" w:cs="Times New Roman"/>
          <w:kern w:val="0"/>
          <w:sz w:val="24"/>
          <w:szCs w:val="24"/>
          <w14:ligatures w14:val="none"/>
        </w:rPr>
        <w:t>przygotowania zawodowego na niezmienionych warunkach, ustalonych w umowie o przygotowanie zawodowe</w:t>
      </w:r>
      <w:r w:rsidR="000C180C" w:rsidRPr="006D59BB">
        <w:rPr>
          <w:rFonts w:ascii="Times New Roman" w:eastAsia="Aptos" w:hAnsi="Times New Roman" w:cs="Times New Roman"/>
          <w:kern w:val="0"/>
          <w:sz w:val="24"/>
          <w:szCs w:val="24"/>
          <w14:ligatures w14:val="none"/>
        </w:rPr>
        <w:t>.</w:t>
      </w:r>
    </w:p>
    <w:p w14:paraId="2A0E02F2" w14:textId="77777777" w:rsidR="00BB3E25" w:rsidRPr="006D59BB" w:rsidRDefault="00BB3E25" w:rsidP="006D59BB">
      <w:pPr>
        <w:pStyle w:val="Styl1"/>
        <w:spacing w:before="120" w:after="0" w:line="360" w:lineRule="auto"/>
        <w:rPr>
          <w:sz w:val="24"/>
          <w:szCs w:val="24"/>
        </w:rPr>
      </w:pPr>
      <w:bookmarkStart w:id="22" w:name="_Toc187413496"/>
      <w:bookmarkStart w:id="23" w:name="_Toc192358913"/>
      <w:r w:rsidRPr="006D59BB">
        <w:rPr>
          <w:sz w:val="24"/>
          <w:szCs w:val="24"/>
        </w:rPr>
        <w:t>Ustawa z dnia 12 października 1990 r. o Straży Granicznej</w:t>
      </w:r>
      <w:bookmarkEnd w:id="22"/>
      <w:bookmarkEnd w:id="23"/>
    </w:p>
    <w:p w14:paraId="21C63D91" w14:textId="2C24B662" w:rsidR="00BB3E25" w:rsidRPr="006D59BB" w:rsidRDefault="00BB3E25"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Zmiany w ustawie</w:t>
      </w:r>
      <w:r w:rsidR="007E5188" w:rsidRPr="006D59BB">
        <w:rPr>
          <w:rFonts w:ascii="Times New Roman" w:hAnsi="Times New Roman" w:cs="Times New Roman"/>
          <w:sz w:val="24"/>
          <w:szCs w:val="24"/>
        </w:rPr>
        <w:t xml:space="preserve"> z dnia 12 października 1990 r,</w:t>
      </w:r>
      <w:r w:rsidRPr="006D59BB">
        <w:rPr>
          <w:rFonts w:ascii="Times New Roman" w:hAnsi="Times New Roman" w:cs="Times New Roman"/>
          <w:sz w:val="24"/>
          <w:szCs w:val="24"/>
        </w:rPr>
        <w:t xml:space="preserve"> o Straży Granicznej mają na celu ułatwienie zwalczania przez Straż Graniczną zjawiska nielegalnego zatrudniania cudzoziemców i polegają na wyłączeniu stosowania do kontroli legalności wykonywania pracy przez cudzoziemców, prowadzenia działalności gospodarczej przez cudzoziemców, powierzania wykonywania pracy cudzoziemcom dodawanych w</w:t>
      </w:r>
      <w:r w:rsidR="007E5188" w:rsidRPr="006D59BB">
        <w:rPr>
          <w:rFonts w:ascii="Times New Roman" w:eastAsia="Aptos" w:hAnsi="Times New Roman" w:cs="Times New Roman"/>
          <w:kern w:val="0"/>
          <w:sz w:val="24"/>
          <w:szCs w:val="24"/>
          <w14:ligatures w14:val="none"/>
        </w:rPr>
        <w:t xml:space="preserve"> ustawie z dnia 6 marca 2018 r. – Prawo </w:t>
      </w:r>
      <w:r w:rsidRPr="006D59BB">
        <w:rPr>
          <w:rFonts w:ascii="Times New Roman" w:hAnsi="Times New Roman" w:cs="Times New Roman"/>
          <w:sz w:val="24"/>
          <w:szCs w:val="24"/>
        </w:rPr>
        <w:t xml:space="preserve">przedsiębiorców </w:t>
      </w:r>
      <w:r w:rsidRPr="006D59BB">
        <w:rPr>
          <w:rFonts w:ascii="Times New Roman" w:hAnsi="Times New Roman" w:cs="Times New Roman"/>
          <w:sz w:val="24"/>
          <w:szCs w:val="24"/>
        </w:rPr>
        <w:lastRenderedPageBreak/>
        <w:t>przepisów regulujących obowiązek publikacji okresowych analiz ryzyka oraz ograniczenia częstotliwości kontroli planowych.</w:t>
      </w:r>
    </w:p>
    <w:p w14:paraId="4C4B379C" w14:textId="0EF16C3B" w:rsidR="00115575" w:rsidRPr="006D59BB" w:rsidRDefault="00115575" w:rsidP="006D59BB">
      <w:pPr>
        <w:pStyle w:val="Styl1"/>
        <w:spacing w:before="120" w:after="0" w:line="360" w:lineRule="auto"/>
        <w:jc w:val="both"/>
        <w:rPr>
          <w:sz w:val="24"/>
          <w:szCs w:val="24"/>
        </w:rPr>
      </w:pPr>
      <w:bookmarkStart w:id="24" w:name="_Toc192358914"/>
      <w:r w:rsidRPr="006D59BB">
        <w:rPr>
          <w:sz w:val="24"/>
          <w:szCs w:val="24"/>
        </w:rPr>
        <w:t>Ustawa z dnia 13 października 1995 r. o zasadach ewidencji i identyfikacji podatników i</w:t>
      </w:r>
      <w:r w:rsidR="00306E7D" w:rsidRPr="006D59BB">
        <w:rPr>
          <w:sz w:val="24"/>
          <w:szCs w:val="24"/>
        </w:rPr>
        <w:t> </w:t>
      </w:r>
      <w:r w:rsidRPr="006D59BB">
        <w:rPr>
          <w:sz w:val="24"/>
          <w:szCs w:val="24"/>
        </w:rPr>
        <w:t>płatników</w:t>
      </w:r>
      <w:bookmarkEnd w:id="24"/>
    </w:p>
    <w:p w14:paraId="61D6A81B" w14:textId="77777777" w:rsidR="00306E7D" w:rsidRPr="006D59BB" w:rsidRDefault="00306E7D"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W art. 3 ust. 1 pkt 1 ww. ustawy przewiduje się, że w przypadku podatników będących osobami fizycznymi niebędących zarejestrowanymi podatnikami podatku od towarów i usług lub nieprowadzących działalności gospodarczej, identyfikatorem podatkowym jest numer PESEL, natomiast z pkt 2 tego przepisu wynika, że w innych przypadkach jest to NIP.</w:t>
      </w:r>
    </w:p>
    <w:p w14:paraId="02FC0C72" w14:textId="58E83355" w:rsidR="00306E7D" w:rsidRPr="006D59BB" w:rsidRDefault="00306E7D"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 xml:space="preserve">Zgodnie z art. 5 ust. 1 ustawy z dnia 6 marca 2018 r. – Prawo przedsiębiorców (dalej też: </w:t>
      </w:r>
      <w:proofErr w:type="spellStart"/>
      <w:r w:rsidRPr="006D59BB">
        <w:rPr>
          <w:rFonts w:ascii="Times New Roman" w:hAnsi="Times New Roman" w:cs="Times New Roman"/>
          <w:sz w:val="24"/>
          <w:szCs w:val="24"/>
        </w:rPr>
        <w:t>Pp</w:t>
      </w:r>
      <w:proofErr w:type="spellEnd"/>
      <w:r w:rsidRPr="006D59BB">
        <w:rPr>
          <w:rFonts w:ascii="Times New Roman" w:hAnsi="Times New Roman" w:cs="Times New Roman"/>
          <w:sz w:val="24"/>
          <w:szCs w:val="24"/>
        </w:rPr>
        <w:t>) działalność nierejestrowa nie jest uznawana za działalność gospodarczą w rozumieniu tej ustawy. Nie ma natomiast podstaw, by automatycznie odmówić jej tego przymiotu na gruncie O</w:t>
      </w:r>
      <w:r w:rsidR="007E5F33" w:rsidRPr="006D59BB">
        <w:rPr>
          <w:rFonts w:ascii="Times New Roman" w:hAnsi="Times New Roman" w:cs="Times New Roman"/>
          <w:sz w:val="24"/>
          <w:szCs w:val="24"/>
        </w:rPr>
        <w:t>rdynacji podatkowej</w:t>
      </w:r>
      <w:r w:rsidRPr="006D59BB">
        <w:rPr>
          <w:rFonts w:ascii="Times New Roman" w:hAnsi="Times New Roman" w:cs="Times New Roman"/>
          <w:sz w:val="24"/>
          <w:szCs w:val="24"/>
        </w:rPr>
        <w:t xml:space="preserve"> oraz ustawy o podatku od towarów i usług. Ustawy te posługują się bowiem swoimi własnymi definicjami działalności gospodarczej, niezależnymi od </w:t>
      </w:r>
      <w:proofErr w:type="spellStart"/>
      <w:r w:rsidRPr="006D59BB">
        <w:rPr>
          <w:rFonts w:ascii="Times New Roman" w:hAnsi="Times New Roman" w:cs="Times New Roman"/>
          <w:sz w:val="24"/>
          <w:szCs w:val="24"/>
        </w:rPr>
        <w:t>Pp</w:t>
      </w:r>
      <w:proofErr w:type="spellEnd"/>
      <w:r w:rsidRPr="006D59BB">
        <w:rPr>
          <w:rFonts w:ascii="Times New Roman" w:hAnsi="Times New Roman" w:cs="Times New Roman"/>
          <w:sz w:val="24"/>
          <w:szCs w:val="24"/>
        </w:rPr>
        <w:t>, wyrażonymi odpowiednio w art. 3 pkt 9 oraz art. 15 ust. 2 tych ustaw.</w:t>
      </w:r>
    </w:p>
    <w:p w14:paraId="1A7635D4" w14:textId="33E3E588" w:rsidR="00306E7D" w:rsidRPr="006D59BB" w:rsidRDefault="00306E7D"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W zakresie pojęcia działalności gospodarczej ustawa o zasadach ewidencji i identyfikacji podatników i</w:t>
      </w:r>
      <w:r w:rsidR="00E6226B" w:rsidRPr="006D59BB">
        <w:rPr>
          <w:rFonts w:ascii="Times New Roman" w:hAnsi="Times New Roman" w:cs="Times New Roman"/>
          <w:sz w:val="24"/>
          <w:szCs w:val="24"/>
        </w:rPr>
        <w:t> </w:t>
      </w:r>
      <w:r w:rsidRPr="006D59BB">
        <w:rPr>
          <w:rFonts w:ascii="Times New Roman" w:hAnsi="Times New Roman" w:cs="Times New Roman"/>
          <w:sz w:val="24"/>
          <w:szCs w:val="24"/>
        </w:rPr>
        <w:t xml:space="preserve">płatników nie odwołuje się do żadnej innej regulacji, nie posiada też jego odrębnej legalnej definicji, co może prowadzić do wątpliwości co do dokładnego rozumienia tego terminu w myśl ustawy. </w:t>
      </w:r>
    </w:p>
    <w:p w14:paraId="43FBB346" w14:textId="1AB51709" w:rsidR="00306E7D" w:rsidRPr="006D59BB" w:rsidRDefault="00306E7D"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 xml:space="preserve">Działalność nierejestrowa może stanowić działalność gospodarczą, w rozumieniu ustawy o </w:t>
      </w:r>
      <w:r w:rsidR="000464F5" w:rsidRPr="006D59BB">
        <w:rPr>
          <w:rFonts w:ascii="Times New Roman" w:hAnsi="Times New Roman" w:cs="Times New Roman"/>
          <w:sz w:val="24"/>
          <w:szCs w:val="24"/>
        </w:rPr>
        <w:t>podatku od towarów i usług (dalej: ustawy o VAT)</w:t>
      </w:r>
      <w:r w:rsidRPr="006D59BB">
        <w:rPr>
          <w:rFonts w:ascii="Times New Roman" w:hAnsi="Times New Roman" w:cs="Times New Roman"/>
          <w:sz w:val="24"/>
          <w:szCs w:val="24"/>
        </w:rPr>
        <w:t>, jeżeli spełnia definicję działalności gospodarczej wynikającą z</w:t>
      </w:r>
      <w:r w:rsidR="008170ED" w:rsidRPr="006D59BB">
        <w:rPr>
          <w:rFonts w:ascii="Times New Roman" w:hAnsi="Times New Roman" w:cs="Times New Roman"/>
          <w:sz w:val="24"/>
          <w:szCs w:val="24"/>
        </w:rPr>
        <w:t> </w:t>
      </w:r>
      <w:r w:rsidRPr="006D59BB">
        <w:rPr>
          <w:rFonts w:ascii="Times New Roman" w:hAnsi="Times New Roman" w:cs="Times New Roman"/>
          <w:sz w:val="24"/>
          <w:szCs w:val="24"/>
        </w:rPr>
        <w:t xml:space="preserve">ustawy o VAT. Do podmiotów wykonujących działalność nierejestrową w świetle </w:t>
      </w:r>
      <w:proofErr w:type="spellStart"/>
      <w:r w:rsidR="006460D6" w:rsidRPr="006D59BB">
        <w:rPr>
          <w:rFonts w:ascii="Times New Roman" w:hAnsi="Times New Roman" w:cs="Times New Roman"/>
          <w:sz w:val="24"/>
          <w:szCs w:val="24"/>
        </w:rPr>
        <w:t>Pp</w:t>
      </w:r>
      <w:proofErr w:type="spellEnd"/>
      <w:r w:rsidRPr="006D59BB">
        <w:rPr>
          <w:rFonts w:ascii="Times New Roman" w:hAnsi="Times New Roman" w:cs="Times New Roman"/>
          <w:sz w:val="24"/>
          <w:szCs w:val="24"/>
        </w:rPr>
        <w:t xml:space="preserve"> i uznanych za podatników w rozumieniu ustawy o VAT znajdą zatem zastosowanie ogólne zasady dotyczące podatku VAT. Oznacza to, że podmioty te mogą korzystać ze zwolnienia od podatku z uwagi na poziom obrotów na podst</w:t>
      </w:r>
      <w:r w:rsidR="000464F5" w:rsidRPr="006D59BB">
        <w:rPr>
          <w:rFonts w:ascii="Times New Roman" w:hAnsi="Times New Roman" w:cs="Times New Roman"/>
          <w:sz w:val="24"/>
          <w:szCs w:val="24"/>
        </w:rPr>
        <w:t>awi</w:t>
      </w:r>
      <w:r w:rsidRPr="006D59BB">
        <w:rPr>
          <w:rFonts w:ascii="Times New Roman" w:hAnsi="Times New Roman" w:cs="Times New Roman"/>
          <w:sz w:val="24"/>
          <w:szCs w:val="24"/>
        </w:rPr>
        <w:t xml:space="preserve">e art. 113 ust. 1 i 9 ustawy o VAT (tzw. zwolnienie podmiotowe). Korzystanie przez podatnika ze zwolnienia podmiotowego jest wyłączone w przypadku dokonywania niektórych dostaw towarów lub świadczenia usług. Katalog tych czynności </w:t>
      </w:r>
      <w:r w:rsidR="006460D6" w:rsidRPr="006D59BB">
        <w:rPr>
          <w:rFonts w:ascii="Times New Roman" w:hAnsi="Times New Roman" w:cs="Times New Roman"/>
          <w:sz w:val="24"/>
          <w:szCs w:val="24"/>
        </w:rPr>
        <w:t>określa</w:t>
      </w:r>
      <w:r w:rsidRPr="006D59BB">
        <w:rPr>
          <w:rFonts w:ascii="Times New Roman" w:hAnsi="Times New Roman" w:cs="Times New Roman"/>
          <w:sz w:val="24"/>
          <w:szCs w:val="24"/>
        </w:rPr>
        <w:t xml:space="preserve"> art. 113 ust. 13 ustawy o VAT.</w:t>
      </w:r>
    </w:p>
    <w:p w14:paraId="2A196A2F" w14:textId="5F6DB842" w:rsidR="00306E7D" w:rsidRPr="006D59BB" w:rsidRDefault="00306E7D"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Biorąc pod uwagę cel, który przyświecał powołaniu instytucji działalności nierejestrowej</w:t>
      </w:r>
      <w:r w:rsidR="00DE75DD">
        <w:rPr>
          <w:rFonts w:ascii="Times New Roman" w:hAnsi="Times New Roman" w:cs="Times New Roman"/>
          <w:sz w:val="24"/>
          <w:szCs w:val="24"/>
        </w:rPr>
        <w:t>,</w:t>
      </w:r>
      <w:r w:rsidRPr="006D59BB">
        <w:rPr>
          <w:rFonts w:ascii="Times New Roman" w:hAnsi="Times New Roman" w:cs="Times New Roman"/>
          <w:sz w:val="24"/>
          <w:szCs w:val="24"/>
        </w:rPr>
        <w:t xml:space="preserve"> wskazane jest, </w:t>
      </w:r>
      <w:r w:rsidR="0031563F">
        <w:rPr>
          <w:rFonts w:ascii="Times New Roman" w:hAnsi="Times New Roman" w:cs="Times New Roman"/>
          <w:sz w:val="24"/>
          <w:szCs w:val="24"/>
        </w:rPr>
        <w:t>a</w:t>
      </w:r>
      <w:r w:rsidRPr="006D59BB">
        <w:rPr>
          <w:rFonts w:ascii="Times New Roman" w:hAnsi="Times New Roman" w:cs="Times New Roman"/>
          <w:sz w:val="24"/>
          <w:szCs w:val="24"/>
        </w:rPr>
        <w:t>by osoby ją prowadzące korzystały z PESEL jako identyfikatora podatkowego. Wyjątkiem byłyby sytuacje, w których osoby takie byłyby zarejestrowanymi podatnikami podatku od towarów i usług lub też</w:t>
      </w:r>
      <w:r w:rsidR="00DE75DD">
        <w:rPr>
          <w:rFonts w:ascii="Times New Roman" w:hAnsi="Times New Roman" w:cs="Times New Roman"/>
          <w:sz w:val="24"/>
          <w:szCs w:val="24"/>
        </w:rPr>
        <w:t>,</w:t>
      </w:r>
      <w:r w:rsidRPr="006D59BB">
        <w:rPr>
          <w:rFonts w:ascii="Times New Roman" w:hAnsi="Times New Roman" w:cs="Times New Roman"/>
          <w:sz w:val="24"/>
          <w:szCs w:val="24"/>
        </w:rPr>
        <w:t xml:space="preserve"> nie będąc zarejestrowanymi jako podatnicy tego podatku</w:t>
      </w:r>
      <w:r w:rsidR="00DE75DD">
        <w:rPr>
          <w:rFonts w:ascii="Times New Roman" w:hAnsi="Times New Roman" w:cs="Times New Roman"/>
          <w:sz w:val="24"/>
          <w:szCs w:val="24"/>
        </w:rPr>
        <w:t>,</w:t>
      </w:r>
      <w:r w:rsidRPr="006D59BB">
        <w:rPr>
          <w:rFonts w:ascii="Times New Roman" w:hAnsi="Times New Roman" w:cs="Times New Roman"/>
          <w:sz w:val="24"/>
          <w:szCs w:val="24"/>
        </w:rPr>
        <w:t xml:space="preserve"> </w:t>
      </w:r>
      <w:r w:rsidRPr="006D59BB">
        <w:rPr>
          <w:rFonts w:ascii="Times New Roman" w:hAnsi="Times New Roman" w:cs="Times New Roman"/>
          <w:sz w:val="24"/>
          <w:szCs w:val="24"/>
        </w:rPr>
        <w:lastRenderedPageBreak/>
        <w:t xml:space="preserve">prowadziłyby ewidencję sprzedaży przy zastosowaniu kas rejestrujących – korzystanie z tych ostatnich wymaga bowiem posiadania i posługiwania się NIP. </w:t>
      </w:r>
    </w:p>
    <w:p w14:paraId="2C0B5A2D" w14:textId="6C038B32" w:rsidR="00306E7D" w:rsidRPr="006D59BB" w:rsidRDefault="00306E7D"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Należy także zwrócić uwagę na zakres przetwarzania danych osobowych, który ograniczony został przez wymóg przestrzegania podstawowych zasad, do których zgodnie z rozporządzeniem Parlamentu Europejskiego i Rady (UE) 2016/679 z dnia 27 kwietnia 2016 r. w sprawie ochrony osób fizycznych w</w:t>
      </w:r>
      <w:r w:rsidR="008170ED" w:rsidRPr="006D59BB">
        <w:rPr>
          <w:rFonts w:ascii="Times New Roman" w:hAnsi="Times New Roman" w:cs="Times New Roman"/>
          <w:sz w:val="24"/>
          <w:szCs w:val="24"/>
        </w:rPr>
        <w:t> </w:t>
      </w:r>
      <w:r w:rsidRPr="006D59BB">
        <w:rPr>
          <w:rFonts w:ascii="Times New Roman" w:hAnsi="Times New Roman" w:cs="Times New Roman"/>
          <w:sz w:val="24"/>
          <w:szCs w:val="24"/>
        </w:rPr>
        <w:t xml:space="preserve">związku z przetwarzaniem danych osobowych i w sprawie swobodnego przepływu takich danych oraz uchylenia dyrektywy 95/46/WE (ogólne rozporządzenie o ochronie danych) </w:t>
      </w:r>
      <w:r w:rsidR="00496011" w:rsidRPr="006D59BB">
        <w:rPr>
          <w:rFonts w:ascii="Times New Roman" w:hAnsi="Times New Roman" w:cs="Times New Roman"/>
          <w:sz w:val="24"/>
          <w:szCs w:val="24"/>
        </w:rPr>
        <w:t>(</w:t>
      </w:r>
      <w:r w:rsidRPr="006D59BB">
        <w:rPr>
          <w:rFonts w:ascii="Times New Roman" w:hAnsi="Times New Roman" w:cs="Times New Roman"/>
          <w:sz w:val="24"/>
          <w:szCs w:val="24"/>
        </w:rPr>
        <w:t>dalej: RODO</w:t>
      </w:r>
      <w:r w:rsidR="00496011" w:rsidRPr="006D59BB">
        <w:rPr>
          <w:rFonts w:ascii="Times New Roman" w:hAnsi="Times New Roman" w:cs="Times New Roman"/>
          <w:sz w:val="24"/>
          <w:szCs w:val="24"/>
        </w:rPr>
        <w:t>)</w:t>
      </w:r>
      <w:r w:rsidRPr="006D59BB">
        <w:rPr>
          <w:rFonts w:ascii="Times New Roman" w:hAnsi="Times New Roman" w:cs="Times New Roman"/>
          <w:sz w:val="24"/>
          <w:szCs w:val="24"/>
        </w:rPr>
        <w:t xml:space="preserve"> należą: legalność, celowość, adekwatność, prawidłowość, ograniczenie czasowe, integralność, poufność i rozliczalność. Zatem wszelkie czynności związane z pozyskiwaniem danych osobowych, a następnie z ich przetwarzaniem i przechowywaniem, należy oceniać z perspektywy wymienionych powyżej (tj. art. 5 RODO).</w:t>
      </w:r>
    </w:p>
    <w:p w14:paraId="7B83FA2F" w14:textId="78902976" w:rsidR="00306E7D" w:rsidRPr="006D59BB" w:rsidRDefault="00306E7D"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 xml:space="preserve">Zaprojektowany przepis w niniejszym projekcie ustawy koresponduje przede wszystkim z zasadą </w:t>
      </w:r>
      <w:r w:rsidR="00491E87" w:rsidRPr="006D59BB">
        <w:rPr>
          <w:rFonts w:ascii="Times New Roman" w:hAnsi="Times New Roman" w:cs="Times New Roman"/>
          <w:sz w:val="24"/>
          <w:szCs w:val="24"/>
        </w:rPr>
        <w:t>ade</w:t>
      </w:r>
      <w:r w:rsidRPr="006D59BB">
        <w:rPr>
          <w:rFonts w:ascii="Times New Roman" w:hAnsi="Times New Roman" w:cs="Times New Roman"/>
          <w:sz w:val="24"/>
          <w:szCs w:val="24"/>
        </w:rPr>
        <w:t xml:space="preserve">kwatności (art. 5 ust. 1 lit. c RODO), która dopuszcza możliwość zbierania tylko danych niezbędnych do osiągnięcia celu przetwarzania. W omawianym przypadku celem tym jest umożliwienie prowadzenia drobnej aktywności ekonomicznej przez osoby fizyczne przy zachowaniu jak najmniejszych formalności i obowiązków publicznych oraz doprecyzowanie regulacji, które budzą obecnie wątpliwości. Efektem tej zmiany będzie wyeliminowanie najistotniejszych wątpliwości praktycznych funkcjonowania tej instytucji – z korzyścią zarówno dla obywateli, jak i dla organów. </w:t>
      </w:r>
    </w:p>
    <w:p w14:paraId="0A806251" w14:textId="793E8FF1" w:rsidR="00115575" w:rsidRPr="006D59BB" w:rsidRDefault="00115575" w:rsidP="006D59BB">
      <w:pPr>
        <w:pStyle w:val="Styl1"/>
        <w:spacing w:before="120" w:after="0" w:line="360" w:lineRule="auto"/>
        <w:rPr>
          <w:sz w:val="24"/>
          <w:szCs w:val="24"/>
        </w:rPr>
      </w:pPr>
      <w:bookmarkStart w:id="25" w:name="_Toc192358915"/>
      <w:r w:rsidRPr="006D59BB">
        <w:rPr>
          <w:sz w:val="24"/>
          <w:szCs w:val="24"/>
        </w:rPr>
        <w:t>Ustawa z dnia 5 grudnia 1996 r. o zawodach lekarza i lekarza dentysty</w:t>
      </w:r>
      <w:bookmarkEnd w:id="25"/>
      <w:r w:rsidR="00C656EB">
        <w:rPr>
          <w:sz w:val="24"/>
          <w:szCs w:val="24"/>
        </w:rPr>
        <w:t xml:space="preserve"> </w:t>
      </w:r>
    </w:p>
    <w:p w14:paraId="7C5073CD" w14:textId="5E0FE337" w:rsidR="00BD7EBA" w:rsidRPr="006D59BB" w:rsidRDefault="00BD7EBA" w:rsidP="006D59BB">
      <w:pPr>
        <w:spacing w:before="120" w:after="0" w:line="360" w:lineRule="auto"/>
        <w:jc w:val="both"/>
        <w:rPr>
          <w:rFonts w:ascii="Times New Roman" w:hAnsi="Times New Roman" w:cs="Times New Roman"/>
          <w:sz w:val="24"/>
          <w:szCs w:val="24"/>
        </w:rPr>
      </w:pPr>
      <w:bookmarkStart w:id="26" w:name="_Hlk117836220"/>
      <w:r w:rsidRPr="006D59BB">
        <w:rPr>
          <w:rFonts w:ascii="Times New Roman" w:hAnsi="Times New Roman" w:cs="Times New Roman"/>
          <w:sz w:val="24"/>
          <w:szCs w:val="24"/>
        </w:rPr>
        <w:t>Zmiana w niniejszej ustawie dotyczy odstąpienia od zasady dwuinstancyjności. W ustawie o</w:t>
      </w:r>
      <w:r w:rsidR="00C74181" w:rsidRPr="006D59BB">
        <w:rPr>
          <w:rFonts w:ascii="Times New Roman" w:hAnsi="Times New Roman" w:cs="Times New Roman"/>
          <w:sz w:val="24"/>
          <w:szCs w:val="24"/>
        </w:rPr>
        <w:t> </w:t>
      </w:r>
      <w:r w:rsidRPr="006D59BB">
        <w:rPr>
          <w:rFonts w:ascii="Times New Roman" w:hAnsi="Times New Roman" w:cs="Times New Roman"/>
          <w:sz w:val="24"/>
          <w:szCs w:val="24"/>
        </w:rPr>
        <w:t xml:space="preserve">zawodach lekarza i </w:t>
      </w:r>
      <w:r w:rsidR="00911638" w:rsidRPr="006D59BB">
        <w:rPr>
          <w:rFonts w:ascii="Times New Roman" w:hAnsi="Times New Roman" w:cs="Times New Roman"/>
          <w:sz w:val="24"/>
          <w:szCs w:val="24"/>
        </w:rPr>
        <w:t>lekarza</w:t>
      </w:r>
      <w:r w:rsidRPr="006D59BB">
        <w:rPr>
          <w:rFonts w:ascii="Times New Roman" w:hAnsi="Times New Roman" w:cs="Times New Roman"/>
          <w:sz w:val="24"/>
          <w:szCs w:val="24"/>
        </w:rPr>
        <w:t xml:space="preserve"> dentysty</w:t>
      </w:r>
      <w:r w:rsidR="00911638" w:rsidRPr="006D59BB">
        <w:rPr>
          <w:rFonts w:ascii="Times New Roman" w:hAnsi="Times New Roman" w:cs="Times New Roman"/>
          <w:sz w:val="24"/>
          <w:szCs w:val="24"/>
        </w:rPr>
        <w:t xml:space="preserve"> </w:t>
      </w:r>
      <w:r w:rsidRPr="006D59BB">
        <w:rPr>
          <w:rFonts w:ascii="Times New Roman" w:hAnsi="Times New Roman" w:cs="Times New Roman"/>
          <w:sz w:val="24"/>
          <w:szCs w:val="24"/>
        </w:rPr>
        <w:t xml:space="preserve">art. 16o ust. 4 reguluje skreślenie lekarza pełniącego służbę lub zatrudnionego w podmiocie leczniczym utworzonym przez ministra właściwego do spraw wewnętrznych z rejestru lekarzy odbywających szkolenie specjalizacyjne </w:t>
      </w:r>
      <w:r w:rsidR="002A7638" w:rsidRPr="006D59BB">
        <w:rPr>
          <w:rFonts w:ascii="Times New Roman" w:hAnsi="Times New Roman" w:cs="Times New Roman"/>
          <w:sz w:val="24"/>
          <w:szCs w:val="24"/>
        </w:rPr>
        <w:t>prowadzone</w:t>
      </w:r>
      <w:r w:rsidRPr="006D59BB">
        <w:rPr>
          <w:rFonts w:ascii="Times New Roman" w:hAnsi="Times New Roman" w:cs="Times New Roman"/>
          <w:sz w:val="24"/>
          <w:szCs w:val="24"/>
        </w:rPr>
        <w:t xml:space="preserve"> przez Centrum Medyczne Kształcenia Podyplomowego. Katalog przyczyn uniemożliwiających realizację lub kontynuowanie szkolenia specjalizacyjnego ma charakter zamknięty. Skreślenie lekarza z rejestru lekarzy odbywających szkolenie specjalizacyjne następuje w drodze decyzji, do której zastosowanie mają przepisy Kpa. </w:t>
      </w:r>
    </w:p>
    <w:p w14:paraId="35778632" w14:textId="2EA829E1" w:rsidR="00BD7EBA" w:rsidRPr="006D59BB" w:rsidRDefault="00BD7EBA"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Należy wskazać, że decyzja w przedmiotowej sprawie ma charakter związany, co oznacza, że w</w:t>
      </w:r>
      <w:r w:rsidR="00C74181" w:rsidRPr="006D59BB">
        <w:rPr>
          <w:rFonts w:ascii="Times New Roman" w:hAnsi="Times New Roman" w:cs="Times New Roman"/>
          <w:sz w:val="24"/>
          <w:szCs w:val="24"/>
        </w:rPr>
        <w:t> </w:t>
      </w:r>
      <w:r w:rsidRPr="006D59BB">
        <w:rPr>
          <w:rFonts w:ascii="Times New Roman" w:hAnsi="Times New Roman" w:cs="Times New Roman"/>
          <w:sz w:val="24"/>
          <w:szCs w:val="24"/>
        </w:rPr>
        <w:t>przypadku zaistnienia przes</w:t>
      </w:r>
      <w:r w:rsidR="001529EA" w:rsidRPr="006D59BB">
        <w:rPr>
          <w:rFonts w:ascii="Times New Roman" w:hAnsi="Times New Roman" w:cs="Times New Roman"/>
          <w:sz w:val="24"/>
          <w:szCs w:val="24"/>
        </w:rPr>
        <w:t>łan</w:t>
      </w:r>
      <w:r w:rsidRPr="006D59BB">
        <w:rPr>
          <w:rFonts w:ascii="Times New Roman" w:hAnsi="Times New Roman" w:cs="Times New Roman"/>
          <w:sz w:val="24"/>
          <w:szCs w:val="24"/>
        </w:rPr>
        <w:t xml:space="preserve">ek określonych w art. 16o ust. 1 wskazujących na brak możliwości realizacji lub kontynuowania szkolenia specjalizacyjnego wojewoda, minister obrony narodowej albo minister właściwy do spraw wewnętrznych jest zobowiązany do </w:t>
      </w:r>
      <w:r w:rsidRPr="006D59BB">
        <w:rPr>
          <w:rFonts w:ascii="Times New Roman" w:hAnsi="Times New Roman" w:cs="Times New Roman"/>
          <w:sz w:val="24"/>
          <w:szCs w:val="24"/>
        </w:rPr>
        <w:lastRenderedPageBreak/>
        <w:t xml:space="preserve">wydania decyzji pozytywnej, tj. skreślenia lekarza pełniącego służbę lub zatrudnionego w podmiocie leczniczym utworzonym przez tego ministra z rejestru lekarzy odbywających szkolenie specjalizacyjne. </w:t>
      </w:r>
    </w:p>
    <w:p w14:paraId="53429A62" w14:textId="648EA8AB" w:rsidR="00115575" w:rsidRPr="006D59BB" w:rsidRDefault="00115575" w:rsidP="006D59BB">
      <w:pPr>
        <w:pStyle w:val="Styl1"/>
        <w:spacing w:before="120" w:after="0" w:line="360" w:lineRule="auto"/>
        <w:rPr>
          <w:sz w:val="24"/>
          <w:szCs w:val="24"/>
        </w:rPr>
      </w:pPr>
      <w:bookmarkStart w:id="27" w:name="_Toc192358916"/>
      <w:bookmarkEnd w:id="26"/>
      <w:r w:rsidRPr="006D59BB">
        <w:rPr>
          <w:sz w:val="24"/>
          <w:szCs w:val="24"/>
        </w:rPr>
        <w:t>Ustawa z dnia 29 sierpnia 1997 r. – Ordynacja podatkowa</w:t>
      </w:r>
      <w:bookmarkEnd w:id="27"/>
    </w:p>
    <w:p w14:paraId="1ABFA6D8" w14:textId="1F695362" w:rsidR="003057CA" w:rsidRPr="006D59BB" w:rsidRDefault="003057CA" w:rsidP="006D59BB">
      <w:pPr>
        <w:pStyle w:val="Akapitzlist"/>
        <w:numPr>
          <w:ilvl w:val="0"/>
          <w:numId w:val="16"/>
        </w:numPr>
        <w:tabs>
          <w:tab w:val="left" w:pos="426"/>
        </w:tabs>
        <w:spacing w:before="120" w:after="0" w:line="360" w:lineRule="auto"/>
        <w:ind w:left="0" w:firstLine="0"/>
        <w:jc w:val="both"/>
        <w:rPr>
          <w:rFonts w:ascii="Times New Roman" w:hAnsi="Times New Roman" w:cs="Times New Roman"/>
          <w:sz w:val="24"/>
          <w:szCs w:val="24"/>
        </w:rPr>
      </w:pPr>
      <w:r w:rsidRPr="006D59BB">
        <w:rPr>
          <w:rFonts w:ascii="Times New Roman" w:hAnsi="Times New Roman" w:cs="Times New Roman"/>
          <w:sz w:val="24"/>
          <w:szCs w:val="24"/>
        </w:rPr>
        <w:t>Umarzanie zawieszonych postępowań</w:t>
      </w:r>
    </w:p>
    <w:p w14:paraId="45705F1F" w14:textId="26447D9E" w:rsidR="003057CA" w:rsidRPr="006D59BB" w:rsidRDefault="003057CA"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W art. 201 § 5 Ordynacji podatkowej wprowadza się przepis określający termin, po upływie którego postępowanie zawieszone z przyczyn obligatoryjnych, w oparciu o podstawy wymienione w art. 201 § 1 pkt 1, 1a, 3 i 4 Ordynacji podatkowej, będzie mogło ulec umorzeniu, o ile nie będą sprzeciwiać się temu pozostałe strony oraz nie będzie zagrażało to interesowi publicznemu.</w:t>
      </w:r>
    </w:p>
    <w:p w14:paraId="02FDFA03" w14:textId="77777777" w:rsidR="003057CA" w:rsidRPr="006D59BB" w:rsidRDefault="003057CA"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 xml:space="preserve">Przyjęto, że umorzenie zawieszonego postępowania nastąpi, gdy zaistniałe przeszkody do kontynuowania postępowania nie zostaną usunięte w terminie trzech lat od daty zawieszenia postępowania. </w:t>
      </w:r>
    </w:p>
    <w:p w14:paraId="646CFF15" w14:textId="77777777" w:rsidR="003057CA" w:rsidRPr="006D59BB" w:rsidRDefault="003057CA"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Wprowadzenie przepisu w odniesieniu do postępowań obligatoryjnie zawieszonych na podstawie przesłanek z art. 201 § 1 pkt 1, 1a, 3 i 4 Ordynacji podatkowej, ma charakter porządkujący system prawny i ma zapobiegać sytuacji wieloletniego zawieszenia postępowania podatkowego, w przypadku, np. gdy strony postępowania nie są już zainteresowane wydaniem danego rozstrzygnięcia i nie podejmują własnych działań lub nie współpracują z organem administracji publicznej, w celu usunięcia przeszkody do dalszego prowadzenia postępowania.</w:t>
      </w:r>
    </w:p>
    <w:p w14:paraId="4482B919" w14:textId="20C7CC73" w:rsidR="003057CA" w:rsidRPr="006D59BB" w:rsidRDefault="003057CA"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 xml:space="preserve">Przepis odnosi się do zawieszenia postępowania </w:t>
      </w:r>
      <w:r w:rsidR="008D3DB5" w:rsidRPr="006D59BB">
        <w:rPr>
          <w:rFonts w:ascii="Times New Roman" w:hAnsi="Times New Roman" w:cs="Times New Roman"/>
          <w:sz w:val="24"/>
          <w:szCs w:val="24"/>
        </w:rPr>
        <w:t xml:space="preserve">m.in. </w:t>
      </w:r>
      <w:r w:rsidRPr="006D59BB">
        <w:rPr>
          <w:rFonts w:ascii="Times New Roman" w:hAnsi="Times New Roman" w:cs="Times New Roman"/>
          <w:sz w:val="24"/>
          <w:szCs w:val="24"/>
        </w:rPr>
        <w:t xml:space="preserve">w przypadku śmierci strony, przedstawiciela ustawowego </w:t>
      </w:r>
      <w:r w:rsidR="008D3DB5" w:rsidRPr="006D59BB">
        <w:rPr>
          <w:rFonts w:ascii="Times New Roman" w:hAnsi="Times New Roman" w:cs="Times New Roman"/>
          <w:sz w:val="24"/>
          <w:szCs w:val="24"/>
        </w:rPr>
        <w:t xml:space="preserve">strony </w:t>
      </w:r>
      <w:r w:rsidRPr="006D59BB">
        <w:rPr>
          <w:rFonts w:ascii="Times New Roman" w:hAnsi="Times New Roman" w:cs="Times New Roman"/>
          <w:sz w:val="24"/>
          <w:szCs w:val="24"/>
        </w:rPr>
        <w:t xml:space="preserve">bądź utraty przez stronę lub przez jej ustawowego przedstawiciela zdolności do czynności prawnych, a więc brak jest możliwości wskazania, kto jest obecnie stroną po śmierci </w:t>
      </w:r>
      <w:r w:rsidR="008D3DB5" w:rsidRPr="006D59BB">
        <w:rPr>
          <w:rFonts w:ascii="Times New Roman" w:hAnsi="Times New Roman" w:cs="Times New Roman"/>
          <w:sz w:val="24"/>
          <w:szCs w:val="24"/>
        </w:rPr>
        <w:t xml:space="preserve">dotychczasowej </w:t>
      </w:r>
      <w:r w:rsidRPr="006D59BB">
        <w:rPr>
          <w:rFonts w:ascii="Times New Roman" w:hAnsi="Times New Roman" w:cs="Times New Roman"/>
          <w:sz w:val="24"/>
          <w:szCs w:val="24"/>
        </w:rPr>
        <w:t>strony</w:t>
      </w:r>
      <w:r w:rsidR="008D3DB5" w:rsidRPr="006D59BB">
        <w:rPr>
          <w:rFonts w:ascii="Times New Roman" w:hAnsi="Times New Roman" w:cs="Times New Roman"/>
          <w:sz w:val="24"/>
          <w:szCs w:val="24"/>
        </w:rPr>
        <w:t>, brak jest możliwości wskazania przedstawiciela ustawowego strony</w:t>
      </w:r>
      <w:r w:rsidRPr="006D59BB">
        <w:rPr>
          <w:rFonts w:ascii="Times New Roman" w:hAnsi="Times New Roman" w:cs="Times New Roman"/>
          <w:sz w:val="24"/>
          <w:szCs w:val="24"/>
        </w:rPr>
        <w:t xml:space="preserve"> bądź</w:t>
      </w:r>
      <w:r w:rsidR="008D3DB5" w:rsidRPr="006D59BB">
        <w:rPr>
          <w:rFonts w:ascii="Times New Roman" w:hAnsi="Times New Roman" w:cs="Times New Roman"/>
          <w:sz w:val="24"/>
          <w:szCs w:val="24"/>
        </w:rPr>
        <w:t xml:space="preserve"> zachodzi</w:t>
      </w:r>
      <w:r w:rsidRPr="006D59BB">
        <w:rPr>
          <w:rFonts w:ascii="Times New Roman" w:hAnsi="Times New Roman" w:cs="Times New Roman"/>
          <w:sz w:val="24"/>
          <w:szCs w:val="24"/>
        </w:rPr>
        <w:t xml:space="preserve"> niemożność działania strony w </w:t>
      </w:r>
      <w:r w:rsidR="00091F69" w:rsidRPr="006D59BB">
        <w:rPr>
          <w:rFonts w:ascii="Times New Roman" w:hAnsi="Times New Roman" w:cs="Times New Roman"/>
          <w:sz w:val="24"/>
          <w:szCs w:val="24"/>
        </w:rPr>
        <w:t xml:space="preserve">postępowaniu </w:t>
      </w:r>
      <w:r w:rsidRPr="006D59BB">
        <w:rPr>
          <w:rFonts w:ascii="Times New Roman" w:hAnsi="Times New Roman" w:cs="Times New Roman"/>
          <w:sz w:val="24"/>
          <w:szCs w:val="24"/>
        </w:rPr>
        <w:t>ze względu utratę przez stronę lub przez jej ustawowego przedstawiciela zdolności do czynności prawnych. Niemniej należy mieć na uwadze, że w</w:t>
      </w:r>
      <w:r w:rsidR="006F3E02" w:rsidRPr="006D59BB">
        <w:rPr>
          <w:rFonts w:ascii="Times New Roman" w:hAnsi="Times New Roman" w:cs="Times New Roman"/>
          <w:sz w:val="24"/>
          <w:szCs w:val="24"/>
        </w:rPr>
        <w:t> </w:t>
      </w:r>
      <w:r w:rsidRPr="006D59BB">
        <w:rPr>
          <w:rFonts w:ascii="Times New Roman" w:hAnsi="Times New Roman" w:cs="Times New Roman"/>
          <w:sz w:val="24"/>
          <w:szCs w:val="24"/>
        </w:rPr>
        <w:t>postępowaniu obok ww. stron mogą również uczestniczyć pozostałe strony, które powinny zgodzić się na umorzenie postępowania. W</w:t>
      </w:r>
      <w:r w:rsidR="00E6226B" w:rsidRPr="006D59BB">
        <w:rPr>
          <w:rFonts w:ascii="Times New Roman" w:hAnsi="Times New Roman" w:cs="Times New Roman"/>
          <w:sz w:val="24"/>
          <w:szCs w:val="24"/>
        </w:rPr>
        <w:t> </w:t>
      </w:r>
      <w:r w:rsidRPr="006D59BB">
        <w:rPr>
          <w:rFonts w:ascii="Times New Roman" w:hAnsi="Times New Roman" w:cs="Times New Roman"/>
          <w:sz w:val="24"/>
          <w:szCs w:val="24"/>
        </w:rPr>
        <w:t>związku z tym</w:t>
      </w:r>
      <w:r w:rsidR="0035047F" w:rsidRPr="006D59BB">
        <w:rPr>
          <w:rFonts w:ascii="Times New Roman" w:hAnsi="Times New Roman" w:cs="Times New Roman"/>
          <w:sz w:val="24"/>
          <w:szCs w:val="24"/>
        </w:rPr>
        <w:t>,</w:t>
      </w:r>
      <w:r w:rsidRPr="006D59BB">
        <w:rPr>
          <w:rFonts w:ascii="Times New Roman" w:hAnsi="Times New Roman" w:cs="Times New Roman"/>
          <w:sz w:val="24"/>
          <w:szCs w:val="24"/>
        </w:rPr>
        <w:t xml:space="preserve"> w art. 201 § 5 Ordynacji podatkowej uzależniono umorzenie postępowania od braku wniesienia sprzeciwu pozostałych stron postępowania, innych niż wymienione w art. 201 § 1 pkt 1, 1a, 3 i 4 Ordynacji podatkowej. </w:t>
      </w:r>
      <w:r w:rsidR="001C32B6" w:rsidRPr="006D59BB">
        <w:rPr>
          <w:rFonts w:ascii="Times New Roman" w:hAnsi="Times New Roman" w:cs="Times New Roman"/>
          <w:sz w:val="24"/>
          <w:szCs w:val="24"/>
        </w:rPr>
        <w:t xml:space="preserve">Wniesienie sprzeciwu będzie możliwe w terminie 7 dni od dnia doręczenia pisma przez organ podatkowy. Jednocześnie wskazano, że organ podatkowy nie wydaje decyzji o umorzeniu postępowania w </w:t>
      </w:r>
      <w:r w:rsidR="001C32B6" w:rsidRPr="006D59BB">
        <w:rPr>
          <w:rFonts w:ascii="Times New Roman" w:hAnsi="Times New Roman" w:cs="Times New Roman"/>
          <w:sz w:val="24"/>
          <w:szCs w:val="24"/>
        </w:rPr>
        <w:lastRenderedPageBreak/>
        <w:t>przypadku wniesienia sprzeciwu w ww. terminie przez pozostałe strony postępowania, inne niż wymienione w § 1 pkt 1, 1a, 3 i 4, albo przez jedną z tych stron.</w:t>
      </w:r>
    </w:p>
    <w:p w14:paraId="6603D736" w14:textId="7C05685A" w:rsidR="003057CA" w:rsidRPr="006D59BB" w:rsidRDefault="003057CA"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Jednocześnie, jeżeli w okresie trzech lat od daty zawieszenia postępowania nie zostały usunięte przeszkody do dalszego prowadzenia postępowania, o których mowa w art. 201 § 1 pkt 1, 1a, 3 i 4 Ordynacji podatkowej, organ podatkowy planujący wydanie decyzji o umorzeniu postępowania, przed jej wydaniem, zobowiązany został zwrócić się w formie zwykłego pisma o stanowisko stron w</w:t>
      </w:r>
      <w:r w:rsidR="00E6226B" w:rsidRPr="006D59BB">
        <w:rPr>
          <w:rFonts w:ascii="Times New Roman" w:hAnsi="Times New Roman" w:cs="Times New Roman"/>
          <w:sz w:val="24"/>
          <w:szCs w:val="24"/>
        </w:rPr>
        <w:t> </w:t>
      </w:r>
      <w:r w:rsidRPr="006D59BB">
        <w:rPr>
          <w:rFonts w:ascii="Times New Roman" w:hAnsi="Times New Roman" w:cs="Times New Roman"/>
          <w:sz w:val="24"/>
          <w:szCs w:val="24"/>
        </w:rPr>
        <w:t xml:space="preserve">przedmiocie planowanego umorzenia postępowania, wyznaczając stronom siedmiodniowy termin na wniesienie sprzeciwu. </w:t>
      </w:r>
    </w:p>
    <w:p w14:paraId="3C64185F" w14:textId="4B2CCAED" w:rsidR="003057CA" w:rsidRPr="006D59BB" w:rsidRDefault="003057CA"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 xml:space="preserve">W art. 201 § 7 Ordynacji podatkowej uregulowano, aby w przypadku umorzenia postępowania decyzja w tym zakresie dla stron, o których mowa w art. 201 § 1 pkt 1, 1a, 3 i 4 Ordynacji podatkowej, pozostawiana była w aktach sprawy ze względu na to, że strony te są już albo nieznane albo niezdolne do czynności prawnych. </w:t>
      </w:r>
    </w:p>
    <w:p w14:paraId="6707C19C" w14:textId="77777777" w:rsidR="003057CA" w:rsidRPr="006D59BB" w:rsidRDefault="003057CA"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Jednocześnie nie będzie możliwości umorzenia postępowania z ww. powodu w przypadku, gdy postępowanie administracyjne zostało wszczęte z urzędu. Należy zauważyć, że w takim przypadku postępowanie jest wszczynane zazwyczaj w związku z nałożeniem obowiązku podatkowego na stronę. Zatem organ podatkowy powinien w takim przypadku dążyć do usunięcia przeszkody do dalszego prowadzenia postępowania w celu wyegzekwowania należnych od strony zobowiązań.</w:t>
      </w:r>
    </w:p>
    <w:p w14:paraId="4053CDF2" w14:textId="77777777" w:rsidR="00853089" w:rsidRPr="006D59BB" w:rsidRDefault="00853089" w:rsidP="006D59BB">
      <w:pPr>
        <w:spacing w:before="120" w:after="0" w:line="360" w:lineRule="auto"/>
        <w:jc w:val="both"/>
        <w:rPr>
          <w:rFonts w:ascii="Times New Roman" w:eastAsia="Calibri" w:hAnsi="Times New Roman" w:cs="Times New Roman"/>
          <w:kern w:val="0"/>
          <w:sz w:val="24"/>
          <w:szCs w:val="24"/>
          <w14:ligatures w14:val="none"/>
        </w:rPr>
      </w:pPr>
      <w:r w:rsidRPr="006D59BB">
        <w:rPr>
          <w:rFonts w:ascii="Times New Roman" w:eastAsia="Calibri" w:hAnsi="Times New Roman" w:cs="Times New Roman"/>
          <w:kern w:val="0"/>
          <w:sz w:val="24"/>
          <w:szCs w:val="24"/>
          <w14:ligatures w14:val="none"/>
        </w:rPr>
        <w:t>Zmiana w art. 81b § 2a Ordynacji podatkowej ma charakter dostosowawczy i polega na uzupełnieniu treści zdania pierwszego o przypadek, o którym mowa w art. 201 § 5.</w:t>
      </w:r>
    </w:p>
    <w:p w14:paraId="5E1B0CC8" w14:textId="77777777" w:rsidR="00C66BFB" w:rsidRPr="006D59BB" w:rsidRDefault="00C66BFB" w:rsidP="006D59BB">
      <w:pPr>
        <w:pStyle w:val="Akapitzlist"/>
        <w:numPr>
          <w:ilvl w:val="0"/>
          <w:numId w:val="16"/>
        </w:numPr>
        <w:tabs>
          <w:tab w:val="left" w:pos="426"/>
        </w:tabs>
        <w:spacing w:before="120" w:after="0" w:line="360" w:lineRule="auto"/>
        <w:ind w:left="0" w:firstLine="0"/>
        <w:jc w:val="both"/>
        <w:rPr>
          <w:rFonts w:ascii="Times New Roman" w:hAnsi="Times New Roman" w:cs="Times New Roman"/>
          <w:sz w:val="24"/>
          <w:szCs w:val="24"/>
        </w:rPr>
      </w:pPr>
      <w:r w:rsidRPr="006D59BB">
        <w:rPr>
          <w:rFonts w:ascii="Times New Roman" w:hAnsi="Times New Roman" w:cs="Times New Roman"/>
          <w:sz w:val="24"/>
          <w:szCs w:val="24"/>
        </w:rPr>
        <w:t>Nowe elementy treści zawiadomienia o zamiarze wszczęcia kontroli podatkowej.</w:t>
      </w:r>
    </w:p>
    <w:p w14:paraId="23E71054" w14:textId="77777777" w:rsidR="00C66BFB" w:rsidRPr="006D59BB" w:rsidRDefault="00C66BFB" w:rsidP="006D59BB">
      <w:pPr>
        <w:spacing w:before="120" w:after="0" w:line="360" w:lineRule="auto"/>
        <w:jc w:val="both"/>
        <w:rPr>
          <w:rFonts w:ascii="Times New Roman" w:eastAsia="Calibri" w:hAnsi="Times New Roman" w:cs="Times New Roman"/>
          <w:kern w:val="0"/>
          <w:sz w:val="24"/>
          <w:szCs w:val="24"/>
          <w14:ligatures w14:val="none"/>
        </w:rPr>
      </w:pPr>
      <w:r w:rsidRPr="006D59BB">
        <w:rPr>
          <w:rFonts w:ascii="Times New Roman" w:eastAsia="Calibri" w:hAnsi="Times New Roman" w:cs="Times New Roman"/>
          <w:kern w:val="0"/>
          <w:sz w:val="24"/>
          <w:szCs w:val="24"/>
          <w14:ligatures w14:val="none"/>
        </w:rPr>
        <w:t>W związku z uzupełnieniem w art. 48 ust. 3 ustawy – Prawo przedsiębiorców elementów treści zawiadomienia o zamiarze wszczęcia kontroli, konieczna jest zmiana dostosowawcza w art. 282b § 4 Ordynacji podatkowej dotyczącym zawiadomienia o zamiarze wszczęcia kontroli podatkowej.</w:t>
      </w:r>
    </w:p>
    <w:p w14:paraId="1ABCD9B2" w14:textId="1E60BEFE" w:rsidR="009B4497" w:rsidRPr="006D59BB" w:rsidRDefault="00115575" w:rsidP="006D59BB">
      <w:pPr>
        <w:pStyle w:val="Styl1"/>
        <w:spacing w:before="120" w:after="0" w:line="360" w:lineRule="auto"/>
        <w:rPr>
          <w:rFonts w:eastAsia="Calibri"/>
          <w:sz w:val="24"/>
          <w:szCs w:val="24"/>
        </w:rPr>
      </w:pPr>
      <w:bookmarkStart w:id="28" w:name="_Toc192358917"/>
      <w:r w:rsidRPr="006D59BB">
        <w:rPr>
          <w:sz w:val="24"/>
          <w:szCs w:val="24"/>
        </w:rPr>
        <w:t xml:space="preserve">Ustawa z </w:t>
      </w:r>
      <w:r w:rsidR="007E7B73" w:rsidRPr="006D59BB">
        <w:rPr>
          <w:sz w:val="24"/>
          <w:szCs w:val="24"/>
        </w:rPr>
        <w:t>dnia</w:t>
      </w:r>
      <w:r w:rsidRPr="006D59BB">
        <w:rPr>
          <w:sz w:val="24"/>
          <w:szCs w:val="24"/>
        </w:rPr>
        <w:t xml:space="preserve"> 29 sierpnia 1997 r. – Prawo bankowe</w:t>
      </w:r>
      <w:bookmarkEnd w:id="28"/>
      <w:r w:rsidR="00C656EB">
        <w:rPr>
          <w:sz w:val="24"/>
          <w:szCs w:val="24"/>
        </w:rPr>
        <w:t xml:space="preserve"> </w:t>
      </w:r>
    </w:p>
    <w:p w14:paraId="59F851D6" w14:textId="239FD280" w:rsidR="009B4497" w:rsidRPr="006D59BB" w:rsidRDefault="009B4497" w:rsidP="006D59BB">
      <w:pPr>
        <w:spacing w:before="120" w:after="0" w:line="360" w:lineRule="auto"/>
        <w:jc w:val="both"/>
        <w:rPr>
          <w:rFonts w:ascii="Times New Roman" w:eastAsia="Calibri" w:hAnsi="Times New Roman" w:cs="Times New Roman"/>
          <w:kern w:val="0"/>
          <w:sz w:val="24"/>
          <w:szCs w:val="24"/>
          <w14:ligatures w14:val="none"/>
        </w:rPr>
      </w:pPr>
      <w:r w:rsidRPr="006D59BB">
        <w:rPr>
          <w:rFonts w:ascii="Times New Roman" w:eastAsia="Calibri" w:hAnsi="Times New Roman" w:cs="Times New Roman"/>
          <w:kern w:val="0"/>
          <w:sz w:val="24"/>
          <w:szCs w:val="24"/>
          <w14:ligatures w14:val="none"/>
        </w:rPr>
        <w:t>Możliwość prowadzenia rachunku wspólnego dla kilku funduszy inwestycyjnych jest niezbędna w</w:t>
      </w:r>
      <w:r w:rsidR="00C74181" w:rsidRPr="006D59BB">
        <w:rPr>
          <w:rFonts w:ascii="Times New Roman" w:eastAsia="Calibri" w:hAnsi="Times New Roman" w:cs="Times New Roman"/>
          <w:kern w:val="0"/>
          <w:sz w:val="24"/>
          <w:szCs w:val="24"/>
          <w14:ligatures w14:val="none"/>
        </w:rPr>
        <w:t> </w:t>
      </w:r>
      <w:r w:rsidRPr="006D59BB">
        <w:rPr>
          <w:rFonts w:ascii="Times New Roman" w:eastAsia="Calibri" w:hAnsi="Times New Roman" w:cs="Times New Roman"/>
          <w:kern w:val="0"/>
          <w:sz w:val="24"/>
          <w:szCs w:val="24"/>
          <w14:ligatures w14:val="none"/>
        </w:rPr>
        <w:t>przypadku oferowania przez TFI produktów oszczędnościowych, w tym produktów emerytalnych, w</w:t>
      </w:r>
      <w:r w:rsidR="00E6226B" w:rsidRPr="006D59BB">
        <w:rPr>
          <w:rFonts w:ascii="Times New Roman" w:eastAsia="Calibri" w:hAnsi="Times New Roman" w:cs="Times New Roman"/>
          <w:kern w:val="0"/>
          <w:sz w:val="24"/>
          <w:szCs w:val="24"/>
          <w14:ligatures w14:val="none"/>
        </w:rPr>
        <w:t> </w:t>
      </w:r>
      <w:r w:rsidRPr="006D59BB">
        <w:rPr>
          <w:rFonts w:ascii="Times New Roman" w:eastAsia="Calibri" w:hAnsi="Times New Roman" w:cs="Times New Roman"/>
          <w:kern w:val="0"/>
          <w:sz w:val="24"/>
          <w:szCs w:val="24"/>
          <w14:ligatures w14:val="none"/>
        </w:rPr>
        <w:t>ramach Pracowniczych Programów Emerytalnych (ustawa z dnia 20 kwietnia 2004 r. o</w:t>
      </w:r>
      <w:r w:rsidR="00C74181" w:rsidRPr="006D59BB">
        <w:rPr>
          <w:rFonts w:ascii="Times New Roman" w:eastAsia="Calibri" w:hAnsi="Times New Roman" w:cs="Times New Roman"/>
          <w:kern w:val="0"/>
          <w:sz w:val="24"/>
          <w:szCs w:val="24"/>
          <w14:ligatures w14:val="none"/>
        </w:rPr>
        <w:t> </w:t>
      </w:r>
      <w:r w:rsidRPr="006D59BB">
        <w:rPr>
          <w:rFonts w:ascii="Times New Roman" w:eastAsia="Calibri" w:hAnsi="Times New Roman" w:cs="Times New Roman"/>
          <w:kern w:val="0"/>
          <w:sz w:val="24"/>
          <w:szCs w:val="24"/>
          <w14:ligatures w14:val="none"/>
        </w:rPr>
        <w:t>pracowniczych programach emerytalnych</w:t>
      </w:r>
      <w:r w:rsidR="002A7638" w:rsidRPr="006D59BB">
        <w:rPr>
          <w:rFonts w:ascii="Times New Roman" w:eastAsia="Calibri" w:hAnsi="Times New Roman" w:cs="Times New Roman"/>
          <w:kern w:val="0"/>
          <w:sz w:val="24"/>
          <w:szCs w:val="24"/>
          <w14:ligatures w14:val="none"/>
        </w:rPr>
        <w:t>)</w:t>
      </w:r>
      <w:r w:rsidRPr="006D59BB">
        <w:rPr>
          <w:rFonts w:ascii="Times New Roman" w:eastAsia="Calibri" w:hAnsi="Times New Roman" w:cs="Times New Roman"/>
          <w:kern w:val="0"/>
          <w:sz w:val="24"/>
          <w:szCs w:val="24"/>
          <w14:ligatures w14:val="none"/>
        </w:rPr>
        <w:t xml:space="preserve"> oraz w ramach pozaustawowych programów oszczędnościowych opartych na ofercie produktowej TFI. </w:t>
      </w:r>
      <w:r w:rsidRPr="006D59BB">
        <w:rPr>
          <w:rFonts w:ascii="Times New Roman" w:eastAsia="Calibri" w:hAnsi="Times New Roman" w:cs="Times New Roman"/>
          <w:kern w:val="0"/>
          <w:sz w:val="24"/>
          <w:szCs w:val="24"/>
          <w14:ligatures w14:val="none"/>
        </w:rPr>
        <w:lastRenderedPageBreak/>
        <w:t>Programy tego typu są dodatkowymi programami wynagradzania pracowników przez pracodawcę (klienta TFI), a więc muszą być atrakcyjne, posiadać szeroką gamę funduszy, powinny wymagać minimum obsługi ze strony pracodawcy, a także spełniać wymogi bezpieczeństwa wpłacanych środków. Wpłaty pracodawcy powinny odbywać się na jeden rachunek bankowy, należący do funduszy inwestycyjnych, a nie na rachunek TFI.</w:t>
      </w:r>
    </w:p>
    <w:p w14:paraId="26686638" w14:textId="77777777" w:rsidR="009B4497" w:rsidRPr="006D59BB" w:rsidRDefault="009B4497" w:rsidP="006D59BB">
      <w:pPr>
        <w:spacing w:before="120" w:after="0" w:line="360" w:lineRule="auto"/>
        <w:jc w:val="both"/>
        <w:rPr>
          <w:rFonts w:ascii="Times New Roman" w:eastAsia="Calibri" w:hAnsi="Times New Roman" w:cs="Times New Roman"/>
          <w:kern w:val="0"/>
          <w:sz w:val="24"/>
          <w:szCs w:val="24"/>
          <w14:ligatures w14:val="none"/>
        </w:rPr>
      </w:pPr>
      <w:r w:rsidRPr="006D59BB">
        <w:rPr>
          <w:rFonts w:ascii="Times New Roman" w:eastAsia="Calibri" w:hAnsi="Times New Roman" w:cs="Times New Roman"/>
          <w:kern w:val="0"/>
          <w:sz w:val="24"/>
          <w:szCs w:val="24"/>
          <w14:ligatures w14:val="none"/>
        </w:rPr>
        <w:t>Nie bez znaczenia jest też fakt, że prowadzenie wspólnego rachunku dla funduszy inwestycyjnych będzie również niezbędne w przypadku oferowania przez TFI programów/produktów oszczędnościowych w ramach ogólnoeuropejskiego indywidualnego produktu emerytalnego.</w:t>
      </w:r>
    </w:p>
    <w:p w14:paraId="0E264644" w14:textId="4D72D136" w:rsidR="009B4497" w:rsidRPr="006D59BB" w:rsidRDefault="009B4497" w:rsidP="006D59BB">
      <w:pPr>
        <w:spacing w:before="120" w:after="0" w:line="360" w:lineRule="auto"/>
        <w:jc w:val="both"/>
        <w:rPr>
          <w:rFonts w:ascii="Times New Roman" w:eastAsia="Calibri" w:hAnsi="Times New Roman" w:cs="Times New Roman"/>
          <w:kern w:val="0"/>
          <w:sz w:val="24"/>
          <w:szCs w:val="24"/>
          <w14:ligatures w14:val="none"/>
        </w:rPr>
      </w:pPr>
      <w:r w:rsidRPr="006D59BB">
        <w:rPr>
          <w:rFonts w:ascii="Times New Roman" w:eastAsia="Calibri" w:hAnsi="Times New Roman" w:cs="Times New Roman"/>
          <w:kern w:val="0"/>
          <w:sz w:val="24"/>
          <w:szCs w:val="24"/>
          <w14:ligatures w14:val="none"/>
        </w:rPr>
        <w:t>Możliwość wpłaty środków przez pracodawców na wspólny rachunek funduszy inwestycyjnych (w</w:t>
      </w:r>
      <w:r w:rsidR="00C74181" w:rsidRPr="006D59BB">
        <w:rPr>
          <w:rFonts w:ascii="Times New Roman" w:eastAsia="Calibri" w:hAnsi="Times New Roman" w:cs="Times New Roman"/>
          <w:kern w:val="0"/>
          <w:sz w:val="24"/>
          <w:szCs w:val="24"/>
          <w14:ligatures w14:val="none"/>
        </w:rPr>
        <w:t> </w:t>
      </w:r>
      <w:r w:rsidRPr="006D59BB">
        <w:rPr>
          <w:rFonts w:ascii="Times New Roman" w:eastAsia="Calibri" w:hAnsi="Times New Roman" w:cs="Times New Roman"/>
          <w:kern w:val="0"/>
          <w:sz w:val="24"/>
          <w:szCs w:val="24"/>
          <w14:ligatures w14:val="none"/>
        </w:rPr>
        <w:t>ramach tego samego TFI) zapewni bezpieczeństwo wpłacanych środków ‒ wpłaty bezpośrednio na rachunek funduszu oraz aktywa funduszy inwestycyjnych nie wchodzą do masy upadłości towarzystwa ani depozytariusza oraz nie mogą być objęte postępowaniem restrukturyzacyjnym.</w:t>
      </w:r>
    </w:p>
    <w:p w14:paraId="6D6262F6" w14:textId="5FCFACE1" w:rsidR="009B4497" w:rsidRPr="006D59BB" w:rsidRDefault="009B4497" w:rsidP="006D59BB">
      <w:pPr>
        <w:spacing w:before="120" w:after="0" w:line="360" w:lineRule="auto"/>
        <w:jc w:val="both"/>
        <w:rPr>
          <w:rFonts w:ascii="Times New Roman" w:eastAsia="Calibri" w:hAnsi="Times New Roman" w:cs="Times New Roman"/>
          <w:kern w:val="0"/>
          <w:sz w:val="24"/>
          <w:szCs w:val="24"/>
          <w14:ligatures w14:val="none"/>
        </w:rPr>
      </w:pPr>
      <w:r w:rsidRPr="006D59BB">
        <w:rPr>
          <w:rFonts w:ascii="Times New Roman" w:eastAsia="Calibri" w:hAnsi="Times New Roman" w:cs="Times New Roman"/>
          <w:kern w:val="0"/>
          <w:sz w:val="24"/>
          <w:szCs w:val="24"/>
          <w14:ligatures w14:val="none"/>
        </w:rPr>
        <w:t>Możliwość prowadzenia rachunku wspólnego powinna obejmować fundusze inwestycyjne oferujące nie tylko ustawowe programy emerytalne (PPK, PPE, IKE, IKZE, OIPE) ale również pozaustawowe programy oszczędnościowe. Towarzystwa funduszy inwestycyjnych oferują szereg pozaustawowych pracowniczych programów oszczędnościowych (kierowanych do pracowników danego pracodawcy lub ich grup) lub wyspecjalizowanych programów inwestycyjnych (mających charakter planów systematycznego oszczędzania bez względu na cel – emerytalny lub oszczędnościowy). Programy te mogą być oparte o ofertę kilku funduszy inwestycyjnych typu FIO i SFIO.</w:t>
      </w:r>
    </w:p>
    <w:p w14:paraId="727B6369" w14:textId="6E0C6366" w:rsidR="009B4497" w:rsidRPr="006D59BB" w:rsidRDefault="009B4497" w:rsidP="006D59BB">
      <w:pPr>
        <w:spacing w:before="120" w:after="0" w:line="360" w:lineRule="auto"/>
        <w:jc w:val="both"/>
        <w:rPr>
          <w:rFonts w:ascii="Times New Roman" w:eastAsia="Calibri" w:hAnsi="Times New Roman" w:cs="Times New Roman"/>
          <w:kern w:val="0"/>
          <w:sz w:val="24"/>
          <w:szCs w:val="24"/>
          <w14:ligatures w14:val="none"/>
        </w:rPr>
      </w:pPr>
      <w:r w:rsidRPr="006D59BB">
        <w:rPr>
          <w:rFonts w:ascii="Times New Roman" w:eastAsia="Calibri" w:hAnsi="Times New Roman" w:cs="Times New Roman"/>
          <w:kern w:val="0"/>
          <w:sz w:val="24"/>
          <w:szCs w:val="24"/>
          <w14:ligatures w14:val="none"/>
        </w:rPr>
        <w:t>Postulat ten wynika z chęci zapewnienia podmiotom finansującym wpłaty do ww. programów (m.in. pracodawcy dla swoich pracowników lub też indywidualne osoby fizyczne), minimum obciążeń o</w:t>
      </w:r>
      <w:r w:rsidR="00C74181" w:rsidRPr="006D59BB">
        <w:rPr>
          <w:rFonts w:ascii="Times New Roman" w:eastAsia="Calibri" w:hAnsi="Times New Roman" w:cs="Times New Roman"/>
          <w:kern w:val="0"/>
          <w:sz w:val="24"/>
          <w:szCs w:val="24"/>
          <w14:ligatures w14:val="none"/>
        </w:rPr>
        <w:t> </w:t>
      </w:r>
      <w:r w:rsidRPr="006D59BB">
        <w:rPr>
          <w:rFonts w:ascii="Times New Roman" w:eastAsia="Calibri" w:hAnsi="Times New Roman" w:cs="Times New Roman"/>
          <w:kern w:val="0"/>
          <w:sz w:val="24"/>
          <w:szCs w:val="24"/>
          <w14:ligatures w14:val="none"/>
        </w:rPr>
        <w:t>charakterze technicznym, które związane są z dokonywaniem wpłat do tych programów. W</w:t>
      </w:r>
      <w:r w:rsidR="00C74181" w:rsidRPr="006D59BB">
        <w:rPr>
          <w:rFonts w:ascii="Times New Roman" w:eastAsia="Calibri" w:hAnsi="Times New Roman" w:cs="Times New Roman"/>
          <w:kern w:val="0"/>
          <w:sz w:val="24"/>
          <w:szCs w:val="24"/>
          <w14:ligatures w14:val="none"/>
        </w:rPr>
        <w:t> </w:t>
      </w:r>
      <w:r w:rsidRPr="006D59BB">
        <w:rPr>
          <w:rFonts w:ascii="Times New Roman" w:eastAsia="Calibri" w:hAnsi="Times New Roman" w:cs="Times New Roman"/>
          <w:kern w:val="0"/>
          <w:sz w:val="24"/>
          <w:szCs w:val="24"/>
          <w14:ligatures w14:val="none"/>
        </w:rPr>
        <w:t>przypadku odrębnie prowadzonych rachunków bankowych dla każdego funduszu, wpłacający (pracodawca) zobowiązany jest dokonywać odrębnych wpłat na te rachunki. Pracodawca nie ma wiedzy</w:t>
      </w:r>
      <w:r w:rsidR="00B62999" w:rsidRPr="006D59BB">
        <w:rPr>
          <w:rFonts w:ascii="Times New Roman" w:eastAsia="Calibri" w:hAnsi="Times New Roman" w:cs="Times New Roman"/>
          <w:kern w:val="0"/>
          <w:sz w:val="24"/>
          <w:szCs w:val="24"/>
          <w14:ligatures w14:val="none"/>
        </w:rPr>
        <w:t>,</w:t>
      </w:r>
      <w:r w:rsidRPr="006D59BB">
        <w:rPr>
          <w:rFonts w:ascii="Times New Roman" w:eastAsia="Calibri" w:hAnsi="Times New Roman" w:cs="Times New Roman"/>
          <w:kern w:val="0"/>
          <w:sz w:val="24"/>
          <w:szCs w:val="24"/>
          <w14:ligatures w14:val="none"/>
        </w:rPr>
        <w:t xml:space="preserve"> w jakie fundusze planuje inwestować jego pracownik, stąd pracodawca nie jest w stanie odpowiednio alokować środków na program oszczędnościowy. W przypadku zaś rachunków wspólnych funduszy inwestycyjnych, wpłacający dokonywałby jednej wpłaty, a TFI (lub agent transferowy) działające na zlecenie funduszy, rozdzielaliby wpłaty na poszczególne fundusze. Agenci transferowi mają możliwości operacyjne i techniczne przypisywania własności wpłacanych środków do poszczególnych </w:t>
      </w:r>
      <w:r w:rsidRPr="006D59BB">
        <w:rPr>
          <w:rFonts w:ascii="Times New Roman" w:eastAsia="Calibri" w:hAnsi="Times New Roman" w:cs="Times New Roman"/>
          <w:kern w:val="0"/>
          <w:sz w:val="24"/>
          <w:szCs w:val="24"/>
          <w14:ligatures w14:val="none"/>
        </w:rPr>
        <w:lastRenderedPageBreak/>
        <w:t>funduszy, zgodnie z alokacją wskazaną przez klienta oraz zapewnienie odpowiedniego raportowania do TFI i</w:t>
      </w:r>
      <w:r w:rsidR="00E6226B" w:rsidRPr="006D59BB">
        <w:rPr>
          <w:rFonts w:ascii="Times New Roman" w:eastAsia="Calibri" w:hAnsi="Times New Roman" w:cs="Times New Roman"/>
          <w:kern w:val="0"/>
          <w:sz w:val="24"/>
          <w:szCs w:val="24"/>
          <w14:ligatures w14:val="none"/>
        </w:rPr>
        <w:t> </w:t>
      </w:r>
      <w:r w:rsidRPr="006D59BB">
        <w:rPr>
          <w:rFonts w:ascii="Times New Roman" w:eastAsia="Calibri" w:hAnsi="Times New Roman" w:cs="Times New Roman"/>
          <w:kern w:val="0"/>
          <w:sz w:val="24"/>
          <w:szCs w:val="24"/>
          <w14:ligatures w14:val="none"/>
        </w:rPr>
        <w:t>depozytariusza. Czynności te dokonywane przez agentów transferowych niosą ze sobą niższe ryzyko błędów, co należy uznać za pozytywne z perspektywy klientów funduszy (uczestników programów/produktów oferowanych przez fundusze/TFI).</w:t>
      </w:r>
    </w:p>
    <w:p w14:paraId="02A1B0A7" w14:textId="77777777" w:rsidR="009B4497" w:rsidRPr="006D59BB" w:rsidRDefault="009B4497" w:rsidP="006D59BB">
      <w:pPr>
        <w:spacing w:before="120" w:after="0" w:line="360" w:lineRule="auto"/>
        <w:jc w:val="both"/>
        <w:rPr>
          <w:rFonts w:ascii="Times New Roman" w:eastAsia="Calibri" w:hAnsi="Times New Roman" w:cs="Times New Roman"/>
          <w:kern w:val="0"/>
          <w:sz w:val="24"/>
          <w:szCs w:val="24"/>
          <w14:ligatures w14:val="none"/>
        </w:rPr>
      </w:pPr>
      <w:r w:rsidRPr="006D59BB">
        <w:rPr>
          <w:rFonts w:ascii="Times New Roman" w:eastAsia="Calibri" w:hAnsi="Times New Roman" w:cs="Times New Roman"/>
          <w:kern w:val="0"/>
          <w:sz w:val="24"/>
          <w:szCs w:val="24"/>
          <w14:ligatures w14:val="none"/>
        </w:rPr>
        <w:t>Proponowana zmiana uprości dokonywanie wpłat przez pracodawców – klientów TFI. Zlikwiduje bowiem konieczność wskazywania dwóch lub więcej rachunków do osobnych wpłat na każdy fundusz, a w konsekwencji nie będzie wymagane stosowanie odpowiednich systemów informatycznych i dodatkowe angażowanie działów księgowości pracodawców.</w:t>
      </w:r>
    </w:p>
    <w:p w14:paraId="35C881F8" w14:textId="4AF20461" w:rsidR="00115575" w:rsidRPr="006D59BB" w:rsidRDefault="00115575" w:rsidP="006D59BB">
      <w:pPr>
        <w:pStyle w:val="Styl1"/>
        <w:spacing w:before="120" w:after="0" w:line="360" w:lineRule="auto"/>
        <w:rPr>
          <w:sz w:val="24"/>
          <w:szCs w:val="24"/>
        </w:rPr>
      </w:pPr>
      <w:bookmarkStart w:id="29" w:name="_Toc192358918"/>
      <w:r w:rsidRPr="006D59BB">
        <w:rPr>
          <w:sz w:val="24"/>
          <w:szCs w:val="24"/>
        </w:rPr>
        <w:t>Ustawa z dnia 13 października 1998 r. o systemie ubezpieczeń społecznych</w:t>
      </w:r>
      <w:bookmarkEnd w:id="29"/>
      <w:r w:rsidR="00C656EB">
        <w:rPr>
          <w:sz w:val="24"/>
          <w:szCs w:val="24"/>
        </w:rPr>
        <w:t xml:space="preserve"> </w:t>
      </w:r>
    </w:p>
    <w:p w14:paraId="54B63F0C" w14:textId="419ECEE9" w:rsidR="002F465C" w:rsidRPr="006D59BB" w:rsidRDefault="00227C36"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Przedmiotowa zmiana ma na celu doprecyzowanie przepisów odnoszących się do tzw. Małego ZUS Plus i umożliwienie realizacji pierwotnych intencji projektodawców tego rozwiązania. Zgodnie bowiem z założeni</w:t>
      </w:r>
      <w:r w:rsidR="007E7B73" w:rsidRPr="006D59BB">
        <w:rPr>
          <w:rFonts w:ascii="Times New Roman" w:hAnsi="Times New Roman" w:cs="Times New Roman"/>
          <w:sz w:val="24"/>
          <w:szCs w:val="24"/>
        </w:rPr>
        <w:t>a</w:t>
      </w:r>
      <w:r w:rsidRPr="006D59BB">
        <w:rPr>
          <w:rFonts w:ascii="Times New Roman" w:hAnsi="Times New Roman" w:cs="Times New Roman"/>
          <w:sz w:val="24"/>
          <w:szCs w:val="24"/>
        </w:rPr>
        <w:t>mi Małego ZUS Plus, po korzystaniu z obniżonych składek na ubezpieczenia społeczne przez 36 miesięcy, następuje okres swoistej „karencji” o długości 24 miesięcy prowadzenia działalności gospodarczej, w trakcie której przedsiębiorca</w:t>
      </w:r>
      <w:r w:rsidR="007E7B73" w:rsidRPr="006D59BB">
        <w:rPr>
          <w:rFonts w:ascii="Times New Roman" w:hAnsi="Times New Roman" w:cs="Times New Roman"/>
          <w:sz w:val="24"/>
          <w:szCs w:val="24"/>
        </w:rPr>
        <w:t xml:space="preserve"> jest</w:t>
      </w:r>
      <w:r w:rsidRPr="006D59BB">
        <w:rPr>
          <w:rFonts w:ascii="Times New Roman" w:hAnsi="Times New Roman" w:cs="Times New Roman"/>
          <w:sz w:val="24"/>
          <w:szCs w:val="24"/>
        </w:rPr>
        <w:t xml:space="preserve"> oskładkowany zgodnie z zasadami ogólnymi, określonym</w:t>
      </w:r>
      <w:r w:rsidR="007E7B73" w:rsidRPr="006D59BB">
        <w:rPr>
          <w:rFonts w:ascii="Times New Roman" w:hAnsi="Times New Roman" w:cs="Times New Roman"/>
          <w:sz w:val="24"/>
          <w:szCs w:val="24"/>
        </w:rPr>
        <w:t>i w</w:t>
      </w:r>
      <w:r w:rsidRPr="006D59BB">
        <w:rPr>
          <w:rFonts w:ascii="Times New Roman" w:hAnsi="Times New Roman" w:cs="Times New Roman"/>
          <w:sz w:val="24"/>
          <w:szCs w:val="24"/>
        </w:rPr>
        <w:t xml:space="preserve"> art. 18 ustawy o systemie ubezpieczeń społecznych. </w:t>
      </w:r>
      <w:r w:rsidR="005C2A48" w:rsidRPr="006D59BB">
        <w:rPr>
          <w:rFonts w:ascii="Times New Roman" w:hAnsi="Times New Roman" w:cs="Times New Roman"/>
          <w:sz w:val="24"/>
          <w:szCs w:val="24"/>
        </w:rPr>
        <w:t xml:space="preserve">Uchylany </w:t>
      </w:r>
      <w:r w:rsidRPr="006D59BB">
        <w:rPr>
          <w:rFonts w:ascii="Times New Roman" w:hAnsi="Times New Roman" w:cs="Times New Roman"/>
          <w:sz w:val="24"/>
          <w:szCs w:val="24"/>
        </w:rPr>
        <w:t>art. 18c ust. 11 pkt 6, stanowiący przesłankę negatywną do korzystania z Małego ZUS Plus, posługuje się pojęciem „ostatnich 60 miesięcy”. Tym samym, w</w:t>
      </w:r>
      <w:r w:rsidR="00B52991" w:rsidRPr="006D59BB">
        <w:rPr>
          <w:rFonts w:ascii="Times New Roman" w:hAnsi="Times New Roman" w:cs="Times New Roman"/>
          <w:sz w:val="24"/>
          <w:szCs w:val="24"/>
        </w:rPr>
        <w:t> </w:t>
      </w:r>
      <w:r w:rsidRPr="006D59BB">
        <w:rPr>
          <w:rFonts w:ascii="Times New Roman" w:hAnsi="Times New Roman" w:cs="Times New Roman"/>
          <w:sz w:val="24"/>
          <w:szCs w:val="24"/>
        </w:rPr>
        <w:t xml:space="preserve">przypadku gdy ustalenie </w:t>
      </w:r>
      <w:r w:rsidR="007E7B73" w:rsidRPr="006D59BB">
        <w:rPr>
          <w:rFonts w:ascii="Times New Roman" w:hAnsi="Times New Roman" w:cs="Times New Roman"/>
          <w:sz w:val="24"/>
          <w:szCs w:val="24"/>
        </w:rPr>
        <w:t>pr</w:t>
      </w:r>
      <w:r w:rsidRPr="006D59BB">
        <w:rPr>
          <w:rFonts w:ascii="Times New Roman" w:hAnsi="Times New Roman" w:cs="Times New Roman"/>
          <w:sz w:val="24"/>
          <w:szCs w:val="24"/>
        </w:rPr>
        <w:t xml:space="preserve">awa danego przedsiębiorcy do przedmiotowego rozwiązania następuje np. w styczniu 2025 r., przy przyjęciu okresu od stycznia 2020 r. do grudnia 2024 r. (zakładając oczywiście, że wykorzystał on w ich trakcie pełnych 36 miesięcy ulgi) jako okresu referencyjnego, może powstać wątpliwość, czy przesłanka ta nie została spełniona. Przy takiej interpretacji, okres oczekiwania na ponowne skorzystanie z Małego ZUS Plus wydłużałby się de facto o rok. </w:t>
      </w:r>
      <w:r w:rsidR="00084C38" w:rsidRPr="006D59BB">
        <w:rPr>
          <w:rFonts w:ascii="Times New Roman" w:hAnsi="Times New Roman" w:cs="Times New Roman"/>
          <w:sz w:val="24"/>
          <w:szCs w:val="24"/>
        </w:rPr>
        <w:t>Zaproponowana</w:t>
      </w:r>
      <w:r w:rsidR="00010D6D" w:rsidRPr="006D59BB">
        <w:rPr>
          <w:rFonts w:ascii="Times New Roman" w:hAnsi="Times New Roman" w:cs="Times New Roman"/>
          <w:sz w:val="24"/>
          <w:szCs w:val="24"/>
        </w:rPr>
        <w:t xml:space="preserve"> redakcja </w:t>
      </w:r>
      <w:r w:rsidRPr="006D59BB">
        <w:rPr>
          <w:rFonts w:ascii="Times New Roman" w:hAnsi="Times New Roman" w:cs="Times New Roman"/>
          <w:sz w:val="24"/>
          <w:szCs w:val="24"/>
        </w:rPr>
        <w:t xml:space="preserve">eliminuje ten problem, umożliwiając zainteresowanym, o ile spełniają oni pozostałe warunki ustawowe, powrót do rozwiązania po 24 miesiącach oczekiwania. </w:t>
      </w:r>
      <w:r w:rsidR="005C2A48" w:rsidRPr="006D59BB">
        <w:rPr>
          <w:rFonts w:ascii="Times New Roman" w:hAnsi="Times New Roman" w:cs="Times New Roman"/>
          <w:sz w:val="24"/>
          <w:szCs w:val="24"/>
        </w:rPr>
        <w:t xml:space="preserve">Dlatego proponuje się dodanie </w:t>
      </w:r>
      <w:r w:rsidR="003F4F58" w:rsidRPr="006D59BB">
        <w:rPr>
          <w:rFonts w:ascii="Times New Roman" w:hAnsi="Times New Roman" w:cs="Times New Roman"/>
          <w:sz w:val="24"/>
          <w:szCs w:val="24"/>
        </w:rPr>
        <w:t>ust. 11a</w:t>
      </w:r>
      <w:r w:rsidR="0081387C">
        <w:rPr>
          <w:rFonts w:ascii="Times New Roman" w:hAnsi="Times New Roman" w:cs="Times New Roman"/>
          <w:sz w:val="24"/>
          <w:szCs w:val="24"/>
        </w:rPr>
        <w:t>–</w:t>
      </w:r>
      <w:r w:rsidR="00D90BEB" w:rsidRPr="006D59BB">
        <w:rPr>
          <w:rFonts w:ascii="Times New Roman" w:hAnsi="Times New Roman" w:cs="Times New Roman"/>
          <w:sz w:val="24"/>
          <w:szCs w:val="24"/>
        </w:rPr>
        <w:t>11c</w:t>
      </w:r>
      <w:r w:rsidR="003F4F58" w:rsidRPr="006D59BB">
        <w:rPr>
          <w:rFonts w:ascii="Times New Roman" w:hAnsi="Times New Roman" w:cs="Times New Roman"/>
          <w:sz w:val="24"/>
          <w:szCs w:val="24"/>
        </w:rPr>
        <w:t xml:space="preserve"> w </w:t>
      </w:r>
      <w:r w:rsidR="005C2A48" w:rsidRPr="006D59BB">
        <w:rPr>
          <w:rFonts w:ascii="Times New Roman" w:hAnsi="Times New Roman" w:cs="Times New Roman"/>
          <w:sz w:val="24"/>
          <w:szCs w:val="24"/>
        </w:rPr>
        <w:t>art. 18c ustawy o systemie ubezpieczeń społecznych.</w:t>
      </w:r>
    </w:p>
    <w:p w14:paraId="2D46BFBA" w14:textId="08461980" w:rsidR="00227C36" w:rsidRPr="006D59BB" w:rsidRDefault="002F465C"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 xml:space="preserve">Co istotne, wraz z zaproponowanym terminem wejścia przepisów w życie (tj. 1 stycznia 2025 r.) doprecyzowane w ten sposób zasady znajdą zastosowanie zarówno do osób, które już w przeszłości skorzystały z Małego ZUS Plus (i znajdują się obecnie w okresie „karencji”), jak i tych, które są w trakcie korzystania z niego, a także i tych, które </w:t>
      </w:r>
      <w:r w:rsidR="00C82FD8" w:rsidRPr="006D59BB">
        <w:rPr>
          <w:rFonts w:ascii="Times New Roman" w:hAnsi="Times New Roman" w:cs="Times New Roman"/>
          <w:sz w:val="24"/>
          <w:szCs w:val="24"/>
        </w:rPr>
        <w:t xml:space="preserve">dopiero </w:t>
      </w:r>
      <w:r w:rsidRPr="006D59BB">
        <w:rPr>
          <w:rFonts w:ascii="Times New Roman" w:hAnsi="Times New Roman" w:cs="Times New Roman"/>
          <w:sz w:val="24"/>
          <w:szCs w:val="24"/>
        </w:rPr>
        <w:t>rozpoczynają korzystanie z niego po raz pierwszy.</w:t>
      </w:r>
      <w:r w:rsidR="00C656EB">
        <w:rPr>
          <w:rFonts w:ascii="Times New Roman" w:hAnsi="Times New Roman" w:cs="Times New Roman"/>
          <w:sz w:val="24"/>
          <w:szCs w:val="24"/>
        </w:rPr>
        <w:t xml:space="preserve"> </w:t>
      </w:r>
    </w:p>
    <w:p w14:paraId="5AE7E18C" w14:textId="4AA789EF" w:rsidR="00115575" w:rsidRPr="006D59BB" w:rsidRDefault="00115575" w:rsidP="001B56F2">
      <w:pPr>
        <w:pStyle w:val="Styl1"/>
        <w:spacing w:before="120" w:after="0" w:line="360" w:lineRule="auto"/>
        <w:jc w:val="both"/>
        <w:rPr>
          <w:sz w:val="24"/>
          <w:szCs w:val="24"/>
        </w:rPr>
      </w:pPr>
      <w:bookmarkStart w:id="30" w:name="_Toc192358919"/>
      <w:r w:rsidRPr="006D59BB">
        <w:rPr>
          <w:sz w:val="24"/>
          <w:szCs w:val="24"/>
        </w:rPr>
        <w:lastRenderedPageBreak/>
        <w:t>Ustawa z dnia 17 grudnia 1998 r. o emeryturach i rentach z Funduszu Ubezpieczeń</w:t>
      </w:r>
      <w:r w:rsidR="001B56F2">
        <w:rPr>
          <w:sz w:val="24"/>
          <w:szCs w:val="24"/>
        </w:rPr>
        <w:t xml:space="preserve"> </w:t>
      </w:r>
      <w:r w:rsidRPr="006D59BB">
        <w:rPr>
          <w:sz w:val="24"/>
          <w:szCs w:val="24"/>
        </w:rPr>
        <w:t>Społecz</w:t>
      </w:r>
      <w:r w:rsidR="007E7B73" w:rsidRPr="006D59BB">
        <w:rPr>
          <w:sz w:val="24"/>
          <w:szCs w:val="24"/>
        </w:rPr>
        <w:t>nyc</w:t>
      </w:r>
      <w:r w:rsidRPr="006D59BB">
        <w:rPr>
          <w:sz w:val="24"/>
          <w:szCs w:val="24"/>
        </w:rPr>
        <w:t>h</w:t>
      </w:r>
      <w:bookmarkEnd w:id="30"/>
      <w:r w:rsidR="00C656EB">
        <w:rPr>
          <w:sz w:val="24"/>
          <w:szCs w:val="24"/>
        </w:rPr>
        <w:t xml:space="preserve"> </w:t>
      </w:r>
    </w:p>
    <w:p w14:paraId="32220438" w14:textId="4B74602F" w:rsidR="002D2C7D" w:rsidRPr="006D59BB" w:rsidRDefault="002D2C7D"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 xml:space="preserve">Przed podjęciem </w:t>
      </w:r>
      <w:r w:rsidR="00EF4CF9" w:rsidRPr="006D59BB">
        <w:rPr>
          <w:rFonts w:ascii="Times New Roman" w:hAnsi="Times New Roman" w:cs="Times New Roman"/>
          <w:sz w:val="24"/>
          <w:szCs w:val="24"/>
        </w:rPr>
        <w:t xml:space="preserve">decyzji przez Prezesa Rady Ministrów na podstawie art. 82 ust. 1 ustawy o emeryturach i rentach z Funduszu Ubezpieczeń Społecznych </w:t>
      </w:r>
      <w:r w:rsidRPr="006D59BB">
        <w:rPr>
          <w:rFonts w:ascii="Times New Roman" w:hAnsi="Times New Roman" w:cs="Times New Roman"/>
          <w:sz w:val="24"/>
          <w:szCs w:val="24"/>
        </w:rPr>
        <w:t xml:space="preserve">przeprowadzane jest postępowanie mające na celu ustalenie, wyjaśnienie i udokumentowanie wszystkich istotnych okoliczności sprawy mogących mieć wpływ na rozstrzygnięcie w tym zakresie, jednakże postępowanie to nie jest </w:t>
      </w:r>
      <w:r w:rsidR="00EF4CF9" w:rsidRPr="006D59BB">
        <w:rPr>
          <w:rFonts w:ascii="Times New Roman" w:hAnsi="Times New Roman" w:cs="Times New Roman"/>
          <w:sz w:val="24"/>
          <w:szCs w:val="24"/>
        </w:rPr>
        <w:t xml:space="preserve">szczególnie </w:t>
      </w:r>
      <w:r w:rsidRPr="006D59BB">
        <w:rPr>
          <w:rFonts w:ascii="Times New Roman" w:hAnsi="Times New Roman" w:cs="Times New Roman"/>
          <w:sz w:val="24"/>
          <w:szCs w:val="24"/>
        </w:rPr>
        <w:t>skomplikowane (celem ustanowienia emerytury lub renty, o których mowa w art. 82 ust. 1 ustawy o</w:t>
      </w:r>
      <w:r w:rsidR="006F3E02" w:rsidRPr="006D59BB">
        <w:rPr>
          <w:rFonts w:ascii="Times New Roman" w:hAnsi="Times New Roman" w:cs="Times New Roman"/>
          <w:sz w:val="24"/>
          <w:szCs w:val="24"/>
        </w:rPr>
        <w:t> </w:t>
      </w:r>
      <w:r w:rsidRPr="006D59BB">
        <w:rPr>
          <w:rFonts w:ascii="Times New Roman" w:hAnsi="Times New Roman" w:cs="Times New Roman"/>
          <w:sz w:val="24"/>
          <w:szCs w:val="24"/>
        </w:rPr>
        <w:t>emeryturach i rentach z FUS, jest uhonorowanie osób szczególnie zasłużonych, które znalazły się w</w:t>
      </w:r>
      <w:r w:rsidR="006F3E02" w:rsidRPr="006D59BB">
        <w:rPr>
          <w:rFonts w:ascii="Times New Roman" w:hAnsi="Times New Roman" w:cs="Times New Roman"/>
          <w:sz w:val="24"/>
          <w:szCs w:val="24"/>
        </w:rPr>
        <w:t> </w:t>
      </w:r>
      <w:r w:rsidRPr="006D59BB">
        <w:rPr>
          <w:rFonts w:ascii="Times New Roman" w:hAnsi="Times New Roman" w:cs="Times New Roman"/>
          <w:sz w:val="24"/>
          <w:szCs w:val="24"/>
        </w:rPr>
        <w:t>trudnych sytuacjach życiowych, a także wsparcie w przypadku zaistnienia zdarzeń losowych, ale jedynie o charakterze nadzwyczajnym). W praktyce nie zdarza się zatem, aby strona, po otrzymaniu decyzji w pierwszej instancji, występując do Prezesa Rady Ministrów z wnioskiem o ponowne rozpatrzenie sprawy, wskazała nowe, istotne okoliczności mogące spowodować zmianę podjętej już decyzji w pierwszej instancji. Zauważyć ponadto należy, że wydanie decyzji ostatecznej w</w:t>
      </w:r>
      <w:r w:rsidR="006F3E02" w:rsidRPr="006D59BB">
        <w:rPr>
          <w:rFonts w:ascii="Times New Roman" w:hAnsi="Times New Roman" w:cs="Times New Roman"/>
          <w:sz w:val="24"/>
          <w:szCs w:val="24"/>
        </w:rPr>
        <w:t> </w:t>
      </w:r>
      <w:r w:rsidRPr="006D59BB">
        <w:rPr>
          <w:rFonts w:ascii="Times New Roman" w:hAnsi="Times New Roman" w:cs="Times New Roman"/>
          <w:sz w:val="24"/>
          <w:szCs w:val="24"/>
        </w:rPr>
        <w:t>postępowaniu jednoinstancyjnym nie uniemożliwia stronie podjęcia w przyszłości działań zmierzających do zmiany tej decyzji. Nie tylko ma bowiem możliwość wzruszenia takiej decyzji w</w:t>
      </w:r>
      <w:r w:rsidR="005D5D55" w:rsidRPr="006D59BB">
        <w:rPr>
          <w:rFonts w:ascii="Times New Roman" w:hAnsi="Times New Roman" w:cs="Times New Roman"/>
          <w:sz w:val="24"/>
          <w:szCs w:val="24"/>
        </w:rPr>
        <w:t> </w:t>
      </w:r>
      <w:r w:rsidRPr="006D59BB">
        <w:rPr>
          <w:rFonts w:ascii="Times New Roman" w:hAnsi="Times New Roman" w:cs="Times New Roman"/>
          <w:sz w:val="24"/>
          <w:szCs w:val="24"/>
        </w:rPr>
        <w:t>jednym z trybów nadzwyczajnych przewidzianych w Kpa, ale w sytuacji, gdy zaistnieją nowe okoliczności, które nie były brane pod uwagę przy wydaniu ostatecznej decyzji w przedmiocie przyznania świadczenia specjalnego, w każdym czasie może wystąpić z kolejnym, nowym wnioskiem o przyznanie tego świadczenia. Wówczas postępowanie administracyjne toczy się od nowa i jeżeli okaże się to uzasadnione w świetle nowych okoliczności sprawy, może być wydana inna w swej istocie decyzja, niż poprzednio wydana decyzja ostateczna. Tak więc odstąpienie od zasady dwuinstancyjności postępowania nie zamyka stronie możliwości otrzymania w tych sprawach ponownej korzystnej dla niej decyzji. Ponadto pomimo odstąpienia od zasady dwuinstancyjności postępowania administracyjnego strona nie zostanie pozbawiona możliwości weryfikacji zgodności z prawem decyzji, gdyż w dalszym ciągu będzie miała możliwość wniesienia, na zasadach ogólnych, skargi na decyzję do sądu administracyjnego.</w:t>
      </w:r>
      <w:r w:rsidR="00F64B39" w:rsidRPr="006D59BB">
        <w:rPr>
          <w:rFonts w:ascii="Times New Roman" w:hAnsi="Times New Roman" w:cs="Times New Roman"/>
          <w:sz w:val="24"/>
          <w:szCs w:val="24"/>
        </w:rPr>
        <w:t xml:space="preserve"> Celem wprowadzanej zmiany jest przyspieszenie postępowań administracyjnych w</w:t>
      </w:r>
      <w:r w:rsidR="005D5D55" w:rsidRPr="006D59BB">
        <w:rPr>
          <w:rFonts w:ascii="Times New Roman" w:hAnsi="Times New Roman" w:cs="Times New Roman"/>
          <w:sz w:val="24"/>
          <w:szCs w:val="24"/>
        </w:rPr>
        <w:t> </w:t>
      </w:r>
      <w:r w:rsidR="00F64B39" w:rsidRPr="006D59BB">
        <w:rPr>
          <w:rFonts w:ascii="Times New Roman" w:hAnsi="Times New Roman" w:cs="Times New Roman"/>
          <w:sz w:val="24"/>
          <w:szCs w:val="24"/>
        </w:rPr>
        <w:t>tych sprawach.</w:t>
      </w:r>
    </w:p>
    <w:p w14:paraId="664781C5" w14:textId="30C80AC7" w:rsidR="00885DD8" w:rsidRPr="006D59BB" w:rsidRDefault="00885DD8" w:rsidP="006D59BB">
      <w:pPr>
        <w:pStyle w:val="Styl1"/>
        <w:spacing w:before="120" w:after="0" w:line="360" w:lineRule="auto"/>
        <w:jc w:val="both"/>
        <w:rPr>
          <w:sz w:val="24"/>
          <w:szCs w:val="24"/>
        </w:rPr>
      </w:pPr>
      <w:bookmarkStart w:id="31" w:name="_Toc192358920"/>
      <w:r w:rsidRPr="006D59BB">
        <w:rPr>
          <w:sz w:val="24"/>
          <w:szCs w:val="24"/>
        </w:rPr>
        <w:t>Ustawa z dnia 2 marca 2001 r. o wyrobie alkoholu etylowego oraz wytwarzaniu wyrobów tytoniowych</w:t>
      </w:r>
      <w:bookmarkEnd w:id="31"/>
    </w:p>
    <w:p w14:paraId="0F0290C5" w14:textId="170BB5A5" w:rsidR="00F02B15" w:rsidRPr="006D59BB" w:rsidRDefault="00F02B15" w:rsidP="006D59BB">
      <w:pPr>
        <w:tabs>
          <w:tab w:val="left" w:pos="284"/>
        </w:tabs>
        <w:spacing w:before="120" w:after="0" w:line="360" w:lineRule="auto"/>
        <w:jc w:val="both"/>
        <w:rPr>
          <w:rFonts w:ascii="Times New Roman" w:eastAsia="Calibri" w:hAnsi="Times New Roman" w:cs="Times New Roman"/>
          <w:kern w:val="0"/>
          <w:sz w:val="24"/>
          <w:szCs w:val="24"/>
          <w14:ligatures w14:val="none"/>
        </w:rPr>
      </w:pPr>
      <w:r w:rsidRPr="006D59BB">
        <w:rPr>
          <w:rFonts w:ascii="Times New Roman" w:eastAsia="Calibri" w:hAnsi="Times New Roman" w:cs="Times New Roman"/>
          <w:kern w:val="0"/>
          <w:sz w:val="24"/>
          <w:szCs w:val="24"/>
          <w14:ligatures w14:val="none"/>
        </w:rPr>
        <w:t xml:space="preserve">Zmiany w niniejszej ustawie dotyczą odstąpienia od zasady dwuinstancyjności. </w:t>
      </w:r>
      <w:r w:rsidR="00CC4FB4" w:rsidRPr="006D59BB">
        <w:rPr>
          <w:rFonts w:ascii="Times New Roman" w:eastAsia="Calibri" w:hAnsi="Times New Roman" w:cs="Times New Roman"/>
          <w:kern w:val="0"/>
          <w:sz w:val="24"/>
          <w:szCs w:val="24"/>
          <w14:ligatures w14:val="none"/>
        </w:rPr>
        <w:t xml:space="preserve">Wykreślenie przedsiębiorcy z rejestru podmiotów wykonujących działalność w zakresie wyrobu i </w:t>
      </w:r>
      <w:r w:rsidR="00CC4FB4" w:rsidRPr="006D59BB">
        <w:rPr>
          <w:rFonts w:ascii="Times New Roman" w:eastAsia="Calibri" w:hAnsi="Times New Roman" w:cs="Times New Roman"/>
          <w:kern w:val="0"/>
          <w:sz w:val="24"/>
          <w:szCs w:val="24"/>
          <w14:ligatures w14:val="none"/>
        </w:rPr>
        <w:lastRenderedPageBreak/>
        <w:t>przetwarzania alkoholu etylowego lub rejestru producentów wyrobów tytoniowych na jego wniosek powinno być jednoinstancyjne i odbywać się w drodze czynności materialno-technicznej, gdyż ma ono na celu spełnienie w całości żądania przedsiębiorcy (projektowany</w:t>
      </w:r>
      <w:r w:rsidR="00CC4FB4" w:rsidRPr="006D59BB">
        <w:rPr>
          <w:rFonts w:ascii="Times New Roman" w:eastAsia="Calibri" w:hAnsi="Times New Roman" w:cs="Times New Roman"/>
          <w:b/>
          <w:bCs/>
          <w:kern w:val="0"/>
          <w:sz w:val="24"/>
          <w:szCs w:val="24"/>
          <w14:ligatures w14:val="none"/>
        </w:rPr>
        <w:t xml:space="preserve"> </w:t>
      </w:r>
      <w:r w:rsidR="00CC4FB4" w:rsidRPr="006D59BB">
        <w:rPr>
          <w:rFonts w:ascii="Times New Roman" w:eastAsia="Calibri" w:hAnsi="Times New Roman" w:cs="Times New Roman"/>
          <w:kern w:val="0"/>
          <w:sz w:val="24"/>
          <w:szCs w:val="24"/>
          <w14:ligatures w14:val="none"/>
        </w:rPr>
        <w:t xml:space="preserve">art. 7c ust. 2 ustawy o wyrobie alkoholu etylowego oraz wytwarzaniu wyrobów tytoniowych). </w:t>
      </w:r>
    </w:p>
    <w:p w14:paraId="015192B1" w14:textId="72DE022B" w:rsidR="00885DD8" w:rsidRPr="006D59BB" w:rsidRDefault="00885DD8" w:rsidP="006D59BB">
      <w:pPr>
        <w:pStyle w:val="Styl1"/>
        <w:spacing w:before="120" w:after="0" w:line="360" w:lineRule="auto"/>
        <w:rPr>
          <w:sz w:val="24"/>
          <w:szCs w:val="24"/>
        </w:rPr>
      </w:pPr>
      <w:bookmarkStart w:id="32" w:name="_Toc192358921"/>
      <w:r w:rsidRPr="006D59BB">
        <w:rPr>
          <w:sz w:val="24"/>
          <w:szCs w:val="24"/>
        </w:rPr>
        <w:t>Ustawa z dnia 3 lipca 2002 r. – Prawo lotnicze</w:t>
      </w:r>
      <w:bookmarkEnd w:id="32"/>
    </w:p>
    <w:p w14:paraId="76CA9FA1" w14:textId="37443EC1" w:rsidR="00BD7EBA" w:rsidRPr="006D59BB" w:rsidRDefault="00BD7EBA"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Zmiany w niniejszej ustawie dotyczą odstąpienia od z</w:t>
      </w:r>
      <w:r w:rsidR="007E7B73" w:rsidRPr="006D59BB">
        <w:rPr>
          <w:rFonts w:ascii="Times New Roman" w:hAnsi="Times New Roman" w:cs="Times New Roman"/>
          <w:sz w:val="24"/>
          <w:szCs w:val="24"/>
        </w:rPr>
        <w:t>asady</w:t>
      </w:r>
      <w:r w:rsidRPr="006D59BB">
        <w:rPr>
          <w:rFonts w:ascii="Times New Roman" w:hAnsi="Times New Roman" w:cs="Times New Roman"/>
          <w:sz w:val="24"/>
          <w:szCs w:val="24"/>
        </w:rPr>
        <w:t xml:space="preserve"> dwuinstancyjności. Proponuje się od</w:t>
      </w:r>
      <w:r w:rsidR="007E7B73" w:rsidRPr="006D59BB">
        <w:rPr>
          <w:rFonts w:ascii="Times New Roman" w:hAnsi="Times New Roman" w:cs="Times New Roman"/>
          <w:sz w:val="24"/>
          <w:szCs w:val="24"/>
        </w:rPr>
        <w:t>stą</w:t>
      </w:r>
      <w:r w:rsidRPr="006D59BB">
        <w:rPr>
          <w:rFonts w:ascii="Times New Roman" w:hAnsi="Times New Roman" w:cs="Times New Roman"/>
          <w:sz w:val="24"/>
          <w:szCs w:val="24"/>
        </w:rPr>
        <w:t>pienie od dwuinstancyjności w zakresie art. 186b, 186c, 186d oraz 186e. W</w:t>
      </w:r>
      <w:r w:rsidR="00C74181" w:rsidRPr="006D59BB">
        <w:rPr>
          <w:rFonts w:ascii="Times New Roman" w:hAnsi="Times New Roman" w:cs="Times New Roman"/>
          <w:sz w:val="24"/>
          <w:szCs w:val="24"/>
        </w:rPr>
        <w:t> </w:t>
      </w:r>
      <w:r w:rsidRPr="006D59BB">
        <w:rPr>
          <w:rFonts w:ascii="Times New Roman" w:hAnsi="Times New Roman" w:cs="Times New Roman"/>
          <w:sz w:val="24"/>
          <w:szCs w:val="24"/>
        </w:rPr>
        <w:t>przypadku art. 186b ust. 20 związanego z wydaniem certyfikatu operatora kontroli bezpieczeństwa wydanie certyfikatu operatora kontroli bezpieczeństwa w drodze decyzji administracyjnej stanowi potwierdzenie pozytywnego wyniku egzaminu certyfikacyjnego. Egzamin może być powtarzany. Oczywiste jest, że niezaliczenie egzaminu certyfikacyjnego blokuje możliwość uzyskania certyfikatu. Nie zdar</w:t>
      </w:r>
      <w:r w:rsidR="007E7B73" w:rsidRPr="006D59BB">
        <w:rPr>
          <w:rFonts w:ascii="Times New Roman" w:hAnsi="Times New Roman" w:cs="Times New Roman"/>
          <w:sz w:val="24"/>
          <w:szCs w:val="24"/>
        </w:rPr>
        <w:t>zaj</w:t>
      </w:r>
      <w:r w:rsidRPr="006D59BB">
        <w:rPr>
          <w:rFonts w:ascii="Times New Roman" w:hAnsi="Times New Roman" w:cs="Times New Roman"/>
          <w:sz w:val="24"/>
          <w:szCs w:val="24"/>
        </w:rPr>
        <w:t xml:space="preserve">ą się zatem wnioski o wydanie certyfikatu bez spełnienia warunku zaliczenia egzaminu. </w:t>
      </w:r>
    </w:p>
    <w:p w14:paraId="6145369D" w14:textId="335DE520" w:rsidR="00BD7EBA" w:rsidRPr="006D59BB" w:rsidRDefault="00BD7EBA"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Art. 186c, 186d oraz 186e ustaw</w:t>
      </w:r>
      <w:r w:rsidR="0009233A" w:rsidRPr="006D59BB">
        <w:rPr>
          <w:rFonts w:ascii="Times New Roman" w:hAnsi="Times New Roman" w:cs="Times New Roman"/>
          <w:sz w:val="24"/>
          <w:szCs w:val="24"/>
        </w:rPr>
        <w:t>y</w:t>
      </w:r>
      <w:r w:rsidRPr="006D59BB">
        <w:rPr>
          <w:rFonts w:ascii="Times New Roman" w:hAnsi="Times New Roman" w:cs="Times New Roman"/>
          <w:sz w:val="24"/>
          <w:szCs w:val="24"/>
        </w:rPr>
        <w:t xml:space="preserve"> – Prawo lotnicze </w:t>
      </w:r>
      <w:r w:rsidR="002A7638" w:rsidRPr="006D59BB">
        <w:rPr>
          <w:rFonts w:ascii="Times New Roman" w:hAnsi="Times New Roman" w:cs="Times New Roman"/>
          <w:sz w:val="24"/>
          <w:szCs w:val="24"/>
        </w:rPr>
        <w:t>dotyczą</w:t>
      </w:r>
      <w:r w:rsidRPr="006D59BB">
        <w:rPr>
          <w:rFonts w:ascii="Times New Roman" w:hAnsi="Times New Roman" w:cs="Times New Roman"/>
          <w:sz w:val="24"/>
          <w:szCs w:val="24"/>
        </w:rPr>
        <w:t xml:space="preserve"> odpowiednio wyznaczenia zarejestrowanego agenta, dostawcy oraz nadawcy. Przesłanki wydania decyzji są jednoznacznie określone w przepisach. W przypadku decyzji negatywnej strona może złożyć wniosek o ponowne rozpatrzenie sprawy, jednak oczywistość niespełnienia wymogów przesądza o utrzymaniu decyzji w mocy. Wniosek o ponowne rozpatrzenie, może jedynie wydłużyć czas ostatecznego załatwienia sprawy. Stąd też proponuje się zniesienie dwuinstancyjności t</w:t>
      </w:r>
      <w:r w:rsidR="0009233A" w:rsidRPr="006D59BB">
        <w:rPr>
          <w:rFonts w:ascii="Times New Roman" w:hAnsi="Times New Roman" w:cs="Times New Roman"/>
          <w:sz w:val="24"/>
          <w:szCs w:val="24"/>
        </w:rPr>
        <w:t>ych</w:t>
      </w:r>
      <w:r w:rsidRPr="006D59BB">
        <w:rPr>
          <w:rFonts w:ascii="Times New Roman" w:hAnsi="Times New Roman" w:cs="Times New Roman"/>
          <w:sz w:val="24"/>
          <w:szCs w:val="24"/>
        </w:rPr>
        <w:t xml:space="preserve"> postępowa</w:t>
      </w:r>
      <w:r w:rsidR="0009233A" w:rsidRPr="006D59BB">
        <w:rPr>
          <w:rFonts w:ascii="Times New Roman" w:hAnsi="Times New Roman" w:cs="Times New Roman"/>
          <w:sz w:val="24"/>
          <w:szCs w:val="24"/>
        </w:rPr>
        <w:t>ń</w:t>
      </w:r>
      <w:r w:rsidRPr="006D59BB">
        <w:rPr>
          <w:rFonts w:ascii="Times New Roman" w:hAnsi="Times New Roman" w:cs="Times New Roman"/>
          <w:sz w:val="24"/>
          <w:szCs w:val="24"/>
        </w:rPr>
        <w:t xml:space="preserve"> administracyjn</w:t>
      </w:r>
      <w:r w:rsidR="0009233A" w:rsidRPr="006D59BB">
        <w:rPr>
          <w:rFonts w:ascii="Times New Roman" w:hAnsi="Times New Roman" w:cs="Times New Roman"/>
          <w:sz w:val="24"/>
          <w:szCs w:val="24"/>
        </w:rPr>
        <w:t>ych</w:t>
      </w:r>
      <w:r w:rsidRPr="006D59BB">
        <w:rPr>
          <w:rFonts w:ascii="Times New Roman" w:hAnsi="Times New Roman" w:cs="Times New Roman"/>
          <w:sz w:val="24"/>
          <w:szCs w:val="24"/>
        </w:rPr>
        <w:t>.</w:t>
      </w:r>
    </w:p>
    <w:p w14:paraId="0BEBFE49" w14:textId="45D19EEB" w:rsidR="000C5164" w:rsidRPr="006D59BB" w:rsidRDefault="000C5164" w:rsidP="006D59BB">
      <w:pPr>
        <w:pStyle w:val="Styl1"/>
        <w:spacing w:before="120" w:after="0" w:line="360" w:lineRule="auto"/>
        <w:jc w:val="both"/>
        <w:rPr>
          <w:sz w:val="24"/>
          <w:szCs w:val="24"/>
        </w:rPr>
      </w:pPr>
      <w:bookmarkStart w:id="33" w:name="_Toc192358922"/>
      <w:r w:rsidRPr="006D59BB">
        <w:rPr>
          <w:sz w:val="24"/>
          <w:szCs w:val="24"/>
        </w:rPr>
        <w:t>Ustawa z d</w:t>
      </w:r>
      <w:r w:rsidR="007E7B73" w:rsidRPr="006D59BB">
        <w:rPr>
          <w:sz w:val="24"/>
          <w:szCs w:val="24"/>
        </w:rPr>
        <w:t>nia</w:t>
      </w:r>
      <w:r w:rsidRPr="006D59BB">
        <w:rPr>
          <w:sz w:val="24"/>
          <w:szCs w:val="24"/>
        </w:rPr>
        <w:t xml:space="preserve"> 30 sie</w:t>
      </w:r>
      <w:r w:rsidR="000464F5" w:rsidRPr="006D59BB">
        <w:rPr>
          <w:sz w:val="24"/>
          <w:szCs w:val="24"/>
        </w:rPr>
        <w:t>r</w:t>
      </w:r>
      <w:r w:rsidR="007E7B73" w:rsidRPr="006D59BB">
        <w:rPr>
          <w:sz w:val="24"/>
          <w:szCs w:val="24"/>
        </w:rPr>
        <w:t>pnia</w:t>
      </w:r>
      <w:r w:rsidRPr="006D59BB">
        <w:rPr>
          <w:sz w:val="24"/>
          <w:szCs w:val="24"/>
        </w:rPr>
        <w:t xml:space="preserve"> 2002 r. – Prawo o postępowaniu przed sądami administracyjnymi</w:t>
      </w:r>
      <w:bookmarkEnd w:id="33"/>
    </w:p>
    <w:p w14:paraId="4AEBD1D2" w14:textId="02E6C4D8" w:rsidR="006D4190" w:rsidRPr="006D59BB" w:rsidRDefault="006D4190" w:rsidP="006D59BB">
      <w:pPr>
        <w:tabs>
          <w:tab w:val="left" w:pos="426"/>
        </w:tabs>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1)</w:t>
      </w:r>
      <w:r w:rsidR="00970F6A">
        <w:rPr>
          <w:rFonts w:ascii="Times New Roman" w:hAnsi="Times New Roman" w:cs="Times New Roman"/>
          <w:sz w:val="24"/>
          <w:szCs w:val="24"/>
        </w:rPr>
        <w:tab/>
      </w:r>
      <w:r w:rsidRPr="006D59BB">
        <w:rPr>
          <w:rFonts w:ascii="Times New Roman" w:hAnsi="Times New Roman" w:cs="Times New Roman"/>
          <w:sz w:val="24"/>
          <w:szCs w:val="24"/>
        </w:rPr>
        <w:t xml:space="preserve">Zmiana art. 52 § 3 </w:t>
      </w:r>
      <w:proofErr w:type="spellStart"/>
      <w:r w:rsidRPr="006D59BB">
        <w:rPr>
          <w:rFonts w:ascii="Times New Roman" w:hAnsi="Times New Roman" w:cs="Times New Roman"/>
          <w:sz w:val="24"/>
          <w:szCs w:val="24"/>
        </w:rPr>
        <w:t>Ppsa</w:t>
      </w:r>
      <w:proofErr w:type="spellEnd"/>
      <w:r w:rsidRPr="006D59BB">
        <w:rPr>
          <w:rFonts w:ascii="Times New Roman" w:hAnsi="Times New Roman" w:cs="Times New Roman"/>
          <w:sz w:val="24"/>
          <w:szCs w:val="24"/>
        </w:rPr>
        <w:t xml:space="preserve"> ma na celu uzupełnienie tej regulacji o możliwość wniesienie skargi do wojewódzkiego sądu administracyjnego bez składania wniosku o ponowne rozpatrzenie sprawy także postanowień. </w:t>
      </w:r>
    </w:p>
    <w:p w14:paraId="53DD31DD" w14:textId="3CEE2A24" w:rsidR="006D4190" w:rsidRPr="006D59BB" w:rsidRDefault="006D4190"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 xml:space="preserve">Obecnie literalne brzmienie art. 52 § 3 </w:t>
      </w:r>
      <w:proofErr w:type="spellStart"/>
      <w:r w:rsidRPr="006D59BB">
        <w:rPr>
          <w:rFonts w:ascii="Times New Roman" w:hAnsi="Times New Roman" w:cs="Times New Roman"/>
          <w:sz w:val="24"/>
          <w:szCs w:val="24"/>
        </w:rPr>
        <w:t>Ppsa</w:t>
      </w:r>
      <w:proofErr w:type="spellEnd"/>
      <w:r w:rsidRPr="006D59BB">
        <w:rPr>
          <w:rFonts w:ascii="Times New Roman" w:hAnsi="Times New Roman" w:cs="Times New Roman"/>
          <w:sz w:val="24"/>
          <w:szCs w:val="24"/>
        </w:rPr>
        <w:t xml:space="preserve"> pomija postanowienia, na które również może przysługiwać wniosek o ponowne rozpatrzenie sprawy. Jednocześnie powyższe potwierdza stanowisko Naczelnego Sądu Administracyjnego (postanowienie Naczelnego Sądu Administracyjnego z dnia 11 maja 2018 r., sygn. akt I OSK 1269/18, Postanowienie Naczelnego Sądu Administracyjnego z dnia 23 listopada 2018</w:t>
      </w:r>
      <w:r w:rsidR="00AB24A7" w:rsidRPr="006D59BB">
        <w:rPr>
          <w:rFonts w:ascii="Times New Roman" w:hAnsi="Times New Roman" w:cs="Times New Roman"/>
          <w:sz w:val="24"/>
          <w:szCs w:val="24"/>
        </w:rPr>
        <w:t> </w:t>
      </w:r>
      <w:r w:rsidRPr="006D59BB">
        <w:rPr>
          <w:rFonts w:ascii="Times New Roman" w:hAnsi="Times New Roman" w:cs="Times New Roman"/>
          <w:sz w:val="24"/>
          <w:szCs w:val="24"/>
        </w:rPr>
        <w:t xml:space="preserve">r., sygn. akt I OSK 3975/18, a także Postanowienia Naczelnego Sądu Administracyjnego: z dnia 5 lutego 2019 r., sygn. akt I OSK 4439/18; z dnia 12 kwietnia 2019 r., sygn. akt II OSK 1018/19; z dnia 11 października 2019 r., </w:t>
      </w:r>
      <w:r w:rsidRPr="006D59BB">
        <w:rPr>
          <w:rFonts w:ascii="Times New Roman" w:hAnsi="Times New Roman" w:cs="Times New Roman"/>
          <w:sz w:val="24"/>
          <w:szCs w:val="24"/>
        </w:rPr>
        <w:lastRenderedPageBreak/>
        <w:t>sygn. akt I OSK 3522/18; z dnia 26 marca 2019 r., sygn. akt II OSK 577/19; z</w:t>
      </w:r>
      <w:r w:rsidR="00AB24A7" w:rsidRPr="006D59BB">
        <w:rPr>
          <w:rFonts w:ascii="Times New Roman" w:hAnsi="Times New Roman" w:cs="Times New Roman"/>
          <w:sz w:val="24"/>
          <w:szCs w:val="24"/>
        </w:rPr>
        <w:t> </w:t>
      </w:r>
      <w:r w:rsidRPr="006D59BB">
        <w:rPr>
          <w:rFonts w:ascii="Times New Roman" w:hAnsi="Times New Roman" w:cs="Times New Roman"/>
          <w:sz w:val="24"/>
          <w:szCs w:val="24"/>
        </w:rPr>
        <w:t>dnia 20 kwietnia 2021 r., sygn. akt I OSK 2725/20; z dnia 12 kwietnia 2022 r., sygn. akt I OSK 539/22).</w:t>
      </w:r>
    </w:p>
    <w:p w14:paraId="67CEDD8C" w14:textId="77777777" w:rsidR="006D4190" w:rsidRPr="006D59BB" w:rsidRDefault="006D4190"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 xml:space="preserve">Biorąc pod uwagę powyższe należy dokonać zmian w ww. zakresie w art. 52 § 3 </w:t>
      </w:r>
      <w:proofErr w:type="spellStart"/>
      <w:r w:rsidRPr="006D59BB">
        <w:rPr>
          <w:rFonts w:ascii="Times New Roman" w:hAnsi="Times New Roman" w:cs="Times New Roman"/>
          <w:sz w:val="24"/>
          <w:szCs w:val="24"/>
        </w:rPr>
        <w:t>Ppsa</w:t>
      </w:r>
      <w:proofErr w:type="spellEnd"/>
      <w:r w:rsidRPr="006D59BB">
        <w:rPr>
          <w:rFonts w:ascii="Times New Roman" w:hAnsi="Times New Roman" w:cs="Times New Roman"/>
          <w:sz w:val="24"/>
          <w:szCs w:val="24"/>
        </w:rPr>
        <w:t>.</w:t>
      </w:r>
    </w:p>
    <w:p w14:paraId="340D2190" w14:textId="6A1A3FE0" w:rsidR="000C5164" w:rsidRPr="006D59BB" w:rsidRDefault="00FB11B8" w:rsidP="006D59BB">
      <w:pPr>
        <w:tabs>
          <w:tab w:val="left" w:pos="426"/>
        </w:tabs>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2)</w:t>
      </w:r>
      <w:r w:rsidR="00970F6A">
        <w:rPr>
          <w:rFonts w:ascii="Times New Roman" w:hAnsi="Times New Roman" w:cs="Times New Roman"/>
          <w:sz w:val="24"/>
          <w:szCs w:val="24"/>
        </w:rPr>
        <w:tab/>
      </w:r>
      <w:r w:rsidR="000C5164" w:rsidRPr="006D59BB">
        <w:rPr>
          <w:rFonts w:ascii="Times New Roman" w:hAnsi="Times New Roman" w:cs="Times New Roman"/>
          <w:sz w:val="24"/>
          <w:szCs w:val="24"/>
        </w:rPr>
        <w:t>Zaproponowano dodanie do ww. ustawy art. 64f. Ma to na celu objęcie regulacją umożliwiającą wniesienie sprzeciw</w:t>
      </w:r>
      <w:r w:rsidR="007E7B73" w:rsidRPr="006D59BB">
        <w:rPr>
          <w:rFonts w:ascii="Times New Roman" w:hAnsi="Times New Roman" w:cs="Times New Roman"/>
          <w:sz w:val="24"/>
          <w:szCs w:val="24"/>
        </w:rPr>
        <w:t>u nie</w:t>
      </w:r>
      <w:r w:rsidR="000C5164" w:rsidRPr="006D59BB">
        <w:rPr>
          <w:rFonts w:ascii="Times New Roman" w:hAnsi="Times New Roman" w:cs="Times New Roman"/>
          <w:sz w:val="24"/>
          <w:szCs w:val="24"/>
        </w:rPr>
        <w:t xml:space="preserve"> tylko od decyzji </w:t>
      </w:r>
      <w:proofErr w:type="spellStart"/>
      <w:r w:rsidR="000C5164" w:rsidRPr="006D59BB">
        <w:rPr>
          <w:rFonts w:ascii="Times New Roman" w:hAnsi="Times New Roman" w:cs="Times New Roman"/>
          <w:sz w:val="24"/>
          <w:szCs w:val="24"/>
        </w:rPr>
        <w:t>kasa</w:t>
      </w:r>
      <w:r w:rsidR="007E7B73" w:rsidRPr="006D59BB">
        <w:rPr>
          <w:rFonts w:ascii="Times New Roman" w:hAnsi="Times New Roman" w:cs="Times New Roman"/>
          <w:sz w:val="24"/>
          <w:szCs w:val="24"/>
        </w:rPr>
        <w:t>toryjnych</w:t>
      </w:r>
      <w:proofErr w:type="spellEnd"/>
      <w:r w:rsidR="000C5164" w:rsidRPr="006D59BB">
        <w:rPr>
          <w:rFonts w:ascii="Times New Roman" w:hAnsi="Times New Roman" w:cs="Times New Roman"/>
          <w:sz w:val="24"/>
          <w:szCs w:val="24"/>
        </w:rPr>
        <w:t xml:space="preserve">, ale także od postanowień wydanych przez odpowiednie zastosowanie art. 138 § 2 Kpa, w związku z art. 144 Kpa. Przepisy rozdziału </w:t>
      </w:r>
      <w:proofErr w:type="spellStart"/>
      <w:r w:rsidR="000C5164" w:rsidRPr="006D59BB">
        <w:rPr>
          <w:rFonts w:ascii="Times New Roman" w:hAnsi="Times New Roman" w:cs="Times New Roman"/>
          <w:sz w:val="24"/>
          <w:szCs w:val="24"/>
        </w:rPr>
        <w:t>3a</w:t>
      </w:r>
      <w:proofErr w:type="spellEnd"/>
      <w:r w:rsidR="000C5164" w:rsidRPr="006D59BB">
        <w:rPr>
          <w:rFonts w:ascii="Times New Roman" w:hAnsi="Times New Roman" w:cs="Times New Roman"/>
          <w:sz w:val="24"/>
          <w:szCs w:val="24"/>
        </w:rPr>
        <w:t xml:space="preserve"> </w:t>
      </w:r>
      <w:proofErr w:type="spellStart"/>
      <w:r w:rsidR="000C5164" w:rsidRPr="006D59BB">
        <w:rPr>
          <w:rFonts w:ascii="Times New Roman" w:hAnsi="Times New Roman" w:cs="Times New Roman"/>
          <w:sz w:val="24"/>
          <w:szCs w:val="24"/>
        </w:rPr>
        <w:t>Ppsa</w:t>
      </w:r>
      <w:proofErr w:type="spellEnd"/>
      <w:r w:rsidR="000C5164" w:rsidRPr="006D59BB">
        <w:rPr>
          <w:rFonts w:ascii="Times New Roman" w:hAnsi="Times New Roman" w:cs="Times New Roman"/>
          <w:sz w:val="24"/>
          <w:szCs w:val="24"/>
        </w:rPr>
        <w:t xml:space="preserve"> („Sprzeciw od decyzji”), w obecnym brzmieniu, mają zastosowanie tylko do decyzji administracyjnyc</w:t>
      </w:r>
      <w:r w:rsidR="007E7B73" w:rsidRPr="006D59BB">
        <w:rPr>
          <w:rFonts w:ascii="Times New Roman" w:hAnsi="Times New Roman" w:cs="Times New Roman"/>
          <w:sz w:val="24"/>
          <w:szCs w:val="24"/>
        </w:rPr>
        <w:t xml:space="preserve">h. </w:t>
      </w:r>
      <w:r w:rsidR="000C5164" w:rsidRPr="006D59BB">
        <w:rPr>
          <w:rFonts w:ascii="Times New Roman" w:hAnsi="Times New Roman" w:cs="Times New Roman"/>
          <w:sz w:val="24"/>
          <w:szCs w:val="24"/>
        </w:rPr>
        <w:t>Jednocześnie</w:t>
      </w:r>
      <w:r w:rsidR="007E7B73" w:rsidRPr="006D59BB">
        <w:rPr>
          <w:rFonts w:ascii="Times New Roman" w:hAnsi="Times New Roman" w:cs="Times New Roman"/>
          <w:sz w:val="24"/>
          <w:szCs w:val="24"/>
        </w:rPr>
        <w:t xml:space="preserve"> stron</w:t>
      </w:r>
      <w:r w:rsidR="000C5164" w:rsidRPr="006D59BB">
        <w:rPr>
          <w:rFonts w:ascii="Times New Roman" w:hAnsi="Times New Roman" w:cs="Times New Roman"/>
          <w:sz w:val="24"/>
          <w:szCs w:val="24"/>
        </w:rPr>
        <w:t>ie powinno przysługiwać prawo wniesienia sprzeciwu od postanowi</w:t>
      </w:r>
      <w:r w:rsidR="007E7B73" w:rsidRPr="006D59BB">
        <w:rPr>
          <w:rFonts w:ascii="Times New Roman" w:hAnsi="Times New Roman" w:cs="Times New Roman"/>
          <w:sz w:val="24"/>
          <w:szCs w:val="24"/>
        </w:rPr>
        <w:t>enia</w:t>
      </w:r>
      <w:r w:rsidR="000C5164" w:rsidRPr="006D59BB">
        <w:rPr>
          <w:rFonts w:ascii="Times New Roman" w:hAnsi="Times New Roman" w:cs="Times New Roman"/>
          <w:sz w:val="24"/>
          <w:szCs w:val="24"/>
        </w:rPr>
        <w:t xml:space="preserve"> wydanego na podst</w:t>
      </w:r>
      <w:r w:rsidR="007E7B73" w:rsidRPr="006D59BB">
        <w:rPr>
          <w:rFonts w:ascii="Times New Roman" w:hAnsi="Times New Roman" w:cs="Times New Roman"/>
          <w:sz w:val="24"/>
          <w:szCs w:val="24"/>
        </w:rPr>
        <w:t>awi</w:t>
      </w:r>
      <w:r w:rsidR="000C5164" w:rsidRPr="006D59BB">
        <w:rPr>
          <w:rFonts w:ascii="Times New Roman" w:hAnsi="Times New Roman" w:cs="Times New Roman"/>
          <w:sz w:val="24"/>
          <w:szCs w:val="24"/>
        </w:rPr>
        <w:t>e art. 144 w związku z art. 138 § 2 Kpa – analogicznie jak w</w:t>
      </w:r>
      <w:r w:rsidR="00C74181" w:rsidRPr="006D59BB">
        <w:rPr>
          <w:rFonts w:ascii="Times New Roman" w:hAnsi="Times New Roman" w:cs="Times New Roman"/>
          <w:sz w:val="24"/>
          <w:szCs w:val="24"/>
        </w:rPr>
        <w:t> </w:t>
      </w:r>
      <w:r w:rsidR="000C5164" w:rsidRPr="006D59BB">
        <w:rPr>
          <w:rFonts w:ascii="Times New Roman" w:hAnsi="Times New Roman" w:cs="Times New Roman"/>
          <w:sz w:val="24"/>
          <w:szCs w:val="24"/>
        </w:rPr>
        <w:t xml:space="preserve">przypadku decyzji na podstawie art. </w:t>
      </w:r>
      <w:proofErr w:type="spellStart"/>
      <w:r w:rsidR="000C5164" w:rsidRPr="006D59BB">
        <w:rPr>
          <w:rFonts w:ascii="Times New Roman" w:hAnsi="Times New Roman" w:cs="Times New Roman"/>
          <w:sz w:val="24"/>
          <w:szCs w:val="24"/>
        </w:rPr>
        <w:t>64a</w:t>
      </w:r>
      <w:proofErr w:type="spellEnd"/>
      <w:r w:rsidR="000C5164" w:rsidRPr="006D59BB">
        <w:rPr>
          <w:rFonts w:ascii="Times New Roman" w:hAnsi="Times New Roman" w:cs="Times New Roman"/>
          <w:sz w:val="24"/>
          <w:szCs w:val="24"/>
        </w:rPr>
        <w:t xml:space="preserve"> </w:t>
      </w:r>
      <w:proofErr w:type="spellStart"/>
      <w:r w:rsidR="000C5164" w:rsidRPr="006D59BB">
        <w:rPr>
          <w:rFonts w:ascii="Times New Roman" w:hAnsi="Times New Roman" w:cs="Times New Roman"/>
          <w:sz w:val="24"/>
          <w:szCs w:val="24"/>
        </w:rPr>
        <w:t>Ppsa</w:t>
      </w:r>
      <w:proofErr w:type="spellEnd"/>
      <w:r w:rsidR="000C5164" w:rsidRPr="006D59BB">
        <w:rPr>
          <w:rFonts w:ascii="Times New Roman" w:hAnsi="Times New Roman" w:cs="Times New Roman"/>
          <w:sz w:val="24"/>
          <w:szCs w:val="24"/>
        </w:rPr>
        <w:t>.</w:t>
      </w:r>
    </w:p>
    <w:p w14:paraId="0B6B8FFD" w14:textId="1A3456BC" w:rsidR="006D4190" w:rsidRPr="006D59BB" w:rsidRDefault="000C5164"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 xml:space="preserve">Zgodnie z art. 144 Kpa w sprawach dotyczących zażaleń w dużej mierze znajdują zastosowanie przepisy dotyczące </w:t>
      </w:r>
      <w:proofErr w:type="spellStart"/>
      <w:r w:rsidRPr="006D59BB">
        <w:rPr>
          <w:rFonts w:ascii="Times New Roman" w:hAnsi="Times New Roman" w:cs="Times New Roman"/>
          <w:sz w:val="24"/>
          <w:szCs w:val="24"/>
        </w:rPr>
        <w:t>odwołań</w:t>
      </w:r>
      <w:proofErr w:type="spellEnd"/>
      <w:r w:rsidRPr="006D59BB">
        <w:rPr>
          <w:rFonts w:ascii="Times New Roman" w:hAnsi="Times New Roman" w:cs="Times New Roman"/>
          <w:sz w:val="24"/>
          <w:szCs w:val="24"/>
        </w:rPr>
        <w:t xml:space="preserve"> od decyzji. W lite</w:t>
      </w:r>
      <w:r w:rsidR="007E7B73" w:rsidRPr="006D59BB">
        <w:rPr>
          <w:rFonts w:ascii="Times New Roman" w:hAnsi="Times New Roman" w:cs="Times New Roman"/>
          <w:sz w:val="24"/>
          <w:szCs w:val="24"/>
        </w:rPr>
        <w:t>ratu</w:t>
      </w:r>
      <w:r w:rsidRPr="006D59BB">
        <w:rPr>
          <w:rFonts w:ascii="Times New Roman" w:hAnsi="Times New Roman" w:cs="Times New Roman"/>
          <w:sz w:val="24"/>
          <w:szCs w:val="24"/>
        </w:rPr>
        <w:t>rze w</w:t>
      </w:r>
      <w:r w:rsidR="007E7B73" w:rsidRPr="006D59BB">
        <w:rPr>
          <w:rFonts w:ascii="Times New Roman" w:hAnsi="Times New Roman" w:cs="Times New Roman"/>
          <w:sz w:val="24"/>
          <w:szCs w:val="24"/>
        </w:rPr>
        <w:t>yra</w:t>
      </w:r>
      <w:r w:rsidRPr="006D59BB">
        <w:rPr>
          <w:rFonts w:ascii="Times New Roman" w:hAnsi="Times New Roman" w:cs="Times New Roman"/>
          <w:sz w:val="24"/>
          <w:szCs w:val="24"/>
        </w:rPr>
        <w:t>źnie wskazuje się, że wobec wniesienia zażalenia na postanowienie organ odwoławczy musi zastosować odpowiednio m.in. przepis art. 138 Kpa (por. B.</w:t>
      </w:r>
      <w:r w:rsidR="00E6226B" w:rsidRPr="006D59BB">
        <w:rPr>
          <w:rFonts w:ascii="Times New Roman" w:hAnsi="Times New Roman" w:cs="Times New Roman"/>
          <w:sz w:val="24"/>
          <w:szCs w:val="24"/>
        </w:rPr>
        <w:t> </w:t>
      </w:r>
      <w:r w:rsidRPr="006D59BB">
        <w:rPr>
          <w:rFonts w:ascii="Times New Roman" w:hAnsi="Times New Roman" w:cs="Times New Roman"/>
          <w:sz w:val="24"/>
          <w:szCs w:val="24"/>
        </w:rPr>
        <w:t xml:space="preserve">Adamiak, w: Adamiak, Borkowski, Komentarz Kpa, 2016, s. 636 i n.; K. </w:t>
      </w:r>
      <w:proofErr w:type="spellStart"/>
      <w:r w:rsidRPr="006D59BB">
        <w:rPr>
          <w:rFonts w:ascii="Times New Roman" w:hAnsi="Times New Roman" w:cs="Times New Roman"/>
          <w:sz w:val="24"/>
          <w:szCs w:val="24"/>
        </w:rPr>
        <w:t>Glibowski</w:t>
      </w:r>
      <w:proofErr w:type="spellEnd"/>
      <w:r w:rsidRPr="006D59BB">
        <w:rPr>
          <w:rFonts w:ascii="Times New Roman" w:hAnsi="Times New Roman" w:cs="Times New Roman"/>
          <w:sz w:val="24"/>
          <w:szCs w:val="24"/>
        </w:rPr>
        <w:t>, w:</w:t>
      </w:r>
      <w:r w:rsidR="00C74181" w:rsidRPr="006D59BB">
        <w:rPr>
          <w:rFonts w:ascii="Times New Roman" w:hAnsi="Times New Roman" w:cs="Times New Roman"/>
          <w:sz w:val="24"/>
          <w:szCs w:val="24"/>
        </w:rPr>
        <w:t> </w:t>
      </w:r>
      <w:r w:rsidRPr="006D59BB">
        <w:rPr>
          <w:rFonts w:ascii="Times New Roman" w:hAnsi="Times New Roman" w:cs="Times New Roman"/>
          <w:sz w:val="24"/>
          <w:szCs w:val="24"/>
        </w:rPr>
        <w:t>Hauser, Wierzbowski, Komentarz Kpa, 2017, s. 978 i n.). Podobne stanowisko przyjmuje się w</w:t>
      </w:r>
      <w:r w:rsidR="00C74181" w:rsidRPr="006D59BB">
        <w:rPr>
          <w:rFonts w:ascii="Times New Roman" w:hAnsi="Times New Roman" w:cs="Times New Roman"/>
          <w:sz w:val="24"/>
          <w:szCs w:val="24"/>
        </w:rPr>
        <w:t> </w:t>
      </w:r>
      <w:r w:rsidRPr="006D59BB">
        <w:rPr>
          <w:rFonts w:ascii="Times New Roman" w:hAnsi="Times New Roman" w:cs="Times New Roman"/>
          <w:sz w:val="24"/>
          <w:szCs w:val="24"/>
        </w:rPr>
        <w:t xml:space="preserve">orzecznictwie sądów administracyjnych (zob. wyr. NSA z 9 listopada 2012 r., II </w:t>
      </w:r>
      <w:proofErr w:type="spellStart"/>
      <w:r w:rsidRPr="006D59BB">
        <w:rPr>
          <w:rFonts w:ascii="Times New Roman" w:hAnsi="Times New Roman" w:cs="Times New Roman"/>
          <w:sz w:val="24"/>
          <w:szCs w:val="24"/>
        </w:rPr>
        <w:t>GSK</w:t>
      </w:r>
      <w:proofErr w:type="spellEnd"/>
      <w:r w:rsidRPr="006D59BB">
        <w:rPr>
          <w:rFonts w:ascii="Times New Roman" w:hAnsi="Times New Roman" w:cs="Times New Roman"/>
          <w:sz w:val="24"/>
          <w:szCs w:val="24"/>
        </w:rPr>
        <w:t xml:space="preserve"> 1503/11, </w:t>
      </w:r>
      <w:proofErr w:type="spellStart"/>
      <w:r w:rsidRPr="006D59BB">
        <w:rPr>
          <w:rFonts w:ascii="Times New Roman" w:hAnsi="Times New Roman" w:cs="Times New Roman"/>
          <w:sz w:val="24"/>
          <w:szCs w:val="24"/>
        </w:rPr>
        <w:t>Legalis</w:t>
      </w:r>
      <w:proofErr w:type="spellEnd"/>
      <w:r w:rsidRPr="006D59BB">
        <w:rPr>
          <w:rFonts w:ascii="Times New Roman" w:hAnsi="Times New Roman" w:cs="Times New Roman"/>
          <w:sz w:val="24"/>
          <w:szCs w:val="24"/>
        </w:rPr>
        <w:t>; wyr. NSA z</w:t>
      </w:r>
      <w:r w:rsidR="00E6226B" w:rsidRPr="006D59BB">
        <w:rPr>
          <w:rFonts w:ascii="Times New Roman" w:hAnsi="Times New Roman" w:cs="Times New Roman"/>
          <w:sz w:val="24"/>
          <w:szCs w:val="24"/>
        </w:rPr>
        <w:t> </w:t>
      </w:r>
      <w:r w:rsidRPr="006D59BB">
        <w:rPr>
          <w:rFonts w:ascii="Times New Roman" w:hAnsi="Times New Roman" w:cs="Times New Roman"/>
          <w:sz w:val="24"/>
          <w:szCs w:val="24"/>
        </w:rPr>
        <w:t xml:space="preserve">26 marca 1998 r., II SA 137/98, </w:t>
      </w:r>
      <w:proofErr w:type="spellStart"/>
      <w:r w:rsidRPr="006D59BB">
        <w:rPr>
          <w:rFonts w:ascii="Times New Roman" w:hAnsi="Times New Roman" w:cs="Times New Roman"/>
          <w:sz w:val="24"/>
          <w:szCs w:val="24"/>
        </w:rPr>
        <w:t>niepubl</w:t>
      </w:r>
      <w:proofErr w:type="spellEnd"/>
      <w:r w:rsidRPr="006D59BB">
        <w:rPr>
          <w:rFonts w:ascii="Times New Roman" w:hAnsi="Times New Roman" w:cs="Times New Roman"/>
          <w:sz w:val="24"/>
          <w:szCs w:val="24"/>
        </w:rPr>
        <w:t>.; wyr. WSA w Warszawie z 3 kwietnia 2008 r., V SA/</w:t>
      </w:r>
      <w:proofErr w:type="spellStart"/>
      <w:r w:rsidRPr="006D59BB">
        <w:rPr>
          <w:rFonts w:ascii="Times New Roman" w:hAnsi="Times New Roman" w:cs="Times New Roman"/>
          <w:sz w:val="24"/>
          <w:szCs w:val="24"/>
        </w:rPr>
        <w:t>Wa</w:t>
      </w:r>
      <w:proofErr w:type="spellEnd"/>
      <w:r w:rsidRPr="006D59BB">
        <w:rPr>
          <w:rFonts w:ascii="Times New Roman" w:hAnsi="Times New Roman" w:cs="Times New Roman"/>
          <w:sz w:val="24"/>
          <w:szCs w:val="24"/>
        </w:rPr>
        <w:t xml:space="preserve"> 367/08, </w:t>
      </w:r>
      <w:proofErr w:type="spellStart"/>
      <w:r w:rsidRPr="006D59BB">
        <w:rPr>
          <w:rFonts w:ascii="Times New Roman" w:hAnsi="Times New Roman" w:cs="Times New Roman"/>
          <w:sz w:val="24"/>
          <w:szCs w:val="24"/>
        </w:rPr>
        <w:t>Legalis</w:t>
      </w:r>
      <w:proofErr w:type="spellEnd"/>
      <w:r w:rsidRPr="006D59BB">
        <w:rPr>
          <w:rFonts w:ascii="Times New Roman" w:hAnsi="Times New Roman" w:cs="Times New Roman"/>
          <w:sz w:val="24"/>
          <w:szCs w:val="24"/>
        </w:rPr>
        <w:t>). Możliwe</w:t>
      </w:r>
      <w:r w:rsidR="00C24E62" w:rsidRPr="006D59BB">
        <w:rPr>
          <w:rFonts w:ascii="Times New Roman" w:hAnsi="Times New Roman" w:cs="Times New Roman"/>
          <w:sz w:val="24"/>
          <w:szCs w:val="24"/>
        </w:rPr>
        <w:t xml:space="preserve"> jest</w:t>
      </w:r>
      <w:r w:rsidRPr="006D59BB">
        <w:rPr>
          <w:rFonts w:ascii="Times New Roman" w:hAnsi="Times New Roman" w:cs="Times New Roman"/>
          <w:sz w:val="24"/>
          <w:szCs w:val="24"/>
        </w:rPr>
        <w:t xml:space="preserve"> zatem, aby o</w:t>
      </w:r>
      <w:r w:rsidR="000464F5" w:rsidRPr="006D59BB">
        <w:rPr>
          <w:rFonts w:ascii="Times New Roman" w:hAnsi="Times New Roman" w:cs="Times New Roman"/>
          <w:sz w:val="24"/>
          <w:szCs w:val="24"/>
        </w:rPr>
        <w:t>r</w:t>
      </w:r>
      <w:r w:rsidR="00C24E62" w:rsidRPr="006D59BB">
        <w:rPr>
          <w:rFonts w:ascii="Times New Roman" w:hAnsi="Times New Roman" w:cs="Times New Roman"/>
          <w:sz w:val="24"/>
          <w:szCs w:val="24"/>
        </w:rPr>
        <w:t>ga</w:t>
      </w:r>
      <w:r w:rsidRPr="006D59BB">
        <w:rPr>
          <w:rFonts w:ascii="Times New Roman" w:hAnsi="Times New Roman" w:cs="Times New Roman"/>
          <w:sz w:val="24"/>
          <w:szCs w:val="24"/>
        </w:rPr>
        <w:t>n drugiej instancji, rozpatrując zażalenie na postanowienie wydane przez organ pierwszej instancji, zgodnie z art. 138 § 2 w zw. z art. 144 Kpa, wydał postanowienie o uchyleniu postanowienia i przeka</w:t>
      </w:r>
      <w:r w:rsidR="00C24E62" w:rsidRPr="006D59BB">
        <w:rPr>
          <w:rFonts w:ascii="Times New Roman" w:hAnsi="Times New Roman" w:cs="Times New Roman"/>
          <w:sz w:val="24"/>
          <w:szCs w:val="24"/>
        </w:rPr>
        <w:t>zan</w:t>
      </w:r>
      <w:r w:rsidRPr="006D59BB">
        <w:rPr>
          <w:rFonts w:ascii="Times New Roman" w:hAnsi="Times New Roman" w:cs="Times New Roman"/>
          <w:sz w:val="24"/>
          <w:szCs w:val="24"/>
        </w:rPr>
        <w:t>iu sprawy do po</w:t>
      </w:r>
      <w:r w:rsidR="00C24E62" w:rsidRPr="006D59BB">
        <w:rPr>
          <w:rFonts w:ascii="Times New Roman" w:hAnsi="Times New Roman" w:cs="Times New Roman"/>
          <w:sz w:val="24"/>
          <w:szCs w:val="24"/>
        </w:rPr>
        <w:t>nown</w:t>
      </w:r>
      <w:r w:rsidRPr="006D59BB">
        <w:rPr>
          <w:rFonts w:ascii="Times New Roman" w:hAnsi="Times New Roman" w:cs="Times New Roman"/>
          <w:sz w:val="24"/>
          <w:szCs w:val="24"/>
        </w:rPr>
        <w:t>ego rozpatrzenia. Obecnie sprzeciw nie pr</w:t>
      </w:r>
      <w:r w:rsidR="00C24E62" w:rsidRPr="006D59BB">
        <w:rPr>
          <w:rFonts w:ascii="Times New Roman" w:hAnsi="Times New Roman" w:cs="Times New Roman"/>
          <w:sz w:val="24"/>
          <w:szCs w:val="24"/>
        </w:rPr>
        <w:t>zys</w:t>
      </w:r>
      <w:r w:rsidRPr="006D59BB">
        <w:rPr>
          <w:rFonts w:ascii="Times New Roman" w:hAnsi="Times New Roman" w:cs="Times New Roman"/>
          <w:sz w:val="24"/>
          <w:szCs w:val="24"/>
        </w:rPr>
        <w:t xml:space="preserve">ługuje od postanowienia organu drugiej instancji wydanego na podstawie art. 138 § 2 w zw. z art. 144 Kpa </w:t>
      </w:r>
      <w:r w:rsidR="00C24E62" w:rsidRPr="006D59BB">
        <w:rPr>
          <w:rFonts w:ascii="Times New Roman" w:hAnsi="Times New Roman" w:cs="Times New Roman"/>
          <w:sz w:val="24"/>
          <w:szCs w:val="24"/>
        </w:rPr>
        <w:t xml:space="preserve">ze </w:t>
      </w:r>
      <w:r w:rsidRPr="006D59BB">
        <w:rPr>
          <w:rFonts w:ascii="Times New Roman" w:hAnsi="Times New Roman" w:cs="Times New Roman"/>
          <w:sz w:val="24"/>
          <w:szCs w:val="24"/>
        </w:rPr>
        <w:t xml:space="preserve">względu na to, że ustawodawca w art. </w:t>
      </w:r>
      <w:proofErr w:type="spellStart"/>
      <w:r w:rsidRPr="006D59BB">
        <w:rPr>
          <w:rFonts w:ascii="Times New Roman" w:hAnsi="Times New Roman" w:cs="Times New Roman"/>
          <w:sz w:val="24"/>
          <w:szCs w:val="24"/>
        </w:rPr>
        <w:t>64a</w:t>
      </w:r>
      <w:proofErr w:type="spellEnd"/>
      <w:r w:rsidRPr="006D59BB">
        <w:rPr>
          <w:rFonts w:ascii="Times New Roman" w:hAnsi="Times New Roman" w:cs="Times New Roman"/>
          <w:sz w:val="24"/>
          <w:szCs w:val="24"/>
        </w:rPr>
        <w:t xml:space="preserve"> </w:t>
      </w:r>
      <w:proofErr w:type="spellStart"/>
      <w:r w:rsidRPr="006D59BB">
        <w:rPr>
          <w:rFonts w:ascii="Times New Roman" w:hAnsi="Times New Roman" w:cs="Times New Roman"/>
          <w:sz w:val="24"/>
          <w:szCs w:val="24"/>
        </w:rPr>
        <w:t>Ppsa</w:t>
      </w:r>
      <w:proofErr w:type="spellEnd"/>
      <w:r w:rsidRPr="006D59BB">
        <w:rPr>
          <w:rFonts w:ascii="Times New Roman" w:hAnsi="Times New Roman" w:cs="Times New Roman"/>
          <w:sz w:val="24"/>
          <w:szCs w:val="24"/>
        </w:rPr>
        <w:t xml:space="preserve"> wprost odnosi się tylko do decyzji (a n</w:t>
      </w:r>
      <w:r w:rsidR="00C24E62" w:rsidRPr="006D59BB">
        <w:rPr>
          <w:rFonts w:ascii="Times New Roman" w:hAnsi="Times New Roman" w:cs="Times New Roman"/>
          <w:sz w:val="24"/>
          <w:szCs w:val="24"/>
        </w:rPr>
        <w:t xml:space="preserve">ie </w:t>
      </w:r>
      <w:r w:rsidRPr="006D59BB">
        <w:rPr>
          <w:rFonts w:ascii="Times New Roman" w:hAnsi="Times New Roman" w:cs="Times New Roman"/>
          <w:sz w:val="24"/>
          <w:szCs w:val="24"/>
        </w:rPr>
        <w:t xml:space="preserve">postanowień) wydanych na podstawie tego przepisu (tj. art. 138 § 2 Kpa). Zaprezentowany pogląd w zakresie braku możliwości wniesienia sprzeciwu z art. </w:t>
      </w:r>
      <w:proofErr w:type="spellStart"/>
      <w:r w:rsidRPr="006D59BB">
        <w:rPr>
          <w:rFonts w:ascii="Times New Roman" w:hAnsi="Times New Roman" w:cs="Times New Roman"/>
          <w:sz w:val="24"/>
          <w:szCs w:val="24"/>
        </w:rPr>
        <w:t>64a</w:t>
      </w:r>
      <w:proofErr w:type="spellEnd"/>
      <w:r w:rsidRPr="006D59BB">
        <w:rPr>
          <w:rFonts w:ascii="Times New Roman" w:hAnsi="Times New Roman" w:cs="Times New Roman"/>
          <w:sz w:val="24"/>
          <w:szCs w:val="24"/>
        </w:rPr>
        <w:t xml:space="preserve"> </w:t>
      </w:r>
      <w:proofErr w:type="spellStart"/>
      <w:r w:rsidRPr="006D59BB">
        <w:rPr>
          <w:rFonts w:ascii="Times New Roman" w:hAnsi="Times New Roman" w:cs="Times New Roman"/>
          <w:sz w:val="24"/>
          <w:szCs w:val="24"/>
        </w:rPr>
        <w:t>Ppsa</w:t>
      </w:r>
      <w:proofErr w:type="spellEnd"/>
      <w:r w:rsidRPr="006D59BB">
        <w:rPr>
          <w:rFonts w:ascii="Times New Roman" w:hAnsi="Times New Roman" w:cs="Times New Roman"/>
          <w:sz w:val="24"/>
          <w:szCs w:val="24"/>
        </w:rPr>
        <w:t xml:space="preserve"> wobec postanowień </w:t>
      </w:r>
      <w:proofErr w:type="spellStart"/>
      <w:r w:rsidRPr="006D59BB">
        <w:rPr>
          <w:rFonts w:ascii="Times New Roman" w:hAnsi="Times New Roman" w:cs="Times New Roman"/>
          <w:sz w:val="24"/>
          <w:szCs w:val="24"/>
        </w:rPr>
        <w:t>kasatoryjnych</w:t>
      </w:r>
      <w:proofErr w:type="spellEnd"/>
      <w:r w:rsidRPr="006D59BB">
        <w:rPr>
          <w:rFonts w:ascii="Times New Roman" w:hAnsi="Times New Roman" w:cs="Times New Roman"/>
          <w:sz w:val="24"/>
          <w:szCs w:val="24"/>
        </w:rPr>
        <w:t xml:space="preserve"> został przyjęty w orzecznictwie </w:t>
      </w:r>
      <w:proofErr w:type="spellStart"/>
      <w:r w:rsidRPr="006D59BB">
        <w:rPr>
          <w:rFonts w:ascii="Times New Roman" w:hAnsi="Times New Roman" w:cs="Times New Roman"/>
          <w:sz w:val="24"/>
          <w:szCs w:val="24"/>
        </w:rPr>
        <w:t>sądowoadministracyjnym</w:t>
      </w:r>
      <w:proofErr w:type="spellEnd"/>
      <w:r w:rsidRPr="006D59BB">
        <w:rPr>
          <w:rFonts w:ascii="Times New Roman" w:hAnsi="Times New Roman" w:cs="Times New Roman"/>
          <w:sz w:val="24"/>
          <w:szCs w:val="24"/>
        </w:rPr>
        <w:t xml:space="preserve">. </w:t>
      </w:r>
      <w:r w:rsidR="00C24E62" w:rsidRPr="006D59BB">
        <w:rPr>
          <w:rFonts w:ascii="Times New Roman" w:hAnsi="Times New Roman" w:cs="Times New Roman"/>
          <w:sz w:val="24"/>
          <w:szCs w:val="24"/>
        </w:rPr>
        <w:t>Składy orzekające</w:t>
      </w:r>
      <w:r w:rsidRPr="006D59BB">
        <w:rPr>
          <w:rFonts w:ascii="Times New Roman" w:hAnsi="Times New Roman" w:cs="Times New Roman"/>
          <w:sz w:val="24"/>
          <w:szCs w:val="24"/>
        </w:rPr>
        <w:t xml:space="preserve"> wyraźnie wskazują, że za takim poglądem przema</w:t>
      </w:r>
      <w:r w:rsidR="00C24E62" w:rsidRPr="006D59BB">
        <w:rPr>
          <w:rFonts w:ascii="Times New Roman" w:hAnsi="Times New Roman" w:cs="Times New Roman"/>
          <w:sz w:val="24"/>
          <w:szCs w:val="24"/>
        </w:rPr>
        <w:t>wiają</w:t>
      </w:r>
      <w:r w:rsidRPr="006D59BB">
        <w:rPr>
          <w:rFonts w:ascii="Times New Roman" w:hAnsi="Times New Roman" w:cs="Times New Roman"/>
          <w:sz w:val="24"/>
          <w:szCs w:val="24"/>
        </w:rPr>
        <w:t xml:space="preserve"> argumenty tożsame z</w:t>
      </w:r>
      <w:r w:rsidR="00C74181" w:rsidRPr="006D59BB">
        <w:rPr>
          <w:rFonts w:ascii="Times New Roman" w:hAnsi="Times New Roman" w:cs="Times New Roman"/>
          <w:sz w:val="24"/>
          <w:szCs w:val="24"/>
        </w:rPr>
        <w:t> </w:t>
      </w:r>
      <w:r w:rsidRPr="006D59BB">
        <w:rPr>
          <w:rFonts w:ascii="Times New Roman" w:hAnsi="Times New Roman" w:cs="Times New Roman"/>
          <w:sz w:val="24"/>
          <w:szCs w:val="24"/>
        </w:rPr>
        <w:t xml:space="preserve">racjami wysłowionymi powyżej </w:t>
      </w:r>
      <w:r w:rsidR="00E07402" w:rsidRPr="006D59BB">
        <w:rPr>
          <w:rFonts w:ascii="Times New Roman" w:hAnsi="Times New Roman" w:cs="Times New Roman"/>
          <w:sz w:val="24"/>
          <w:szCs w:val="24"/>
        </w:rPr>
        <w:t>(por. post</w:t>
      </w:r>
      <w:r w:rsidR="002E452F" w:rsidRPr="006D59BB">
        <w:rPr>
          <w:rFonts w:ascii="Times New Roman" w:hAnsi="Times New Roman" w:cs="Times New Roman"/>
          <w:sz w:val="24"/>
          <w:szCs w:val="24"/>
        </w:rPr>
        <w:t>anowienie</w:t>
      </w:r>
      <w:r w:rsidR="00E07402" w:rsidRPr="006D59BB">
        <w:rPr>
          <w:rFonts w:ascii="Times New Roman" w:hAnsi="Times New Roman" w:cs="Times New Roman"/>
          <w:sz w:val="24"/>
          <w:szCs w:val="24"/>
        </w:rPr>
        <w:t xml:space="preserve"> NSA z 16 lutego 2018 r., sygn. akt I OZ 130/18, </w:t>
      </w:r>
      <w:proofErr w:type="spellStart"/>
      <w:r w:rsidR="00E07402" w:rsidRPr="006D59BB">
        <w:rPr>
          <w:rFonts w:ascii="Times New Roman" w:hAnsi="Times New Roman" w:cs="Times New Roman"/>
          <w:sz w:val="24"/>
          <w:szCs w:val="24"/>
        </w:rPr>
        <w:t>Legalis</w:t>
      </w:r>
      <w:proofErr w:type="spellEnd"/>
      <w:r w:rsidR="00E07402" w:rsidRPr="006D59BB">
        <w:rPr>
          <w:rFonts w:ascii="Times New Roman" w:hAnsi="Times New Roman" w:cs="Times New Roman"/>
          <w:sz w:val="24"/>
          <w:szCs w:val="24"/>
        </w:rPr>
        <w:t>; wyr</w:t>
      </w:r>
      <w:r w:rsidR="002E452F" w:rsidRPr="006D59BB">
        <w:rPr>
          <w:rFonts w:ascii="Times New Roman" w:hAnsi="Times New Roman" w:cs="Times New Roman"/>
          <w:sz w:val="24"/>
          <w:szCs w:val="24"/>
        </w:rPr>
        <w:t>ok</w:t>
      </w:r>
      <w:r w:rsidR="00E07402" w:rsidRPr="006D59BB">
        <w:rPr>
          <w:rFonts w:ascii="Times New Roman" w:hAnsi="Times New Roman" w:cs="Times New Roman"/>
          <w:sz w:val="24"/>
          <w:szCs w:val="24"/>
        </w:rPr>
        <w:t xml:space="preserve"> NSA z 25 maja 2018 r., sygn. akt I </w:t>
      </w:r>
      <w:proofErr w:type="spellStart"/>
      <w:r w:rsidR="00E07402" w:rsidRPr="006D59BB">
        <w:rPr>
          <w:rFonts w:ascii="Times New Roman" w:hAnsi="Times New Roman" w:cs="Times New Roman"/>
          <w:sz w:val="24"/>
          <w:szCs w:val="24"/>
        </w:rPr>
        <w:t>OSK</w:t>
      </w:r>
      <w:proofErr w:type="spellEnd"/>
      <w:r w:rsidR="00E07402" w:rsidRPr="006D59BB">
        <w:rPr>
          <w:rFonts w:ascii="Times New Roman" w:hAnsi="Times New Roman" w:cs="Times New Roman"/>
          <w:sz w:val="24"/>
          <w:szCs w:val="24"/>
        </w:rPr>
        <w:t xml:space="preserve"> 1519/18, </w:t>
      </w:r>
      <w:proofErr w:type="spellStart"/>
      <w:r w:rsidR="00E07402" w:rsidRPr="006D59BB">
        <w:rPr>
          <w:rFonts w:ascii="Times New Roman" w:hAnsi="Times New Roman" w:cs="Times New Roman"/>
          <w:sz w:val="24"/>
          <w:szCs w:val="24"/>
        </w:rPr>
        <w:t>Legalis</w:t>
      </w:r>
      <w:proofErr w:type="spellEnd"/>
      <w:r w:rsidR="00E07402" w:rsidRPr="006D59BB">
        <w:rPr>
          <w:rFonts w:ascii="Times New Roman" w:hAnsi="Times New Roman" w:cs="Times New Roman"/>
          <w:sz w:val="24"/>
          <w:szCs w:val="24"/>
        </w:rPr>
        <w:t>; wyr</w:t>
      </w:r>
      <w:r w:rsidR="002E452F" w:rsidRPr="006D59BB">
        <w:rPr>
          <w:rFonts w:ascii="Times New Roman" w:hAnsi="Times New Roman" w:cs="Times New Roman"/>
          <w:sz w:val="24"/>
          <w:szCs w:val="24"/>
        </w:rPr>
        <w:t>ok</w:t>
      </w:r>
      <w:r w:rsidR="00E07402" w:rsidRPr="006D59BB">
        <w:rPr>
          <w:rFonts w:ascii="Times New Roman" w:hAnsi="Times New Roman" w:cs="Times New Roman"/>
          <w:sz w:val="24"/>
          <w:szCs w:val="24"/>
        </w:rPr>
        <w:t xml:space="preserve"> NSA z 30 maja 2018 r., sygn. akt I </w:t>
      </w:r>
      <w:proofErr w:type="spellStart"/>
      <w:r w:rsidR="00E07402" w:rsidRPr="006D59BB">
        <w:rPr>
          <w:rFonts w:ascii="Times New Roman" w:hAnsi="Times New Roman" w:cs="Times New Roman"/>
          <w:sz w:val="24"/>
          <w:szCs w:val="24"/>
        </w:rPr>
        <w:t>GSK</w:t>
      </w:r>
      <w:proofErr w:type="spellEnd"/>
      <w:r w:rsidR="00E07402" w:rsidRPr="006D59BB">
        <w:rPr>
          <w:rFonts w:ascii="Times New Roman" w:hAnsi="Times New Roman" w:cs="Times New Roman"/>
          <w:sz w:val="24"/>
          <w:szCs w:val="24"/>
        </w:rPr>
        <w:t xml:space="preserve"> 2146/18, </w:t>
      </w:r>
      <w:proofErr w:type="spellStart"/>
      <w:r w:rsidR="00E07402" w:rsidRPr="006D59BB">
        <w:rPr>
          <w:rFonts w:ascii="Times New Roman" w:hAnsi="Times New Roman" w:cs="Times New Roman"/>
          <w:sz w:val="24"/>
          <w:szCs w:val="24"/>
        </w:rPr>
        <w:t>Legalis</w:t>
      </w:r>
      <w:proofErr w:type="spellEnd"/>
      <w:r w:rsidR="00E07402" w:rsidRPr="006D59BB">
        <w:rPr>
          <w:rFonts w:ascii="Times New Roman" w:hAnsi="Times New Roman" w:cs="Times New Roman"/>
          <w:sz w:val="24"/>
          <w:szCs w:val="24"/>
        </w:rPr>
        <w:t>; wyr</w:t>
      </w:r>
      <w:r w:rsidR="002E452F" w:rsidRPr="006D59BB">
        <w:rPr>
          <w:rFonts w:ascii="Times New Roman" w:hAnsi="Times New Roman" w:cs="Times New Roman"/>
          <w:sz w:val="24"/>
          <w:szCs w:val="24"/>
        </w:rPr>
        <w:t>ok</w:t>
      </w:r>
      <w:r w:rsidR="00E07402" w:rsidRPr="006D59BB">
        <w:rPr>
          <w:rFonts w:ascii="Times New Roman" w:hAnsi="Times New Roman" w:cs="Times New Roman"/>
          <w:sz w:val="24"/>
          <w:szCs w:val="24"/>
        </w:rPr>
        <w:t xml:space="preserve"> NSA z 13 grudnia 2018 r., sygn. akt II </w:t>
      </w:r>
      <w:proofErr w:type="spellStart"/>
      <w:r w:rsidR="00E07402" w:rsidRPr="006D59BB">
        <w:rPr>
          <w:rFonts w:ascii="Times New Roman" w:hAnsi="Times New Roman" w:cs="Times New Roman"/>
          <w:sz w:val="24"/>
          <w:szCs w:val="24"/>
        </w:rPr>
        <w:t>FSK</w:t>
      </w:r>
      <w:proofErr w:type="spellEnd"/>
      <w:r w:rsidR="00E07402" w:rsidRPr="006D59BB">
        <w:rPr>
          <w:rFonts w:ascii="Times New Roman" w:hAnsi="Times New Roman" w:cs="Times New Roman"/>
          <w:sz w:val="24"/>
          <w:szCs w:val="24"/>
        </w:rPr>
        <w:t xml:space="preserve"> 2408/18, </w:t>
      </w:r>
      <w:proofErr w:type="spellStart"/>
      <w:r w:rsidR="00E07402" w:rsidRPr="006D59BB">
        <w:rPr>
          <w:rFonts w:ascii="Times New Roman" w:hAnsi="Times New Roman" w:cs="Times New Roman"/>
          <w:sz w:val="24"/>
          <w:szCs w:val="24"/>
        </w:rPr>
        <w:t>Legalis</w:t>
      </w:r>
      <w:proofErr w:type="spellEnd"/>
      <w:r w:rsidR="00E07402" w:rsidRPr="006D59BB">
        <w:rPr>
          <w:rFonts w:ascii="Times New Roman" w:hAnsi="Times New Roman" w:cs="Times New Roman"/>
          <w:sz w:val="24"/>
          <w:szCs w:val="24"/>
        </w:rPr>
        <w:t>; wyr</w:t>
      </w:r>
      <w:r w:rsidR="002E452F" w:rsidRPr="006D59BB">
        <w:rPr>
          <w:rFonts w:ascii="Times New Roman" w:hAnsi="Times New Roman" w:cs="Times New Roman"/>
          <w:sz w:val="24"/>
          <w:szCs w:val="24"/>
        </w:rPr>
        <w:t>ok</w:t>
      </w:r>
      <w:r w:rsidR="00E07402" w:rsidRPr="006D59BB">
        <w:rPr>
          <w:rFonts w:ascii="Times New Roman" w:hAnsi="Times New Roman" w:cs="Times New Roman"/>
          <w:sz w:val="24"/>
          <w:szCs w:val="24"/>
        </w:rPr>
        <w:t xml:space="preserve"> </w:t>
      </w:r>
      <w:proofErr w:type="spellStart"/>
      <w:r w:rsidR="00E07402" w:rsidRPr="006D59BB">
        <w:rPr>
          <w:rFonts w:ascii="Times New Roman" w:hAnsi="Times New Roman" w:cs="Times New Roman"/>
          <w:sz w:val="24"/>
          <w:szCs w:val="24"/>
        </w:rPr>
        <w:t>WSA</w:t>
      </w:r>
      <w:proofErr w:type="spellEnd"/>
      <w:r w:rsidR="00E07402" w:rsidRPr="006D59BB">
        <w:rPr>
          <w:rFonts w:ascii="Times New Roman" w:hAnsi="Times New Roman" w:cs="Times New Roman"/>
          <w:sz w:val="24"/>
          <w:szCs w:val="24"/>
        </w:rPr>
        <w:t xml:space="preserve"> w Rzeszowie z 12 września 2018 r., sygn. akt II SA/</w:t>
      </w:r>
      <w:proofErr w:type="spellStart"/>
      <w:r w:rsidR="00E07402" w:rsidRPr="006D59BB">
        <w:rPr>
          <w:rFonts w:ascii="Times New Roman" w:hAnsi="Times New Roman" w:cs="Times New Roman"/>
          <w:sz w:val="24"/>
          <w:szCs w:val="24"/>
        </w:rPr>
        <w:t>Rz</w:t>
      </w:r>
      <w:proofErr w:type="spellEnd"/>
      <w:r w:rsidR="00E07402" w:rsidRPr="006D59BB">
        <w:rPr>
          <w:rFonts w:ascii="Times New Roman" w:hAnsi="Times New Roman" w:cs="Times New Roman"/>
          <w:sz w:val="24"/>
          <w:szCs w:val="24"/>
        </w:rPr>
        <w:t xml:space="preserve"> 559/18, </w:t>
      </w:r>
      <w:proofErr w:type="spellStart"/>
      <w:r w:rsidR="00E07402" w:rsidRPr="006D59BB">
        <w:rPr>
          <w:rFonts w:ascii="Times New Roman" w:hAnsi="Times New Roman" w:cs="Times New Roman"/>
          <w:sz w:val="24"/>
          <w:szCs w:val="24"/>
        </w:rPr>
        <w:t>Legalis</w:t>
      </w:r>
      <w:proofErr w:type="spellEnd"/>
      <w:r w:rsidR="00E07402" w:rsidRPr="006D59BB">
        <w:rPr>
          <w:rFonts w:ascii="Times New Roman" w:hAnsi="Times New Roman" w:cs="Times New Roman"/>
          <w:sz w:val="24"/>
          <w:szCs w:val="24"/>
        </w:rPr>
        <w:t>; wyr</w:t>
      </w:r>
      <w:r w:rsidR="002E452F" w:rsidRPr="006D59BB">
        <w:rPr>
          <w:rFonts w:ascii="Times New Roman" w:hAnsi="Times New Roman" w:cs="Times New Roman"/>
          <w:sz w:val="24"/>
          <w:szCs w:val="24"/>
        </w:rPr>
        <w:t>ok</w:t>
      </w:r>
      <w:r w:rsidR="00E07402" w:rsidRPr="006D59BB">
        <w:rPr>
          <w:rFonts w:ascii="Times New Roman" w:hAnsi="Times New Roman" w:cs="Times New Roman"/>
          <w:sz w:val="24"/>
          <w:szCs w:val="24"/>
        </w:rPr>
        <w:t xml:space="preserve"> WSA w Szczecinie z 14 czerwca 2018</w:t>
      </w:r>
      <w:r w:rsidR="00802AF0" w:rsidRPr="006D59BB">
        <w:rPr>
          <w:rFonts w:ascii="Times New Roman" w:hAnsi="Times New Roman" w:cs="Times New Roman"/>
          <w:sz w:val="24"/>
          <w:szCs w:val="24"/>
        </w:rPr>
        <w:t> </w:t>
      </w:r>
      <w:r w:rsidR="00E07402" w:rsidRPr="006D59BB">
        <w:rPr>
          <w:rFonts w:ascii="Times New Roman" w:hAnsi="Times New Roman" w:cs="Times New Roman"/>
          <w:sz w:val="24"/>
          <w:szCs w:val="24"/>
        </w:rPr>
        <w:t>r., sygn. akt II SA/</w:t>
      </w:r>
      <w:proofErr w:type="spellStart"/>
      <w:r w:rsidR="00E07402" w:rsidRPr="006D59BB">
        <w:rPr>
          <w:rFonts w:ascii="Times New Roman" w:hAnsi="Times New Roman" w:cs="Times New Roman"/>
          <w:sz w:val="24"/>
          <w:szCs w:val="24"/>
        </w:rPr>
        <w:t>Sz</w:t>
      </w:r>
      <w:proofErr w:type="spellEnd"/>
      <w:r w:rsidR="00E07402" w:rsidRPr="006D59BB">
        <w:rPr>
          <w:rFonts w:ascii="Times New Roman" w:hAnsi="Times New Roman" w:cs="Times New Roman"/>
          <w:sz w:val="24"/>
          <w:szCs w:val="24"/>
        </w:rPr>
        <w:t xml:space="preserve"> </w:t>
      </w:r>
      <w:r w:rsidR="00E07402" w:rsidRPr="006D59BB">
        <w:rPr>
          <w:rFonts w:ascii="Times New Roman" w:hAnsi="Times New Roman" w:cs="Times New Roman"/>
          <w:sz w:val="24"/>
          <w:szCs w:val="24"/>
        </w:rPr>
        <w:lastRenderedPageBreak/>
        <w:t xml:space="preserve">434/18, </w:t>
      </w:r>
      <w:proofErr w:type="spellStart"/>
      <w:r w:rsidR="00E07402" w:rsidRPr="006D59BB">
        <w:rPr>
          <w:rFonts w:ascii="Times New Roman" w:hAnsi="Times New Roman" w:cs="Times New Roman"/>
          <w:sz w:val="24"/>
          <w:szCs w:val="24"/>
        </w:rPr>
        <w:t>Legalis</w:t>
      </w:r>
      <w:proofErr w:type="spellEnd"/>
      <w:r w:rsidR="00E07402" w:rsidRPr="006D59BB">
        <w:rPr>
          <w:rFonts w:ascii="Times New Roman" w:hAnsi="Times New Roman" w:cs="Times New Roman"/>
          <w:sz w:val="24"/>
          <w:szCs w:val="24"/>
        </w:rPr>
        <w:t>; wyr</w:t>
      </w:r>
      <w:r w:rsidR="002E452F" w:rsidRPr="006D59BB">
        <w:rPr>
          <w:rFonts w:ascii="Times New Roman" w:hAnsi="Times New Roman" w:cs="Times New Roman"/>
          <w:sz w:val="24"/>
          <w:szCs w:val="24"/>
        </w:rPr>
        <w:t>ok</w:t>
      </w:r>
      <w:r w:rsidR="00E07402" w:rsidRPr="006D59BB">
        <w:rPr>
          <w:rFonts w:ascii="Times New Roman" w:hAnsi="Times New Roman" w:cs="Times New Roman"/>
          <w:sz w:val="24"/>
          <w:szCs w:val="24"/>
        </w:rPr>
        <w:t xml:space="preserve"> WSA w Lublinie z 5 czerwca 2018 r., sygn. akt II</w:t>
      </w:r>
      <w:r w:rsidR="00802AF0" w:rsidRPr="006D59BB">
        <w:rPr>
          <w:rFonts w:ascii="Times New Roman" w:hAnsi="Times New Roman" w:cs="Times New Roman"/>
          <w:sz w:val="24"/>
          <w:szCs w:val="24"/>
        </w:rPr>
        <w:t> </w:t>
      </w:r>
      <w:r w:rsidR="00E07402" w:rsidRPr="006D59BB">
        <w:rPr>
          <w:rFonts w:ascii="Times New Roman" w:hAnsi="Times New Roman" w:cs="Times New Roman"/>
          <w:sz w:val="24"/>
          <w:szCs w:val="24"/>
        </w:rPr>
        <w:t xml:space="preserve">SA/Lu 314/18, </w:t>
      </w:r>
      <w:proofErr w:type="spellStart"/>
      <w:r w:rsidR="00E07402" w:rsidRPr="006D59BB">
        <w:rPr>
          <w:rFonts w:ascii="Times New Roman" w:hAnsi="Times New Roman" w:cs="Times New Roman"/>
          <w:sz w:val="24"/>
          <w:szCs w:val="24"/>
        </w:rPr>
        <w:t>Legalis</w:t>
      </w:r>
      <w:proofErr w:type="spellEnd"/>
      <w:r w:rsidR="00E07402" w:rsidRPr="006D59BB">
        <w:rPr>
          <w:rFonts w:ascii="Times New Roman" w:hAnsi="Times New Roman" w:cs="Times New Roman"/>
          <w:sz w:val="24"/>
          <w:szCs w:val="24"/>
        </w:rPr>
        <w:t xml:space="preserve">). </w:t>
      </w:r>
    </w:p>
    <w:p w14:paraId="6CC3464B" w14:textId="118CD9CA" w:rsidR="006D4190" w:rsidRPr="006D59BB" w:rsidRDefault="006D4190"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 xml:space="preserve">Należy wskazać, że zgodnie z 3 § 2 pkt 2 </w:t>
      </w:r>
      <w:proofErr w:type="spellStart"/>
      <w:r w:rsidRPr="006D59BB">
        <w:rPr>
          <w:rFonts w:ascii="Times New Roman" w:hAnsi="Times New Roman" w:cs="Times New Roman"/>
          <w:sz w:val="24"/>
          <w:szCs w:val="24"/>
        </w:rPr>
        <w:t>Ppsa</w:t>
      </w:r>
      <w:proofErr w:type="spellEnd"/>
      <w:r w:rsidRPr="006D59BB">
        <w:rPr>
          <w:rFonts w:ascii="Times New Roman" w:hAnsi="Times New Roman" w:cs="Times New Roman"/>
          <w:sz w:val="24"/>
          <w:szCs w:val="24"/>
        </w:rPr>
        <w:t xml:space="preserve"> kontrola działalności administracji publicznej przez sądy administracyjne obejmuje orzekanie w sprawach skarg na postanowienia wydane w postępowaniu administracyjnym, na które służy zażalenie albo kończące postępowanie, a także na postanowienia rozstrzygające sprawę co do istoty. Zatem w obecnym stanie prawnym, gdy po rozpatrzeniu zażalenia na postanowienia organ odwoławczy uchyli zaskarżone postanowienie w całości i przekaże sprawę do ponownego rozpatrzenia organowi pierwszej instancji (na podstawie art. 138 § 2 w związku z</w:t>
      </w:r>
      <w:r w:rsidR="005D5D55" w:rsidRPr="006D59BB">
        <w:rPr>
          <w:rFonts w:ascii="Times New Roman" w:hAnsi="Times New Roman" w:cs="Times New Roman"/>
          <w:sz w:val="24"/>
          <w:szCs w:val="24"/>
        </w:rPr>
        <w:t> </w:t>
      </w:r>
      <w:r w:rsidRPr="006D59BB">
        <w:rPr>
          <w:rFonts w:ascii="Times New Roman" w:hAnsi="Times New Roman" w:cs="Times New Roman"/>
          <w:sz w:val="24"/>
          <w:szCs w:val="24"/>
        </w:rPr>
        <w:t>art.</w:t>
      </w:r>
      <w:r w:rsidR="00802AF0" w:rsidRPr="006D59BB">
        <w:rPr>
          <w:rFonts w:ascii="Times New Roman" w:hAnsi="Times New Roman" w:cs="Times New Roman"/>
          <w:sz w:val="24"/>
          <w:szCs w:val="24"/>
        </w:rPr>
        <w:t> </w:t>
      </w:r>
      <w:r w:rsidRPr="006D59BB">
        <w:rPr>
          <w:rFonts w:ascii="Times New Roman" w:hAnsi="Times New Roman" w:cs="Times New Roman"/>
          <w:sz w:val="24"/>
          <w:szCs w:val="24"/>
        </w:rPr>
        <w:t>144</w:t>
      </w:r>
      <w:r w:rsidR="00802AF0" w:rsidRPr="006D59BB">
        <w:rPr>
          <w:rFonts w:ascii="Times New Roman" w:hAnsi="Times New Roman" w:cs="Times New Roman"/>
          <w:sz w:val="24"/>
          <w:szCs w:val="24"/>
        </w:rPr>
        <w:t> </w:t>
      </w:r>
      <w:r w:rsidRPr="006D59BB">
        <w:rPr>
          <w:rFonts w:ascii="Times New Roman" w:hAnsi="Times New Roman" w:cs="Times New Roman"/>
          <w:sz w:val="24"/>
          <w:szCs w:val="24"/>
        </w:rPr>
        <w:t>Kpa), stronie przysługuje skarga na postanowienie. Natomiast w analogicznej sytuacji ale w</w:t>
      </w:r>
      <w:r w:rsidR="005D5D55" w:rsidRPr="006D59BB">
        <w:rPr>
          <w:rFonts w:ascii="Times New Roman" w:hAnsi="Times New Roman" w:cs="Times New Roman"/>
          <w:sz w:val="24"/>
          <w:szCs w:val="24"/>
        </w:rPr>
        <w:t> </w:t>
      </w:r>
      <w:r w:rsidRPr="006D59BB">
        <w:rPr>
          <w:rFonts w:ascii="Times New Roman" w:hAnsi="Times New Roman" w:cs="Times New Roman"/>
          <w:sz w:val="24"/>
          <w:szCs w:val="24"/>
        </w:rPr>
        <w:t>odniesieniu do decyzji</w:t>
      </w:r>
      <w:r w:rsidR="0035047F" w:rsidRPr="006D59BB">
        <w:rPr>
          <w:rFonts w:ascii="Times New Roman" w:hAnsi="Times New Roman" w:cs="Times New Roman"/>
          <w:sz w:val="24"/>
          <w:szCs w:val="24"/>
        </w:rPr>
        <w:t>,</w:t>
      </w:r>
      <w:r w:rsidRPr="006D59BB">
        <w:rPr>
          <w:rFonts w:ascii="Times New Roman" w:hAnsi="Times New Roman" w:cs="Times New Roman"/>
          <w:sz w:val="24"/>
          <w:szCs w:val="24"/>
        </w:rPr>
        <w:t xml:space="preserve"> stronie przysługuje sprzeciw od decyzji (nie przysługuje natomiast skarga na decyzję). </w:t>
      </w:r>
    </w:p>
    <w:p w14:paraId="1A6C96D9" w14:textId="77777777" w:rsidR="006D4190" w:rsidRPr="006D59BB" w:rsidRDefault="006D4190"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Jednocześnie należy zwrócić uwagę, że sam sprzeciw jest instytucją korzystniejszą dla strony ze względu na:</w:t>
      </w:r>
    </w:p>
    <w:p w14:paraId="52E3B003" w14:textId="0C115111" w:rsidR="006D4190" w:rsidRPr="006D59BB" w:rsidRDefault="00970F6A" w:rsidP="006D59BB">
      <w:pPr>
        <w:spacing w:before="120"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6D4190" w:rsidRPr="006D59BB">
        <w:rPr>
          <w:rFonts w:ascii="Times New Roman" w:hAnsi="Times New Roman" w:cs="Times New Roman"/>
          <w:sz w:val="24"/>
          <w:szCs w:val="24"/>
        </w:rPr>
        <w:t xml:space="preserve">krótsze terminy niż w przypadku skargi (sprzeciw od decyzji wnosi się w terminie czternastu dni; termin ten uważa się za zachowany również gdy przed jego upływem strona wniosła sprzeciw wprost do sądu administracyjnego; organ przekazuje sprzeciw w terminie czternastu dni od dnia jego otrzymania; sąd rozpoznaje sprzeciw na posiedzeniu niejawnym w terminie 30 dni); </w:t>
      </w:r>
    </w:p>
    <w:p w14:paraId="03E4513D" w14:textId="0F5FB7BF" w:rsidR="006D4190" w:rsidRPr="006D59BB" w:rsidRDefault="00970F6A" w:rsidP="006D59BB">
      <w:pPr>
        <w:spacing w:before="120"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6D4190" w:rsidRPr="006D59BB">
        <w:rPr>
          <w:rFonts w:ascii="Times New Roman" w:hAnsi="Times New Roman" w:cs="Times New Roman"/>
          <w:sz w:val="24"/>
          <w:szCs w:val="24"/>
        </w:rPr>
        <w:t>możliwość uwzględnienia sprzeciwu przez organ administracji publicznej (co nie występuje w</w:t>
      </w:r>
      <w:r w:rsidR="00E6226B" w:rsidRPr="006D59BB">
        <w:rPr>
          <w:rFonts w:ascii="Times New Roman" w:hAnsi="Times New Roman" w:cs="Times New Roman"/>
          <w:sz w:val="24"/>
          <w:szCs w:val="24"/>
        </w:rPr>
        <w:t> </w:t>
      </w:r>
      <w:r w:rsidR="006D4190" w:rsidRPr="006D59BB">
        <w:rPr>
          <w:rFonts w:ascii="Times New Roman" w:hAnsi="Times New Roman" w:cs="Times New Roman"/>
          <w:sz w:val="24"/>
          <w:szCs w:val="24"/>
        </w:rPr>
        <w:t>przypadku skargi);</w:t>
      </w:r>
    </w:p>
    <w:p w14:paraId="690D4515" w14:textId="6618C133" w:rsidR="006D4190" w:rsidRPr="006D59BB" w:rsidRDefault="00970F6A" w:rsidP="006D59BB">
      <w:pPr>
        <w:spacing w:before="120"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6D4190" w:rsidRPr="006D59BB">
        <w:rPr>
          <w:rFonts w:ascii="Times New Roman" w:hAnsi="Times New Roman" w:cs="Times New Roman"/>
          <w:sz w:val="24"/>
          <w:szCs w:val="24"/>
        </w:rPr>
        <w:t>brak konieczności określenia w sprzeciwie naruszenia prawa lub interesu prawnego.</w:t>
      </w:r>
    </w:p>
    <w:p w14:paraId="3D20321C" w14:textId="77777777" w:rsidR="006D4190" w:rsidRPr="006D59BB" w:rsidRDefault="006D4190"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W związku z tym nie jest uzasadnione rozróżnienie między decyzjami kasacyjnymi a postanowieniami kasacyjnymi.</w:t>
      </w:r>
    </w:p>
    <w:p w14:paraId="172F4333" w14:textId="1FAF65BA" w:rsidR="006D4190" w:rsidRPr="006D59BB" w:rsidRDefault="006D4190"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 xml:space="preserve">Konsekwencją dodania art. </w:t>
      </w:r>
      <w:proofErr w:type="spellStart"/>
      <w:r w:rsidRPr="006D59BB">
        <w:rPr>
          <w:rFonts w:ascii="Times New Roman" w:hAnsi="Times New Roman" w:cs="Times New Roman"/>
          <w:sz w:val="24"/>
          <w:szCs w:val="24"/>
        </w:rPr>
        <w:t>64f</w:t>
      </w:r>
      <w:proofErr w:type="spellEnd"/>
      <w:r w:rsidRPr="006D59BB">
        <w:rPr>
          <w:rFonts w:ascii="Times New Roman" w:hAnsi="Times New Roman" w:cs="Times New Roman"/>
          <w:sz w:val="24"/>
          <w:szCs w:val="24"/>
        </w:rPr>
        <w:t xml:space="preserve"> </w:t>
      </w:r>
      <w:proofErr w:type="spellStart"/>
      <w:r w:rsidRPr="006D59BB">
        <w:rPr>
          <w:rFonts w:ascii="Times New Roman" w:hAnsi="Times New Roman" w:cs="Times New Roman"/>
          <w:sz w:val="24"/>
          <w:szCs w:val="24"/>
        </w:rPr>
        <w:t>Ppsa</w:t>
      </w:r>
      <w:proofErr w:type="spellEnd"/>
      <w:r w:rsidRPr="006D59BB">
        <w:rPr>
          <w:rFonts w:ascii="Times New Roman" w:hAnsi="Times New Roman" w:cs="Times New Roman"/>
          <w:sz w:val="24"/>
          <w:szCs w:val="24"/>
        </w:rPr>
        <w:t xml:space="preserve"> są zmiany art. 3 § 2a, tytułu rozdziału 3a w dziale III, art. 151a §</w:t>
      </w:r>
      <w:r w:rsidR="00802AF0" w:rsidRPr="006D59BB">
        <w:rPr>
          <w:rFonts w:ascii="Times New Roman" w:hAnsi="Times New Roman" w:cs="Times New Roman"/>
          <w:sz w:val="24"/>
          <w:szCs w:val="24"/>
        </w:rPr>
        <w:t> </w:t>
      </w:r>
      <w:r w:rsidRPr="006D59BB">
        <w:rPr>
          <w:rFonts w:ascii="Times New Roman" w:hAnsi="Times New Roman" w:cs="Times New Roman"/>
          <w:sz w:val="24"/>
          <w:szCs w:val="24"/>
        </w:rPr>
        <w:t xml:space="preserve">4, art. 182 § 2a, art. 182a oraz art. 230 § 2 </w:t>
      </w:r>
      <w:proofErr w:type="spellStart"/>
      <w:r w:rsidRPr="006D59BB">
        <w:rPr>
          <w:rFonts w:ascii="Times New Roman" w:hAnsi="Times New Roman" w:cs="Times New Roman"/>
          <w:sz w:val="24"/>
          <w:szCs w:val="24"/>
        </w:rPr>
        <w:t>Ppsa</w:t>
      </w:r>
      <w:proofErr w:type="spellEnd"/>
      <w:r w:rsidRPr="006D59BB">
        <w:rPr>
          <w:rFonts w:ascii="Times New Roman" w:hAnsi="Times New Roman" w:cs="Times New Roman"/>
          <w:sz w:val="24"/>
          <w:szCs w:val="24"/>
        </w:rPr>
        <w:t xml:space="preserve">, które zostały uzupełnione o instytucję sprzeciwu od postanowienia. </w:t>
      </w:r>
    </w:p>
    <w:p w14:paraId="27F8A9BB" w14:textId="6242766C" w:rsidR="00566D1B" w:rsidRPr="006D59BB" w:rsidRDefault="006D4190"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 xml:space="preserve">Jednocześnie w związku ze zmianą art. 230 § 2 </w:t>
      </w:r>
      <w:proofErr w:type="spellStart"/>
      <w:r w:rsidRPr="006D59BB">
        <w:rPr>
          <w:rFonts w:ascii="Times New Roman" w:hAnsi="Times New Roman" w:cs="Times New Roman"/>
          <w:sz w:val="24"/>
          <w:szCs w:val="24"/>
        </w:rPr>
        <w:t>Ppsa</w:t>
      </w:r>
      <w:proofErr w:type="spellEnd"/>
      <w:r w:rsidRPr="006D59BB">
        <w:rPr>
          <w:rFonts w:ascii="Times New Roman" w:hAnsi="Times New Roman" w:cs="Times New Roman"/>
          <w:sz w:val="24"/>
          <w:szCs w:val="24"/>
        </w:rPr>
        <w:t>, i dodaniem w nim sprzeciwu od postanowienia, jako pisma wszczynającego postępowanie przed sądem administracyjnym w danej instancji</w:t>
      </w:r>
      <w:r w:rsidR="00FB122D" w:rsidRPr="006D59BB">
        <w:rPr>
          <w:rFonts w:ascii="Times New Roman" w:hAnsi="Times New Roman" w:cs="Times New Roman"/>
          <w:sz w:val="24"/>
          <w:szCs w:val="24"/>
        </w:rPr>
        <w:t>,</w:t>
      </w:r>
      <w:r w:rsidRPr="006D59BB">
        <w:rPr>
          <w:rFonts w:ascii="Times New Roman" w:hAnsi="Times New Roman" w:cs="Times New Roman"/>
          <w:sz w:val="24"/>
          <w:szCs w:val="24"/>
        </w:rPr>
        <w:t xml:space="preserve"> od którego należny będzie wpis (art. 230 § 1 </w:t>
      </w:r>
      <w:proofErr w:type="spellStart"/>
      <w:r w:rsidRPr="006D59BB">
        <w:rPr>
          <w:rFonts w:ascii="Times New Roman" w:hAnsi="Times New Roman" w:cs="Times New Roman"/>
          <w:sz w:val="24"/>
          <w:szCs w:val="24"/>
        </w:rPr>
        <w:t>Ppsa</w:t>
      </w:r>
      <w:proofErr w:type="spellEnd"/>
      <w:r w:rsidRPr="006D59BB">
        <w:rPr>
          <w:rFonts w:ascii="Times New Roman" w:hAnsi="Times New Roman" w:cs="Times New Roman"/>
          <w:sz w:val="24"/>
          <w:szCs w:val="24"/>
        </w:rPr>
        <w:t>), konieczna będzie również zmiana rozporządzenia Rady Ministrów z dnia 18 marca 2021 r. w sprawie wysokości oraz szczegółowych zasad pobierania wpisu w</w:t>
      </w:r>
      <w:r w:rsidR="00E6226B" w:rsidRPr="006D59BB">
        <w:rPr>
          <w:rFonts w:ascii="Times New Roman" w:hAnsi="Times New Roman" w:cs="Times New Roman"/>
          <w:sz w:val="24"/>
          <w:szCs w:val="24"/>
        </w:rPr>
        <w:t> </w:t>
      </w:r>
      <w:r w:rsidRPr="006D59BB">
        <w:rPr>
          <w:rFonts w:ascii="Times New Roman" w:hAnsi="Times New Roman" w:cs="Times New Roman"/>
          <w:sz w:val="24"/>
          <w:szCs w:val="24"/>
        </w:rPr>
        <w:t>postępowaniu przed sądami administracyjnymi</w:t>
      </w:r>
      <w:r w:rsidR="000C5164" w:rsidRPr="006D59BB">
        <w:rPr>
          <w:rFonts w:ascii="Times New Roman" w:hAnsi="Times New Roman" w:cs="Times New Roman"/>
          <w:sz w:val="24"/>
          <w:szCs w:val="24"/>
        </w:rPr>
        <w:t>.</w:t>
      </w:r>
    </w:p>
    <w:p w14:paraId="4A2D10CF" w14:textId="6F43F232" w:rsidR="00885DD8" w:rsidRPr="006D59BB" w:rsidRDefault="00885DD8" w:rsidP="006D59BB">
      <w:pPr>
        <w:pStyle w:val="Styl1"/>
        <w:spacing w:before="120" w:after="0" w:line="360" w:lineRule="auto"/>
        <w:rPr>
          <w:sz w:val="24"/>
          <w:szCs w:val="24"/>
        </w:rPr>
      </w:pPr>
      <w:bookmarkStart w:id="34" w:name="_Toc192358923"/>
      <w:r w:rsidRPr="006D59BB">
        <w:rPr>
          <w:sz w:val="24"/>
          <w:szCs w:val="24"/>
        </w:rPr>
        <w:lastRenderedPageBreak/>
        <w:t>Ustawa z dnia 28 lipca 2005 r. o kosztach sądowych w sprawach cywilnych</w:t>
      </w:r>
      <w:bookmarkEnd w:id="34"/>
      <w:r w:rsidR="00C656EB">
        <w:rPr>
          <w:sz w:val="24"/>
          <w:szCs w:val="24"/>
        </w:rPr>
        <w:t xml:space="preserve"> </w:t>
      </w:r>
    </w:p>
    <w:p w14:paraId="6763F2D7" w14:textId="77777777" w:rsidR="00E97B8A" w:rsidRPr="006D59BB" w:rsidRDefault="00E97B8A"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 xml:space="preserve">Zmiana w art. 96 ust. 1 pkt 6 w ustawie o kosztach sądowych w sprawach cywilnych jest konieczna dla usunięcia deficytu regulacji prawnych odnoszących się do zasad procesowych uczestnictwa Rzecznika MŚP w postępowaniach przed sądami powszechnymi i Sądem Najwyższym, w ramach których Rzecznik MŚP realizuje swoje ustawowe zadania. </w:t>
      </w:r>
    </w:p>
    <w:p w14:paraId="43F97E9B" w14:textId="0068004B" w:rsidR="00E97B8A" w:rsidRPr="006D59BB" w:rsidRDefault="00E97B8A"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W praktyce funkcjonowania Rzecznika MŚP zarysowały się istotne problemy w zakresie prawidłowej wykładni przepisów prawa oraz charakteru procesowego instytucji Rzecznika MŚP w kontekście zasad jego uczestnictwa w postępowaniach sądowych oraz zwolnienia go od kosztów sądowych. Najskuteczniejszą metodą przeciwdziałania takim sytuacjom w przyszłości jest doprecyzowanie art. 96 ust. 1 pkt 6 ww. ustawy. Realizacja niniejszego postulatu pozwoli na skuteczniejszą ochronę praw ogółu przedsiębiorców, realizowaną dzięki interwencjom Rzecznika MŚP o charakterze procesowym.</w:t>
      </w:r>
    </w:p>
    <w:p w14:paraId="6142C199" w14:textId="60D5CC7F" w:rsidR="00885DD8" w:rsidRPr="006D59BB" w:rsidRDefault="00885DD8" w:rsidP="006D59BB">
      <w:pPr>
        <w:pStyle w:val="Styl1"/>
        <w:spacing w:before="120" w:after="0" w:line="360" w:lineRule="auto"/>
        <w:rPr>
          <w:sz w:val="24"/>
          <w:szCs w:val="24"/>
        </w:rPr>
      </w:pPr>
      <w:bookmarkStart w:id="35" w:name="_Toc192358924"/>
      <w:r w:rsidRPr="006D59BB">
        <w:rPr>
          <w:sz w:val="24"/>
          <w:szCs w:val="24"/>
        </w:rPr>
        <w:t>Ustawa z dnia 18 października 2006 r. o wyrobie napojów spirytusowych</w:t>
      </w:r>
      <w:bookmarkEnd w:id="35"/>
      <w:r w:rsidR="00C656EB">
        <w:rPr>
          <w:sz w:val="24"/>
          <w:szCs w:val="24"/>
        </w:rPr>
        <w:t xml:space="preserve"> </w:t>
      </w:r>
    </w:p>
    <w:p w14:paraId="0F932017" w14:textId="0B150C6F" w:rsidR="00734706" w:rsidRPr="006D59BB" w:rsidRDefault="00734706" w:rsidP="006D59BB">
      <w:pPr>
        <w:spacing w:before="120" w:after="0" w:line="360" w:lineRule="auto"/>
        <w:jc w:val="both"/>
        <w:rPr>
          <w:rFonts w:ascii="Times New Roman" w:eastAsia="Calibri" w:hAnsi="Times New Roman" w:cs="Times New Roman"/>
          <w:kern w:val="0"/>
          <w:sz w:val="24"/>
          <w:szCs w:val="24"/>
          <w14:ligatures w14:val="none"/>
        </w:rPr>
      </w:pPr>
      <w:r w:rsidRPr="006D59BB">
        <w:rPr>
          <w:rFonts w:ascii="Times New Roman" w:eastAsia="Calibri" w:hAnsi="Times New Roman" w:cs="Times New Roman"/>
          <w:bCs/>
          <w:iCs/>
          <w:kern w:val="0"/>
          <w:sz w:val="24"/>
          <w:szCs w:val="24"/>
          <w14:ligatures w14:val="none"/>
        </w:rPr>
        <w:t xml:space="preserve">Zmiana w niniejszej ustawie dotyczy odstąpienia od zasady dwuinstancyjności. </w:t>
      </w:r>
      <w:r w:rsidRPr="006D59BB">
        <w:rPr>
          <w:rFonts w:ascii="Times New Roman" w:eastAsia="Calibri" w:hAnsi="Times New Roman" w:cs="Times New Roman"/>
          <w:kern w:val="0"/>
          <w:sz w:val="24"/>
          <w:szCs w:val="24"/>
          <w14:ligatures w14:val="none"/>
        </w:rPr>
        <w:t>Istnieją postępowania, w których decyzje są wydawane w oparciu o żądanie strony, w takich przypadkach praktycznie nie występuje zakres uznaniowości organu. Stąd organy odwoławcze bardzo rzadko albo w ogóle nie zmieniają decyzji zapadłych w I instancji. W takich przypadkach utrzymywanie dwuinstancyjności jawi się jako pewna fikcja, która niepotrzebnie angażuje czas strony, a także czas i również środki materialne organów administracji. Jest tak w przypadku zmienianej ustawy z dnia 18 października 2006 r. o</w:t>
      </w:r>
      <w:r w:rsidR="00E6226B" w:rsidRPr="006D59BB">
        <w:rPr>
          <w:rFonts w:ascii="Times New Roman" w:eastAsia="Calibri" w:hAnsi="Times New Roman" w:cs="Times New Roman"/>
          <w:kern w:val="0"/>
          <w:sz w:val="24"/>
          <w:szCs w:val="24"/>
          <w14:ligatures w14:val="none"/>
        </w:rPr>
        <w:t> </w:t>
      </w:r>
      <w:r w:rsidRPr="006D59BB">
        <w:rPr>
          <w:rFonts w:ascii="Times New Roman" w:eastAsia="Calibri" w:hAnsi="Times New Roman" w:cs="Times New Roman"/>
          <w:kern w:val="0"/>
          <w:sz w:val="24"/>
          <w:szCs w:val="24"/>
          <w14:ligatures w14:val="none"/>
        </w:rPr>
        <w:t>wyrobie napojów spirytusowych</w:t>
      </w:r>
      <w:r w:rsidRPr="006D59BB">
        <w:rPr>
          <w:rFonts w:ascii="Times New Roman" w:eastAsia="Calibri" w:hAnsi="Times New Roman" w:cs="Times New Roman"/>
          <w:b/>
          <w:kern w:val="0"/>
          <w:sz w:val="24"/>
          <w:szCs w:val="24"/>
          <w14:ligatures w14:val="none"/>
        </w:rPr>
        <w:t xml:space="preserve">. </w:t>
      </w:r>
      <w:r w:rsidRPr="006D59BB">
        <w:rPr>
          <w:rFonts w:ascii="Times New Roman" w:eastAsia="Calibri" w:hAnsi="Times New Roman" w:cs="Times New Roman"/>
          <w:bCs/>
          <w:kern w:val="0"/>
          <w:sz w:val="24"/>
          <w:szCs w:val="24"/>
          <w14:ligatures w14:val="none"/>
        </w:rPr>
        <w:t>Art. 9a</w:t>
      </w:r>
      <w:r w:rsidRPr="006D59BB">
        <w:rPr>
          <w:rFonts w:ascii="Times New Roman" w:eastAsia="Calibri" w:hAnsi="Times New Roman" w:cs="Times New Roman"/>
          <w:b/>
          <w:kern w:val="0"/>
          <w:sz w:val="24"/>
          <w:szCs w:val="24"/>
          <w14:ligatures w14:val="none"/>
        </w:rPr>
        <w:t xml:space="preserve"> </w:t>
      </w:r>
      <w:r w:rsidRPr="006D59BB">
        <w:rPr>
          <w:rFonts w:ascii="Times New Roman" w:eastAsia="Calibri" w:hAnsi="Times New Roman" w:cs="Times New Roman"/>
          <w:bCs/>
          <w:kern w:val="0"/>
          <w:sz w:val="24"/>
          <w:szCs w:val="24"/>
          <w14:ligatures w14:val="none"/>
        </w:rPr>
        <w:t>tej ustawy</w:t>
      </w:r>
      <w:r w:rsidRPr="006D59BB">
        <w:rPr>
          <w:rFonts w:ascii="Times New Roman" w:eastAsia="Calibri" w:hAnsi="Times New Roman" w:cs="Times New Roman"/>
          <w:b/>
          <w:kern w:val="0"/>
          <w:sz w:val="24"/>
          <w:szCs w:val="24"/>
          <w14:ligatures w14:val="none"/>
        </w:rPr>
        <w:t xml:space="preserve"> </w:t>
      </w:r>
      <w:r w:rsidRPr="006D59BB">
        <w:rPr>
          <w:rFonts w:ascii="Times New Roman" w:eastAsia="Calibri" w:hAnsi="Times New Roman" w:cs="Times New Roman"/>
          <w:bCs/>
          <w:kern w:val="0"/>
          <w:sz w:val="24"/>
          <w:szCs w:val="24"/>
          <w14:ligatures w14:val="none"/>
        </w:rPr>
        <w:t>reguluje</w:t>
      </w:r>
      <w:r w:rsidRPr="006D59BB">
        <w:rPr>
          <w:rFonts w:ascii="Times New Roman" w:eastAsia="Calibri" w:hAnsi="Times New Roman" w:cs="Times New Roman"/>
          <w:b/>
          <w:kern w:val="0"/>
          <w:sz w:val="24"/>
          <w:szCs w:val="24"/>
          <w14:ligatures w14:val="none"/>
        </w:rPr>
        <w:t xml:space="preserve"> </w:t>
      </w:r>
      <w:r w:rsidRPr="006D59BB">
        <w:rPr>
          <w:rFonts w:ascii="Times New Roman" w:eastAsia="Calibri" w:hAnsi="Times New Roman" w:cs="Times New Roman"/>
          <w:kern w:val="0"/>
          <w:sz w:val="24"/>
          <w:szCs w:val="24"/>
          <w14:ligatures w14:val="none"/>
        </w:rPr>
        <w:t>postępowanie w sprawie wykreślenia przedsiębiorcy z</w:t>
      </w:r>
      <w:r w:rsidR="00E6226B" w:rsidRPr="006D59BB">
        <w:rPr>
          <w:rFonts w:ascii="Times New Roman" w:eastAsia="Calibri" w:hAnsi="Times New Roman" w:cs="Times New Roman"/>
          <w:kern w:val="0"/>
          <w:sz w:val="24"/>
          <w:szCs w:val="24"/>
          <w14:ligatures w14:val="none"/>
        </w:rPr>
        <w:t> </w:t>
      </w:r>
      <w:r w:rsidRPr="006D59BB">
        <w:rPr>
          <w:rFonts w:ascii="Times New Roman" w:eastAsia="Calibri" w:hAnsi="Times New Roman" w:cs="Times New Roman"/>
          <w:kern w:val="0"/>
          <w:sz w:val="24"/>
          <w:szCs w:val="24"/>
          <w14:ligatures w14:val="none"/>
        </w:rPr>
        <w:t xml:space="preserve">rejestru działalności w zakresie wyrobu lub rozlewu napojów spirytusowych na jego wniosek. Postępowanie to ma na celu spełnienie w całości żądania przedsiębiorcy. </w:t>
      </w:r>
    </w:p>
    <w:p w14:paraId="2581CEE7" w14:textId="4665AE74" w:rsidR="00F02B15" w:rsidRPr="006D59BB" w:rsidRDefault="00734706" w:rsidP="006D59BB">
      <w:pPr>
        <w:spacing w:before="120" w:after="0" w:line="360" w:lineRule="auto"/>
        <w:jc w:val="both"/>
        <w:rPr>
          <w:rFonts w:ascii="Times New Roman" w:eastAsia="Calibri" w:hAnsi="Times New Roman" w:cs="Times New Roman"/>
          <w:kern w:val="0"/>
          <w:sz w:val="24"/>
          <w:szCs w:val="24"/>
          <w14:ligatures w14:val="none"/>
        </w:rPr>
      </w:pPr>
      <w:r w:rsidRPr="006D59BB">
        <w:rPr>
          <w:rFonts w:ascii="Times New Roman" w:eastAsia="Calibri" w:hAnsi="Times New Roman" w:cs="Times New Roman"/>
          <w:kern w:val="0"/>
          <w:sz w:val="24"/>
          <w:szCs w:val="24"/>
          <w14:ligatures w14:val="none"/>
        </w:rPr>
        <w:t xml:space="preserve">W przypadku wydania decyzji, o której mowa w art. 8 ust. 1, Dyrektor Generalny KOWR ma możliwość z urzędu wykreślenia przedsiębiorcy z rejestru (wynika to z art. 9a pkt 2 niniejszej ustawy). Zatem w tej sprawie nie jest zasadne wydawanie decyzji o wykreśleniu wpisu z rejestru. Wykreślenie wpisu powinno następować w drodze czynności materialno-technicznej. Dlatego proponuje się w tym zakresie odejście od zasady dwuinstancyjności. </w:t>
      </w:r>
    </w:p>
    <w:p w14:paraId="460664B4" w14:textId="77777777" w:rsidR="00DC3ED6" w:rsidRPr="006D59BB" w:rsidRDefault="00DC3ED6" w:rsidP="006D59BB">
      <w:pPr>
        <w:pStyle w:val="Styl1"/>
        <w:spacing w:before="120" w:after="0" w:line="360" w:lineRule="auto"/>
        <w:rPr>
          <w:sz w:val="24"/>
          <w:szCs w:val="24"/>
        </w:rPr>
      </w:pPr>
      <w:bookmarkStart w:id="36" w:name="_Toc187413512"/>
      <w:bookmarkStart w:id="37" w:name="_Toc192358925"/>
      <w:r w:rsidRPr="006D59BB">
        <w:rPr>
          <w:sz w:val="24"/>
          <w:szCs w:val="24"/>
        </w:rPr>
        <w:t>Ustawa z dnia 13 kwietnia 2007 r. o Państwowej Inspekcji Pracy</w:t>
      </w:r>
      <w:bookmarkEnd w:id="36"/>
      <w:bookmarkEnd w:id="37"/>
    </w:p>
    <w:p w14:paraId="5BA6D80F" w14:textId="0842419F" w:rsidR="00DC3ED6" w:rsidRPr="006D59BB" w:rsidRDefault="00DC3ED6" w:rsidP="006D59BB">
      <w:pPr>
        <w:spacing w:before="120" w:after="0" w:line="360" w:lineRule="auto"/>
        <w:jc w:val="both"/>
        <w:rPr>
          <w:rFonts w:ascii="Times New Roman" w:eastAsia="Calibri" w:hAnsi="Times New Roman" w:cs="Times New Roman"/>
          <w:iCs/>
          <w:kern w:val="0"/>
          <w:sz w:val="24"/>
          <w:szCs w:val="24"/>
          <w14:ligatures w14:val="none"/>
        </w:rPr>
      </w:pPr>
      <w:r w:rsidRPr="006D59BB">
        <w:rPr>
          <w:rFonts w:ascii="Times New Roman" w:eastAsia="Calibri" w:hAnsi="Times New Roman" w:cs="Times New Roman"/>
          <w:bCs/>
          <w:iCs/>
          <w:kern w:val="0"/>
          <w:sz w:val="24"/>
          <w:szCs w:val="24"/>
          <w14:ligatures w14:val="none"/>
        </w:rPr>
        <w:t xml:space="preserve">Zmiany w ustawie </w:t>
      </w:r>
      <w:r w:rsidR="007E5188" w:rsidRPr="006D59BB">
        <w:rPr>
          <w:rFonts w:ascii="Times New Roman" w:eastAsia="Calibri" w:hAnsi="Times New Roman" w:cs="Times New Roman"/>
          <w:bCs/>
          <w:iCs/>
          <w:kern w:val="0"/>
          <w:sz w:val="24"/>
          <w:szCs w:val="24"/>
          <w14:ligatures w14:val="none"/>
        </w:rPr>
        <w:t xml:space="preserve">z dnia 13 kwietnia 2007 r. </w:t>
      </w:r>
      <w:r w:rsidRPr="006D59BB">
        <w:rPr>
          <w:rFonts w:ascii="Times New Roman" w:eastAsia="Calibri" w:hAnsi="Times New Roman" w:cs="Times New Roman"/>
          <w:bCs/>
          <w:iCs/>
          <w:kern w:val="0"/>
          <w:sz w:val="24"/>
          <w:szCs w:val="24"/>
          <w14:ligatures w14:val="none"/>
        </w:rPr>
        <w:t>o Państwowej Inspekcji Pracy mają na celu ułatwienie zwalczania przez Państwową Inspekcję Pracy zjawiska nielegalnego zatrudniania cudzoziemców i</w:t>
      </w:r>
      <w:r w:rsidR="005D5D55" w:rsidRPr="006D59BB">
        <w:rPr>
          <w:rFonts w:ascii="Times New Roman" w:eastAsia="Calibri" w:hAnsi="Times New Roman" w:cs="Times New Roman"/>
          <w:bCs/>
          <w:iCs/>
          <w:kern w:val="0"/>
          <w:sz w:val="24"/>
          <w:szCs w:val="24"/>
          <w14:ligatures w14:val="none"/>
        </w:rPr>
        <w:t> </w:t>
      </w:r>
      <w:r w:rsidRPr="006D59BB">
        <w:rPr>
          <w:rFonts w:ascii="Times New Roman" w:eastAsia="Calibri" w:hAnsi="Times New Roman" w:cs="Times New Roman"/>
          <w:bCs/>
          <w:iCs/>
          <w:kern w:val="0"/>
          <w:sz w:val="24"/>
          <w:szCs w:val="24"/>
          <w14:ligatures w14:val="none"/>
        </w:rPr>
        <w:t xml:space="preserve">polegają na wyłączeniu stosowania do kontroli legalności zatrudnienia, innej </w:t>
      </w:r>
      <w:r w:rsidRPr="006D59BB">
        <w:rPr>
          <w:rFonts w:ascii="Times New Roman" w:eastAsia="Calibri" w:hAnsi="Times New Roman" w:cs="Times New Roman"/>
          <w:bCs/>
          <w:iCs/>
          <w:kern w:val="0"/>
          <w:sz w:val="24"/>
          <w:szCs w:val="24"/>
          <w14:ligatures w14:val="none"/>
        </w:rPr>
        <w:lastRenderedPageBreak/>
        <w:t>pracy zarobkowej oraz wykonywania pracy przez cudzoziemców dodawanych w Prawie przedsiębiorców przepisów regulujących obowiązek publikacji okresowych analiz ryzyka oraz ograniczenia częstotliwości kontroli planowych.</w:t>
      </w:r>
    </w:p>
    <w:p w14:paraId="5AA09A12" w14:textId="735C1613" w:rsidR="00885DD8" w:rsidRPr="006D59BB" w:rsidRDefault="00885DD8" w:rsidP="006D59BB">
      <w:pPr>
        <w:pStyle w:val="Styl1"/>
        <w:spacing w:before="120" w:after="0" w:line="360" w:lineRule="auto"/>
        <w:rPr>
          <w:sz w:val="24"/>
          <w:szCs w:val="24"/>
        </w:rPr>
      </w:pPr>
      <w:bookmarkStart w:id="38" w:name="_Toc192358926"/>
      <w:r w:rsidRPr="006D59BB">
        <w:rPr>
          <w:sz w:val="24"/>
          <w:szCs w:val="24"/>
        </w:rPr>
        <w:t>Ustawa z dnia 5 stycznia 2011 r. o kierujących pojazdami</w:t>
      </w:r>
      <w:bookmarkEnd w:id="38"/>
      <w:r w:rsidR="00C656EB">
        <w:rPr>
          <w:sz w:val="24"/>
          <w:szCs w:val="24"/>
        </w:rPr>
        <w:t xml:space="preserve"> </w:t>
      </w:r>
    </w:p>
    <w:p w14:paraId="68436DC0" w14:textId="0EC87ED2" w:rsidR="00734706" w:rsidRPr="006D59BB" w:rsidRDefault="00734706" w:rsidP="006D59BB">
      <w:pPr>
        <w:spacing w:before="120" w:after="0" w:line="360" w:lineRule="auto"/>
        <w:jc w:val="both"/>
        <w:rPr>
          <w:rFonts w:ascii="Times New Roman" w:eastAsia="Calibri" w:hAnsi="Times New Roman" w:cs="Times New Roman"/>
          <w:iCs/>
          <w:kern w:val="0"/>
          <w:sz w:val="24"/>
          <w:szCs w:val="24"/>
          <w14:ligatures w14:val="none"/>
        </w:rPr>
      </w:pPr>
      <w:r w:rsidRPr="006D59BB">
        <w:rPr>
          <w:rFonts w:ascii="Times New Roman" w:eastAsia="Calibri" w:hAnsi="Times New Roman" w:cs="Times New Roman"/>
          <w:bCs/>
          <w:iCs/>
          <w:kern w:val="0"/>
          <w:sz w:val="24"/>
          <w:szCs w:val="24"/>
          <w14:ligatures w14:val="none"/>
        </w:rPr>
        <w:t xml:space="preserve">Zmiany w niniejszej ustawie dotyczą odstąpienia od zasady dwuinstancyjności. </w:t>
      </w:r>
      <w:r w:rsidR="005C2A48" w:rsidRPr="006D59BB">
        <w:rPr>
          <w:rFonts w:ascii="Times New Roman" w:eastAsia="Calibri" w:hAnsi="Times New Roman" w:cs="Times New Roman"/>
          <w:iCs/>
          <w:kern w:val="0"/>
          <w:sz w:val="24"/>
          <w:szCs w:val="24"/>
          <w14:ligatures w14:val="none"/>
        </w:rPr>
        <w:t>Proponuje się zmianę w</w:t>
      </w:r>
      <w:r w:rsidRPr="006D59BB">
        <w:rPr>
          <w:rFonts w:ascii="Times New Roman" w:eastAsia="Calibri" w:hAnsi="Times New Roman" w:cs="Times New Roman"/>
          <w:iCs/>
          <w:kern w:val="0"/>
          <w:sz w:val="24"/>
          <w:szCs w:val="24"/>
          <w14:ligatures w14:val="none"/>
        </w:rPr>
        <w:t xml:space="preserve"> art. 33</w:t>
      </w:r>
      <w:r w:rsidRPr="006D59BB">
        <w:rPr>
          <w:rFonts w:ascii="Times New Roman" w:eastAsia="Calibri" w:hAnsi="Times New Roman" w:cs="Times New Roman"/>
          <w:b/>
          <w:bCs/>
          <w:iCs/>
          <w:kern w:val="0"/>
          <w:sz w:val="24"/>
          <w:szCs w:val="24"/>
          <w14:ligatures w14:val="none"/>
        </w:rPr>
        <w:t xml:space="preserve"> </w:t>
      </w:r>
      <w:r w:rsidRPr="006D59BB">
        <w:rPr>
          <w:rFonts w:ascii="Times New Roman" w:eastAsia="Calibri" w:hAnsi="Times New Roman" w:cs="Times New Roman"/>
          <w:iCs/>
          <w:kern w:val="0"/>
          <w:sz w:val="24"/>
          <w:szCs w:val="24"/>
          <w14:ligatures w14:val="none"/>
        </w:rPr>
        <w:t>ustawy o kierujących pojazdami dotycz</w:t>
      </w:r>
      <w:r w:rsidR="005C2A48" w:rsidRPr="006D59BB">
        <w:rPr>
          <w:rFonts w:ascii="Times New Roman" w:eastAsia="Calibri" w:hAnsi="Times New Roman" w:cs="Times New Roman"/>
          <w:iCs/>
          <w:kern w:val="0"/>
          <w:sz w:val="24"/>
          <w:szCs w:val="24"/>
          <w14:ligatures w14:val="none"/>
        </w:rPr>
        <w:t>ącą</w:t>
      </w:r>
      <w:r w:rsidRPr="006D59BB">
        <w:rPr>
          <w:rFonts w:ascii="Times New Roman" w:eastAsia="Calibri" w:hAnsi="Times New Roman" w:cs="Times New Roman"/>
          <w:iCs/>
          <w:kern w:val="0"/>
          <w:sz w:val="24"/>
          <w:szCs w:val="24"/>
          <w14:ligatures w14:val="none"/>
        </w:rPr>
        <w:t xml:space="preserve"> odpowiednio wpisu do ewidencji instruktorów jazdy oraz odmowy takiego wpisu. Zarówno pierwszy, jak i drugi jest dokonywany po spełnieniu przesłanek określonych w przepisach ustawy, które również nie są </w:t>
      </w:r>
      <w:proofErr w:type="spellStart"/>
      <w:r w:rsidRPr="006D59BB">
        <w:rPr>
          <w:rFonts w:ascii="Times New Roman" w:eastAsia="Calibri" w:hAnsi="Times New Roman" w:cs="Times New Roman"/>
          <w:iCs/>
          <w:kern w:val="0"/>
          <w:sz w:val="24"/>
          <w:szCs w:val="24"/>
          <w14:ligatures w14:val="none"/>
        </w:rPr>
        <w:t>ocenne</w:t>
      </w:r>
      <w:proofErr w:type="spellEnd"/>
      <w:r w:rsidRPr="006D59BB">
        <w:rPr>
          <w:rFonts w:ascii="Times New Roman" w:eastAsia="Calibri" w:hAnsi="Times New Roman" w:cs="Times New Roman"/>
          <w:iCs/>
          <w:kern w:val="0"/>
          <w:sz w:val="24"/>
          <w:szCs w:val="24"/>
          <w14:ligatures w14:val="none"/>
        </w:rPr>
        <w:t xml:space="preserve"> z punktu widzenia organu. Jeżeli osoba spełnia wymagania, wówczas jest wpisywana do ewidencji, jeżeli ich nie spełnia, to nie zostanie wpisana. </w:t>
      </w:r>
    </w:p>
    <w:p w14:paraId="7DD65210" w14:textId="0AFE1F69" w:rsidR="00734706" w:rsidRPr="006D59BB" w:rsidRDefault="00734706" w:rsidP="006D59BB">
      <w:pPr>
        <w:spacing w:before="120" w:after="0" w:line="360" w:lineRule="auto"/>
        <w:jc w:val="both"/>
        <w:rPr>
          <w:rFonts w:ascii="Times New Roman" w:eastAsia="Calibri" w:hAnsi="Times New Roman" w:cs="Times New Roman"/>
          <w:iCs/>
          <w:kern w:val="0"/>
          <w:sz w:val="24"/>
          <w:szCs w:val="24"/>
          <w14:ligatures w14:val="none"/>
        </w:rPr>
      </w:pPr>
      <w:r w:rsidRPr="006D59BB">
        <w:rPr>
          <w:rFonts w:ascii="Times New Roman" w:eastAsia="Calibri" w:hAnsi="Times New Roman" w:cs="Times New Roman"/>
          <w:iCs/>
          <w:kern w:val="0"/>
          <w:sz w:val="24"/>
          <w:szCs w:val="24"/>
          <w14:ligatures w14:val="none"/>
        </w:rPr>
        <w:t>Kolejna propozycja zmiany dotyczy decyzji, o których mowa w art. 38 ust. 2 pkt 1 i 4 (</w:t>
      </w:r>
      <w:r w:rsidRPr="006D59BB">
        <w:rPr>
          <w:rFonts w:ascii="Times New Roman" w:eastAsia="Calibri" w:hAnsi="Times New Roman" w:cs="Times New Roman"/>
          <w:kern w:val="0"/>
          <w:sz w:val="24"/>
          <w:szCs w:val="24"/>
          <w14:ligatures w14:val="none"/>
        </w:rPr>
        <w:t>proponuje się, aby odwołanie nie przysługiwało w przypadku decyzji administracyjnej o wpisie do ewidencji i</w:t>
      </w:r>
      <w:r w:rsidR="00AE2067" w:rsidRPr="006D59BB">
        <w:rPr>
          <w:rFonts w:ascii="Times New Roman" w:eastAsia="Calibri" w:hAnsi="Times New Roman" w:cs="Times New Roman"/>
          <w:kern w:val="0"/>
          <w:sz w:val="24"/>
          <w:szCs w:val="24"/>
          <w14:ligatures w14:val="none"/>
        </w:rPr>
        <w:t> </w:t>
      </w:r>
      <w:r w:rsidRPr="006D59BB">
        <w:rPr>
          <w:rFonts w:ascii="Times New Roman" w:eastAsia="Calibri" w:hAnsi="Times New Roman" w:cs="Times New Roman"/>
          <w:iCs/>
          <w:kern w:val="0"/>
          <w:sz w:val="24"/>
          <w:szCs w:val="24"/>
          <w14:ligatures w14:val="none"/>
        </w:rPr>
        <w:t xml:space="preserve">odmowy wpisu do ewidencji wykładowców), oraz decyzji, o których mowa w art. 58 ust. 2 pkt 1 i 3 ww. ustawy (wpis i odmowa wpisu do ewidencji egzaminatorów). Wpisy te również uwarunkowane są od spełnienia określonych przesłanek. </w:t>
      </w:r>
    </w:p>
    <w:p w14:paraId="22171E8F" w14:textId="276BC03D" w:rsidR="00734706" w:rsidRPr="006D59BB" w:rsidRDefault="00734706" w:rsidP="006D59BB">
      <w:pPr>
        <w:spacing w:before="120" w:after="0" w:line="360" w:lineRule="auto"/>
        <w:jc w:val="both"/>
        <w:rPr>
          <w:rFonts w:ascii="Times New Roman" w:eastAsia="Times New Roman" w:hAnsi="Times New Roman" w:cs="Times New Roman"/>
          <w:bCs/>
          <w:iCs/>
          <w:kern w:val="0"/>
          <w:sz w:val="24"/>
          <w:szCs w:val="24"/>
          <w:lang w:eastAsia="pl-PL"/>
          <w14:ligatures w14:val="none"/>
        </w:rPr>
      </w:pPr>
      <w:r w:rsidRPr="006D59BB">
        <w:rPr>
          <w:rFonts w:ascii="Times New Roman" w:eastAsia="Times New Roman" w:hAnsi="Times New Roman" w:cs="Times New Roman"/>
          <w:bCs/>
          <w:iCs/>
          <w:kern w:val="0"/>
          <w:sz w:val="24"/>
          <w:szCs w:val="24"/>
          <w:lang w:eastAsia="pl-PL"/>
          <w14:ligatures w14:val="none"/>
        </w:rPr>
        <w:t>Art. 109 ust. 1, 3</w:t>
      </w:r>
      <w:r w:rsidR="00085078" w:rsidRPr="006D59BB">
        <w:rPr>
          <w:rFonts w:ascii="Times New Roman" w:eastAsia="Times New Roman" w:hAnsi="Times New Roman" w:cs="Times New Roman"/>
          <w:bCs/>
          <w:iCs/>
          <w:kern w:val="0"/>
          <w:sz w:val="24"/>
          <w:szCs w:val="24"/>
          <w:lang w:eastAsia="pl-PL"/>
          <w14:ligatures w14:val="none"/>
        </w:rPr>
        <w:t>, 4</w:t>
      </w:r>
      <w:r w:rsidRPr="006D59BB">
        <w:rPr>
          <w:rFonts w:ascii="Times New Roman" w:eastAsia="Times New Roman" w:hAnsi="Times New Roman" w:cs="Times New Roman"/>
          <w:bCs/>
          <w:iCs/>
          <w:kern w:val="0"/>
          <w:sz w:val="24"/>
          <w:szCs w:val="24"/>
          <w:lang w:eastAsia="pl-PL"/>
          <w14:ligatures w14:val="none"/>
        </w:rPr>
        <w:t xml:space="preserve"> oraz </w:t>
      </w:r>
      <w:r w:rsidR="00085078" w:rsidRPr="006D59BB">
        <w:rPr>
          <w:rFonts w:ascii="Times New Roman" w:eastAsia="Times New Roman" w:hAnsi="Times New Roman" w:cs="Times New Roman"/>
          <w:bCs/>
          <w:iCs/>
          <w:kern w:val="0"/>
          <w:sz w:val="24"/>
          <w:szCs w:val="24"/>
          <w:lang w:eastAsia="pl-PL"/>
          <w14:ligatures w14:val="none"/>
        </w:rPr>
        <w:t>5</w:t>
      </w:r>
      <w:r w:rsidRPr="006D59BB">
        <w:rPr>
          <w:rFonts w:ascii="Times New Roman" w:eastAsia="Times New Roman" w:hAnsi="Times New Roman" w:cs="Times New Roman"/>
          <w:bCs/>
          <w:iCs/>
          <w:kern w:val="0"/>
          <w:sz w:val="24"/>
          <w:szCs w:val="24"/>
          <w:lang w:eastAsia="pl-PL"/>
          <w14:ligatures w14:val="none"/>
        </w:rPr>
        <w:t xml:space="preserve"> ustawy o kierujących pojazdami regulują odpowiednio wydanie, przedłużenie oraz rozszerzenie zezwolenia na kierowanie pojazdem uprzywilejowanym. Decyzje te są wydawane na podstawie konkretnych dokumentów, których nieprzedstawienie stanowi podstawę do wydania decyzji odmownej. </w:t>
      </w:r>
    </w:p>
    <w:p w14:paraId="7FECF191" w14:textId="41A0F604" w:rsidR="00734706" w:rsidRPr="006D59BB" w:rsidRDefault="00734706" w:rsidP="006D59BB">
      <w:pPr>
        <w:spacing w:before="120" w:after="0" w:line="360" w:lineRule="auto"/>
        <w:jc w:val="both"/>
        <w:rPr>
          <w:rFonts w:ascii="Times New Roman" w:eastAsia="Calibri" w:hAnsi="Times New Roman" w:cs="Times New Roman"/>
          <w:kern w:val="0"/>
          <w:sz w:val="24"/>
          <w:szCs w:val="24"/>
          <w14:ligatures w14:val="none"/>
        </w:rPr>
      </w:pPr>
      <w:r w:rsidRPr="006D59BB">
        <w:rPr>
          <w:rFonts w:ascii="Times New Roman" w:eastAsia="Times New Roman" w:hAnsi="Times New Roman" w:cs="Times New Roman"/>
          <w:bCs/>
          <w:iCs/>
          <w:kern w:val="0"/>
          <w:sz w:val="24"/>
          <w:szCs w:val="24"/>
          <w:lang w:eastAsia="pl-PL"/>
          <w14:ligatures w14:val="none"/>
        </w:rPr>
        <w:t>Podobnie jest w przypadku art. 110 oraz 117 ust. 3 pkt 1 i 4</w:t>
      </w:r>
      <w:r w:rsidRPr="006D59BB">
        <w:rPr>
          <w:rFonts w:ascii="Times New Roman" w:eastAsia="Times New Roman" w:hAnsi="Times New Roman" w:cs="Times New Roman"/>
          <w:b/>
          <w:iCs/>
          <w:kern w:val="0"/>
          <w:sz w:val="24"/>
          <w:szCs w:val="24"/>
          <w:lang w:eastAsia="pl-PL"/>
          <w14:ligatures w14:val="none"/>
        </w:rPr>
        <w:t xml:space="preserve"> </w:t>
      </w:r>
      <w:r w:rsidRPr="006D59BB">
        <w:rPr>
          <w:rFonts w:ascii="Times New Roman" w:eastAsia="Times New Roman" w:hAnsi="Times New Roman" w:cs="Times New Roman"/>
          <w:bCs/>
          <w:iCs/>
          <w:kern w:val="0"/>
          <w:sz w:val="24"/>
          <w:szCs w:val="24"/>
          <w:lang w:eastAsia="pl-PL"/>
          <w14:ligatures w14:val="none"/>
        </w:rPr>
        <w:t xml:space="preserve">tej ustawy. Pierwszy z nich dotyczy wydania zezwolenia na kierowanie pojazdem przewożącym wartości pieniężne, natomiast drugi wpisu do </w:t>
      </w:r>
      <w:r w:rsidRPr="006D59BB">
        <w:rPr>
          <w:rFonts w:ascii="Times New Roman" w:eastAsia="Calibri" w:hAnsi="Times New Roman" w:cs="Times New Roman"/>
          <w:kern w:val="0"/>
          <w:sz w:val="24"/>
          <w:szCs w:val="24"/>
          <w14:ligatures w14:val="none"/>
        </w:rPr>
        <w:t xml:space="preserve">ewidencji instruktorów techniki jazdy oraz odmowy wpisu do ewidencji instruktorów techniki jazdy. Decyzje te także wydawane są na podstawie konkretnych dokumentów. </w:t>
      </w:r>
    </w:p>
    <w:p w14:paraId="229DDDE8" w14:textId="77777777" w:rsidR="006D4190" w:rsidRPr="006D59BB" w:rsidRDefault="006D4190" w:rsidP="00FB50C7">
      <w:pPr>
        <w:pStyle w:val="Styl1"/>
        <w:spacing w:before="120" w:after="0" w:line="360" w:lineRule="auto"/>
        <w:jc w:val="both"/>
        <w:rPr>
          <w:sz w:val="24"/>
          <w:szCs w:val="24"/>
        </w:rPr>
      </w:pPr>
      <w:bookmarkStart w:id="39" w:name="_Toc192358927"/>
      <w:r w:rsidRPr="006D59BB">
        <w:rPr>
          <w:sz w:val="24"/>
          <w:szCs w:val="24"/>
        </w:rPr>
        <w:t>Ustawa z dnia 20 stycznia 2011 r. o odpowiedzialności majątkowej funkcjonariuszy publicznych za rażące naruszenie prawa</w:t>
      </w:r>
      <w:bookmarkEnd w:id="39"/>
      <w:r w:rsidRPr="006D59BB">
        <w:rPr>
          <w:sz w:val="24"/>
          <w:szCs w:val="24"/>
        </w:rPr>
        <w:t xml:space="preserve"> </w:t>
      </w:r>
    </w:p>
    <w:p w14:paraId="6DE84602" w14:textId="31D16A58" w:rsidR="006D4190" w:rsidRDefault="00FE2A67">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W</w:t>
      </w:r>
      <w:r w:rsidR="006D4190" w:rsidRPr="006D59BB">
        <w:rPr>
          <w:rFonts w:ascii="Times New Roman" w:hAnsi="Times New Roman" w:cs="Times New Roman"/>
          <w:sz w:val="24"/>
          <w:szCs w:val="24"/>
        </w:rPr>
        <w:t xml:space="preserve"> przepisie tym dokonana została zmiana redakcyjna z obecnie obowiązującego art. 37 § 2 Kpa na art. 37 § </w:t>
      </w:r>
      <w:r w:rsidRPr="006D59BB">
        <w:rPr>
          <w:rFonts w:ascii="Times New Roman" w:hAnsi="Times New Roman" w:cs="Times New Roman"/>
          <w:sz w:val="24"/>
          <w:szCs w:val="24"/>
        </w:rPr>
        <w:t>6 pkt 1</w:t>
      </w:r>
      <w:r w:rsidR="006D4190" w:rsidRPr="006D59BB">
        <w:rPr>
          <w:rFonts w:ascii="Times New Roman" w:hAnsi="Times New Roman" w:cs="Times New Roman"/>
          <w:sz w:val="24"/>
          <w:szCs w:val="24"/>
        </w:rPr>
        <w:t xml:space="preserve"> Kpa.</w:t>
      </w:r>
    </w:p>
    <w:p w14:paraId="643EC730" w14:textId="77777777" w:rsidR="00C13958" w:rsidRPr="006D59BB" w:rsidRDefault="00C13958" w:rsidP="00C13958">
      <w:pPr>
        <w:spacing w:before="120" w:after="0" w:line="360" w:lineRule="auto"/>
        <w:jc w:val="both"/>
        <w:rPr>
          <w:rFonts w:ascii="Times New Roman" w:hAnsi="Times New Roman" w:cs="Times New Roman"/>
          <w:b/>
          <w:sz w:val="24"/>
          <w:szCs w:val="24"/>
        </w:rPr>
      </w:pPr>
      <w:r w:rsidRPr="006D59BB">
        <w:rPr>
          <w:rFonts w:ascii="Times New Roman" w:hAnsi="Times New Roman" w:cs="Times New Roman"/>
          <w:b/>
          <w:sz w:val="24"/>
          <w:szCs w:val="24"/>
        </w:rPr>
        <w:t>Ustawa z dnia 9 czerwca 2011 r. - Prawo geologiczne i górnicze</w:t>
      </w:r>
    </w:p>
    <w:p w14:paraId="576C5A53" w14:textId="114CFEB5" w:rsidR="00C13958" w:rsidRPr="00C13958" w:rsidRDefault="00C13958" w:rsidP="00C13958">
      <w:pPr>
        <w:spacing w:before="120" w:after="0" w:line="360" w:lineRule="auto"/>
        <w:jc w:val="both"/>
        <w:rPr>
          <w:rFonts w:ascii="Times New Roman" w:hAnsi="Times New Roman" w:cs="Times New Roman"/>
          <w:sz w:val="24"/>
          <w:szCs w:val="24"/>
        </w:rPr>
      </w:pPr>
      <w:r w:rsidRPr="00C13958">
        <w:rPr>
          <w:rFonts w:ascii="Times New Roman" w:hAnsi="Times New Roman" w:cs="Times New Roman"/>
          <w:sz w:val="24"/>
          <w:szCs w:val="24"/>
        </w:rPr>
        <w:lastRenderedPageBreak/>
        <w:t>W przypadku działalności gospodarczej prowadzonej na podstawie ustawy Prawo geologiczne i górnicze (Dz.U. z 2024 r. poz. 1290</w:t>
      </w:r>
      <w:r w:rsidR="00FB50C7">
        <w:rPr>
          <w:rFonts w:ascii="Times New Roman" w:hAnsi="Times New Roman" w:cs="Times New Roman"/>
          <w:sz w:val="24"/>
          <w:szCs w:val="24"/>
        </w:rPr>
        <w:t>,</w:t>
      </w:r>
      <w:r w:rsidRPr="00C13958">
        <w:rPr>
          <w:rFonts w:ascii="Times New Roman" w:hAnsi="Times New Roman" w:cs="Times New Roman"/>
          <w:sz w:val="24"/>
          <w:szCs w:val="24"/>
        </w:rPr>
        <w:t xml:space="preserve"> z późn.zm.), dalej jako „</w:t>
      </w:r>
      <w:proofErr w:type="spellStart"/>
      <w:r w:rsidRPr="00C13958">
        <w:rPr>
          <w:rFonts w:ascii="Times New Roman" w:hAnsi="Times New Roman" w:cs="Times New Roman"/>
          <w:sz w:val="24"/>
          <w:szCs w:val="24"/>
        </w:rPr>
        <w:t>Pgg</w:t>
      </w:r>
      <w:proofErr w:type="spellEnd"/>
      <w:r w:rsidRPr="00C13958">
        <w:rPr>
          <w:rFonts w:ascii="Times New Roman" w:hAnsi="Times New Roman" w:cs="Times New Roman"/>
          <w:sz w:val="24"/>
          <w:szCs w:val="24"/>
        </w:rPr>
        <w:t xml:space="preserve">” jeden przedsiębiorca niejednokrotnie posiada kilkadziesiąt, a nawet kilkaset koncesji. </w:t>
      </w:r>
    </w:p>
    <w:p w14:paraId="72D1F7F1" w14:textId="77777777" w:rsidR="00C13958" w:rsidRPr="00C13958" w:rsidRDefault="00C13958" w:rsidP="00C13958">
      <w:pPr>
        <w:spacing w:before="120" w:after="0" w:line="360" w:lineRule="auto"/>
        <w:jc w:val="both"/>
        <w:rPr>
          <w:rFonts w:ascii="Times New Roman" w:hAnsi="Times New Roman" w:cs="Times New Roman"/>
          <w:sz w:val="24"/>
          <w:szCs w:val="24"/>
        </w:rPr>
      </w:pPr>
      <w:r w:rsidRPr="00C13958">
        <w:rPr>
          <w:rFonts w:ascii="Times New Roman" w:hAnsi="Times New Roman" w:cs="Times New Roman"/>
          <w:sz w:val="24"/>
          <w:szCs w:val="24"/>
        </w:rPr>
        <w:t xml:space="preserve">Zgodnie z </w:t>
      </w:r>
      <w:proofErr w:type="spellStart"/>
      <w:r w:rsidRPr="00C13958">
        <w:rPr>
          <w:rFonts w:ascii="Times New Roman" w:hAnsi="Times New Roman" w:cs="Times New Roman"/>
          <w:sz w:val="24"/>
          <w:szCs w:val="24"/>
        </w:rPr>
        <w:t>art.154</w:t>
      </w:r>
      <w:proofErr w:type="spellEnd"/>
      <w:r w:rsidRPr="00C13958">
        <w:rPr>
          <w:rFonts w:ascii="Times New Roman" w:hAnsi="Times New Roman" w:cs="Times New Roman"/>
          <w:sz w:val="24"/>
          <w:szCs w:val="24"/>
        </w:rPr>
        <w:t xml:space="preserve"> </w:t>
      </w:r>
      <w:proofErr w:type="spellStart"/>
      <w:r w:rsidRPr="00C13958">
        <w:rPr>
          <w:rFonts w:ascii="Times New Roman" w:hAnsi="Times New Roman" w:cs="Times New Roman"/>
          <w:sz w:val="24"/>
          <w:szCs w:val="24"/>
        </w:rPr>
        <w:t>ust.1</w:t>
      </w:r>
      <w:proofErr w:type="spellEnd"/>
      <w:r w:rsidRPr="00C13958">
        <w:rPr>
          <w:rFonts w:ascii="Times New Roman" w:hAnsi="Times New Roman" w:cs="Times New Roman"/>
          <w:sz w:val="24"/>
          <w:szCs w:val="24"/>
        </w:rPr>
        <w:t xml:space="preserve"> </w:t>
      </w:r>
      <w:proofErr w:type="spellStart"/>
      <w:r w:rsidRPr="00C13958">
        <w:rPr>
          <w:rFonts w:ascii="Times New Roman" w:hAnsi="Times New Roman" w:cs="Times New Roman"/>
          <w:sz w:val="24"/>
          <w:szCs w:val="24"/>
        </w:rPr>
        <w:t>Pgg</w:t>
      </w:r>
      <w:proofErr w:type="spellEnd"/>
      <w:r w:rsidRPr="00C13958">
        <w:rPr>
          <w:rFonts w:ascii="Times New Roman" w:hAnsi="Times New Roman" w:cs="Times New Roman"/>
          <w:sz w:val="24"/>
          <w:szCs w:val="24"/>
        </w:rPr>
        <w:t xml:space="preserve"> do kontroli działalności prowadzonej na podstawie przepisów ustawy stosuje się przepisy rozdziału 5 ustawy z dnia 6 marca 2018 r. - Prawo przedsiębiorców.</w:t>
      </w:r>
    </w:p>
    <w:p w14:paraId="49E96FEF" w14:textId="7C21D7ED" w:rsidR="00C13958" w:rsidRPr="006D59BB" w:rsidRDefault="00C13958" w:rsidP="006D59BB">
      <w:pPr>
        <w:spacing w:before="120" w:after="0" w:line="360" w:lineRule="auto"/>
        <w:jc w:val="both"/>
        <w:rPr>
          <w:rFonts w:ascii="Times New Roman" w:hAnsi="Times New Roman" w:cs="Times New Roman"/>
          <w:sz w:val="24"/>
          <w:szCs w:val="24"/>
        </w:rPr>
      </w:pPr>
      <w:r w:rsidRPr="00C13958">
        <w:rPr>
          <w:rFonts w:ascii="Times New Roman" w:hAnsi="Times New Roman" w:cs="Times New Roman"/>
          <w:sz w:val="24"/>
          <w:szCs w:val="24"/>
        </w:rPr>
        <w:t xml:space="preserve">Wprowadzenie w art. </w:t>
      </w:r>
      <w:proofErr w:type="spellStart"/>
      <w:r w:rsidRPr="00C13958">
        <w:rPr>
          <w:rFonts w:ascii="Times New Roman" w:hAnsi="Times New Roman" w:cs="Times New Roman"/>
          <w:sz w:val="24"/>
          <w:szCs w:val="24"/>
        </w:rPr>
        <w:t>55a</w:t>
      </w:r>
      <w:proofErr w:type="spellEnd"/>
      <w:r w:rsidRPr="00C13958">
        <w:rPr>
          <w:rFonts w:ascii="Times New Roman" w:hAnsi="Times New Roman" w:cs="Times New Roman"/>
          <w:sz w:val="24"/>
          <w:szCs w:val="24"/>
        </w:rPr>
        <w:t xml:space="preserve"> </w:t>
      </w:r>
      <w:proofErr w:type="spellStart"/>
      <w:r w:rsidRPr="00C13958">
        <w:rPr>
          <w:rFonts w:ascii="Times New Roman" w:hAnsi="Times New Roman" w:cs="Times New Roman"/>
          <w:sz w:val="24"/>
          <w:szCs w:val="24"/>
        </w:rPr>
        <w:t>Pp</w:t>
      </w:r>
      <w:proofErr w:type="spellEnd"/>
      <w:r w:rsidRPr="00C13958">
        <w:rPr>
          <w:rFonts w:ascii="Times New Roman" w:hAnsi="Times New Roman" w:cs="Times New Roman"/>
          <w:sz w:val="24"/>
          <w:szCs w:val="24"/>
        </w:rPr>
        <w:t xml:space="preserve"> ograniczenia możliwości przeprowadzania przez organ kontroli planowych w przypadku takiego przedsiębiorcy, posiadającego znaczną liczbę koncesji, którego nie przypisano do kategorii ryzyka „wysokiego”, mogłoby w dużym stopniu utrudnić organowi koncesyjnemu przeprowadzenie regularnych planowanych kontroli w odniesieniu do poszczególnych koncesji. W związku z tym zdecydowano się na wyłączenie stosowania nowych ograniczeń częstotliwości kontroli planowych do kontroli przeprowadzanych przez organy nadzoru górniczego.</w:t>
      </w:r>
    </w:p>
    <w:p w14:paraId="1735A71E" w14:textId="2DAFE122" w:rsidR="006338E8" w:rsidRPr="006D59BB" w:rsidRDefault="006338E8" w:rsidP="006D59BB">
      <w:pPr>
        <w:pStyle w:val="Styl1"/>
        <w:spacing w:before="120" w:after="0" w:line="360" w:lineRule="auto"/>
        <w:rPr>
          <w:sz w:val="24"/>
          <w:szCs w:val="24"/>
        </w:rPr>
      </w:pPr>
      <w:bookmarkStart w:id="40" w:name="_Toc192358928"/>
      <w:r w:rsidRPr="006D59BB">
        <w:rPr>
          <w:sz w:val="24"/>
          <w:szCs w:val="24"/>
        </w:rPr>
        <w:t>Ustawa z dnia 6 marca 2018 r. ‒ Prawo przedsiębiorców</w:t>
      </w:r>
      <w:bookmarkEnd w:id="40"/>
    </w:p>
    <w:p w14:paraId="7CFC2502" w14:textId="6ED306F8" w:rsidR="00961F72" w:rsidRPr="006D59BB" w:rsidRDefault="00961F72" w:rsidP="006D59BB">
      <w:pPr>
        <w:pStyle w:val="Akapitzlist"/>
        <w:numPr>
          <w:ilvl w:val="0"/>
          <w:numId w:val="2"/>
        </w:numPr>
        <w:tabs>
          <w:tab w:val="left" w:pos="426"/>
        </w:tabs>
        <w:spacing w:before="120" w:after="0" w:line="360" w:lineRule="auto"/>
        <w:ind w:left="0" w:firstLine="0"/>
        <w:jc w:val="both"/>
        <w:rPr>
          <w:rFonts w:ascii="Times New Roman" w:hAnsi="Times New Roman" w:cs="Times New Roman"/>
          <w:sz w:val="24"/>
          <w:szCs w:val="24"/>
        </w:rPr>
      </w:pPr>
      <w:r w:rsidRPr="006D59BB">
        <w:rPr>
          <w:rFonts w:ascii="Times New Roman" w:hAnsi="Times New Roman" w:cs="Times New Roman"/>
          <w:sz w:val="24"/>
          <w:szCs w:val="24"/>
        </w:rPr>
        <w:t xml:space="preserve">Wystąpienie do osoby. </w:t>
      </w:r>
    </w:p>
    <w:p w14:paraId="7024A5B9" w14:textId="77777777" w:rsidR="00961F72" w:rsidRPr="006D59BB" w:rsidRDefault="00961F72"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Na gruncie obowiązujących przepisów urząd nie ma podstawy prawnej do występowania do przedsiębiorców bez wszczynania postępowania. Dla części urzędów stanowi to problem. Często otrzymują one informacje „z drugiej ręki” i, nie posiadając stanowiska zainteresowanego ani rozeznania w sprawie, niejako muszą zainicjować oficjalną procedurę administracyjną, tak by wyjaśnić jej okoliczności. W praktyce często okazuje się, że sprawa nie wymagała formalnego postępowania, o czym organ nie mógł wiedzieć zawczasu. Organy wnioskują o wprowadzenie mniej formalnych i czasochłonnych procedur komunikacji z zainteresowanymi.</w:t>
      </w:r>
    </w:p>
    <w:p w14:paraId="48F6AEE8" w14:textId="0A39BBDB" w:rsidR="00961F72" w:rsidRPr="006D59BB" w:rsidRDefault="00961F72"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 xml:space="preserve">W odpowiedzi na powyższe proponuje się dodanie nowego narzędzia wzorowanego na art. 49a ustawy o ochronie konkurencji i konsumentów (tzw. </w:t>
      </w:r>
      <w:r w:rsidR="00B40C2B" w:rsidRPr="006D59BB">
        <w:rPr>
          <w:rFonts w:ascii="Times New Roman" w:hAnsi="Times New Roman" w:cs="Times New Roman"/>
          <w:sz w:val="24"/>
          <w:szCs w:val="24"/>
        </w:rPr>
        <w:t>„</w:t>
      </w:r>
      <w:r w:rsidRPr="006D59BB">
        <w:rPr>
          <w:rFonts w:ascii="Times New Roman" w:hAnsi="Times New Roman" w:cs="Times New Roman"/>
          <w:sz w:val="24"/>
          <w:szCs w:val="24"/>
        </w:rPr>
        <w:t>wezwania miękkie</w:t>
      </w:r>
      <w:r w:rsidR="00B40C2B" w:rsidRPr="006D59BB">
        <w:rPr>
          <w:rFonts w:ascii="Times New Roman" w:hAnsi="Times New Roman" w:cs="Times New Roman"/>
          <w:sz w:val="24"/>
          <w:szCs w:val="24"/>
        </w:rPr>
        <w:t>”</w:t>
      </w:r>
      <w:r w:rsidRPr="006D59BB">
        <w:rPr>
          <w:rFonts w:ascii="Times New Roman" w:hAnsi="Times New Roman" w:cs="Times New Roman"/>
          <w:sz w:val="24"/>
          <w:szCs w:val="24"/>
        </w:rPr>
        <w:t>). Na jego podstawie, bez wszczynania postępowania, organ mógłby zwrócić się w zakresie swojej właściwości do przedsiębiorcy o przedstawienie stanowiska</w:t>
      </w:r>
      <w:r w:rsidR="002127E4" w:rsidRPr="006D59BB">
        <w:rPr>
          <w:rFonts w:ascii="Times New Roman" w:hAnsi="Times New Roman" w:cs="Times New Roman"/>
          <w:sz w:val="24"/>
          <w:szCs w:val="24"/>
        </w:rPr>
        <w:t xml:space="preserve"> w sprawach związanych z wykonywaną przez niego działalnością gospodarczą</w:t>
      </w:r>
      <w:r w:rsidRPr="006D59BB">
        <w:rPr>
          <w:rFonts w:ascii="Times New Roman" w:hAnsi="Times New Roman" w:cs="Times New Roman"/>
          <w:sz w:val="24"/>
          <w:szCs w:val="24"/>
        </w:rPr>
        <w:t>. Termin na odpowiedź powinien być nie krótszy niż 14 dni</w:t>
      </w:r>
      <w:r w:rsidR="001A7C2E" w:rsidRPr="006D59BB">
        <w:rPr>
          <w:rFonts w:ascii="Times New Roman" w:hAnsi="Times New Roman" w:cs="Times New Roman"/>
          <w:sz w:val="24"/>
          <w:szCs w:val="24"/>
        </w:rPr>
        <w:t xml:space="preserve"> od dnia otrzymania wystąpienia</w:t>
      </w:r>
      <w:r w:rsidRPr="006D59BB">
        <w:rPr>
          <w:rFonts w:ascii="Times New Roman" w:hAnsi="Times New Roman" w:cs="Times New Roman"/>
          <w:sz w:val="24"/>
          <w:szCs w:val="24"/>
        </w:rPr>
        <w:t>. Byłoby to narządzie całkowicie dobrowolne – organ mógłby, ale nie musiałby, z niego korzystać, zaś adresat – mógłby, ale nie musiałby, odpowiadać na wezwanie. W przypadku skorzystania z</w:t>
      </w:r>
      <w:r w:rsidR="00BD18D6" w:rsidRPr="006D59BB">
        <w:rPr>
          <w:rFonts w:ascii="Times New Roman" w:hAnsi="Times New Roman" w:cs="Times New Roman"/>
          <w:sz w:val="24"/>
          <w:szCs w:val="24"/>
        </w:rPr>
        <w:t> </w:t>
      </w:r>
      <w:r w:rsidRPr="006D59BB">
        <w:rPr>
          <w:rFonts w:ascii="Times New Roman" w:hAnsi="Times New Roman" w:cs="Times New Roman"/>
          <w:sz w:val="24"/>
          <w:szCs w:val="24"/>
        </w:rPr>
        <w:t xml:space="preserve">proponowanego narzędzia możliwe byłoby natomiast wyjaśnienie sprawy na samym początku, bez wszczynania postępowania. Tym samym, nowy przepis art. </w:t>
      </w:r>
      <w:proofErr w:type="spellStart"/>
      <w:r w:rsidRPr="006D59BB">
        <w:rPr>
          <w:rFonts w:ascii="Times New Roman" w:hAnsi="Times New Roman" w:cs="Times New Roman"/>
          <w:sz w:val="24"/>
          <w:szCs w:val="24"/>
        </w:rPr>
        <w:t>28a</w:t>
      </w:r>
      <w:proofErr w:type="spellEnd"/>
      <w:r w:rsidRPr="006D59BB">
        <w:rPr>
          <w:rFonts w:ascii="Times New Roman" w:hAnsi="Times New Roman" w:cs="Times New Roman"/>
          <w:sz w:val="24"/>
          <w:szCs w:val="24"/>
        </w:rPr>
        <w:t xml:space="preserve"> </w:t>
      </w:r>
      <w:proofErr w:type="spellStart"/>
      <w:r w:rsidRPr="006D59BB">
        <w:rPr>
          <w:rFonts w:ascii="Times New Roman" w:hAnsi="Times New Roman" w:cs="Times New Roman"/>
          <w:sz w:val="24"/>
          <w:szCs w:val="24"/>
        </w:rPr>
        <w:t>Pp</w:t>
      </w:r>
      <w:proofErr w:type="spellEnd"/>
      <w:r w:rsidRPr="006D59BB">
        <w:rPr>
          <w:rFonts w:ascii="Times New Roman" w:hAnsi="Times New Roman" w:cs="Times New Roman"/>
          <w:sz w:val="24"/>
          <w:szCs w:val="24"/>
        </w:rPr>
        <w:t xml:space="preserve"> regulowałby tę kwestię. Proponuje się aby wystąpienie organu było jak </w:t>
      </w:r>
      <w:r w:rsidRPr="006D59BB">
        <w:rPr>
          <w:rFonts w:ascii="Times New Roman" w:hAnsi="Times New Roman" w:cs="Times New Roman"/>
          <w:sz w:val="24"/>
          <w:szCs w:val="24"/>
        </w:rPr>
        <w:lastRenderedPageBreak/>
        <w:t>najbardziej odformalizowane. Organ mógłby występować jedynie w takich sprawach, w których nie jest wymagane wszczęcie postępowania.</w:t>
      </w:r>
    </w:p>
    <w:p w14:paraId="51E847A5" w14:textId="6DF50DB1" w:rsidR="00CA4BF0" w:rsidRPr="006D59BB" w:rsidRDefault="00CA4BF0" w:rsidP="006D59BB">
      <w:pPr>
        <w:pStyle w:val="Akapitzlist"/>
        <w:numPr>
          <w:ilvl w:val="0"/>
          <w:numId w:val="2"/>
        </w:numPr>
        <w:tabs>
          <w:tab w:val="left" w:pos="426"/>
        </w:tabs>
        <w:spacing w:before="120" w:after="0" w:line="360" w:lineRule="auto"/>
        <w:ind w:left="0" w:firstLine="0"/>
        <w:jc w:val="both"/>
        <w:rPr>
          <w:rFonts w:ascii="Times New Roman" w:hAnsi="Times New Roman" w:cs="Times New Roman"/>
          <w:sz w:val="24"/>
          <w:szCs w:val="24"/>
        </w:rPr>
      </w:pPr>
      <w:r w:rsidRPr="006D59BB">
        <w:rPr>
          <w:rFonts w:ascii="Times New Roman" w:hAnsi="Times New Roman" w:cs="Times New Roman"/>
          <w:sz w:val="24"/>
          <w:szCs w:val="24"/>
        </w:rPr>
        <w:t xml:space="preserve">Brak konieczności przedkładania </w:t>
      </w:r>
      <w:r w:rsidR="002A6303" w:rsidRPr="006D59BB">
        <w:rPr>
          <w:rFonts w:ascii="Times New Roman" w:hAnsi="Times New Roman" w:cs="Times New Roman"/>
          <w:sz w:val="24"/>
          <w:szCs w:val="24"/>
        </w:rPr>
        <w:t xml:space="preserve">dokumentu </w:t>
      </w:r>
      <w:r w:rsidRPr="006D59BB">
        <w:rPr>
          <w:rFonts w:ascii="Times New Roman" w:hAnsi="Times New Roman" w:cs="Times New Roman"/>
          <w:sz w:val="24"/>
          <w:szCs w:val="24"/>
        </w:rPr>
        <w:t>pełnomocnictwa lub prokury.</w:t>
      </w:r>
    </w:p>
    <w:p w14:paraId="1D264BB9" w14:textId="320D36FF" w:rsidR="00CA4BF0" w:rsidRPr="006D59BB" w:rsidRDefault="00CA4BF0"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Proponowany przepis art. 30a rozciąga na Krajowy Rejestr Sądowy rozwiązania znajdujące się dotychczas w ustawie z dnia 6 marca 2018 r. o Centralnej Ewidencji i Informacji o Działalności Gospodarczej i Punkcie Informacji dla Przedsiębiorcy w zakresie konieczności przedkładania przez pełnomocnika (a w szczególności prokurenta) dokumentu pełnomocnictwa lub prokury na potrzeby postępowań administracyjnych (art. 41 tejże ustawy w brzmieniu dotychczasowym). Utrzymywanie w tym zakresie rozróżnienia pomiędzy Centralną Ewidencją i Informacją o Działalności Gospodarczej a Krajowym Rejestrem Sądowym nie wydaje się znajdować aksjologicznego uzasadnienia, zwłaszcza biorąc pod uwagę zasadę domniemania prawdziwości danych zawartych w tym ostatnim (zob. art. 17 ustawy z dnia 20 sierpnia 1997 r. o Krajowym Rejestrze Sądowym). Propozycja stanowi też manifestację innych pro-obywatelskich i pro-przedsiębiorczych reguł administracji takich jak konieczność współdziałania organów czy korzystanie z danych i informacji, do których mają one już dostęp, bez konieczności angażowania zainteresowanych.</w:t>
      </w:r>
    </w:p>
    <w:p w14:paraId="5F80D286" w14:textId="77777777" w:rsidR="00961F72" w:rsidRPr="006D59BB" w:rsidRDefault="00961F72" w:rsidP="006D59BB">
      <w:pPr>
        <w:pStyle w:val="Akapitzlist"/>
        <w:numPr>
          <w:ilvl w:val="0"/>
          <w:numId w:val="2"/>
        </w:numPr>
        <w:tabs>
          <w:tab w:val="left" w:pos="426"/>
        </w:tabs>
        <w:spacing w:before="120" w:after="0" w:line="360" w:lineRule="auto"/>
        <w:ind w:left="0" w:firstLine="0"/>
        <w:jc w:val="both"/>
        <w:rPr>
          <w:rFonts w:ascii="Times New Roman" w:hAnsi="Times New Roman" w:cs="Times New Roman"/>
          <w:sz w:val="24"/>
          <w:szCs w:val="24"/>
        </w:rPr>
      </w:pPr>
      <w:r w:rsidRPr="006D59BB">
        <w:rPr>
          <w:rFonts w:ascii="Times New Roman" w:hAnsi="Times New Roman" w:cs="Times New Roman"/>
          <w:sz w:val="24"/>
          <w:szCs w:val="24"/>
        </w:rPr>
        <w:t xml:space="preserve">Ograniczenie w stosowaniu pieczątek i dołączania wydruków KRS i CEIDG. </w:t>
      </w:r>
    </w:p>
    <w:p w14:paraId="6C194A20" w14:textId="64F00E77" w:rsidR="00961F72" w:rsidRPr="006D59BB" w:rsidRDefault="00961F72"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Obecnie praktycznie nie obowiązują przepisy wymagające od przedsiębiorców posiadania i posługiwania się pieczątkami zarówno w kontaktach biznesowych, jak i w kontaktach z</w:t>
      </w:r>
      <w:r w:rsidR="00BD18D6" w:rsidRPr="006D59BB">
        <w:rPr>
          <w:rFonts w:ascii="Times New Roman" w:hAnsi="Times New Roman" w:cs="Times New Roman"/>
          <w:sz w:val="24"/>
          <w:szCs w:val="24"/>
        </w:rPr>
        <w:t> </w:t>
      </w:r>
      <w:r w:rsidRPr="006D59BB">
        <w:rPr>
          <w:rFonts w:ascii="Times New Roman" w:hAnsi="Times New Roman" w:cs="Times New Roman"/>
          <w:sz w:val="24"/>
          <w:szCs w:val="24"/>
        </w:rPr>
        <w:t>administracją publiczną. Odchodząc od posługiwania się pieczątkami Rada Ministrów przyjęła w</w:t>
      </w:r>
      <w:r w:rsidR="00BD18D6" w:rsidRPr="006D59BB">
        <w:rPr>
          <w:rFonts w:ascii="Times New Roman" w:hAnsi="Times New Roman" w:cs="Times New Roman"/>
          <w:sz w:val="24"/>
          <w:szCs w:val="24"/>
        </w:rPr>
        <w:t> </w:t>
      </w:r>
      <w:r w:rsidRPr="006D59BB">
        <w:rPr>
          <w:rFonts w:ascii="Times New Roman" w:hAnsi="Times New Roman" w:cs="Times New Roman"/>
          <w:sz w:val="24"/>
          <w:szCs w:val="24"/>
        </w:rPr>
        <w:t xml:space="preserve">2018 r. dokument pod nazwą „Informacja dotycząca deregulacji obowiązku stosowania pieczęci/pieczątek przez obywateli i przedsiębiorców”. Ministrowie zostali zobowiązani do podjęcia działań zmierzających do zmiany pozostających w zakresie ich właściwości aktów prawnych przewidujących obowiązek stosowania pieczęci lub pieczątek dla uproszczenia procedur. Od tego czasu przyjęto wiele aktów prawa znoszących obowiązek stosowania pieczęci/pieczątek nagłówkowych czy personalnych wymaganych wcześniej przy okazji różnych postępowań administracyjnych. Mogą jednak zdarzyć się sytuacje, że organ domaga się wykorzystania przez przedsiębiorcę pieczątki/pieczęci, pomimo braku formalnej podstawy. </w:t>
      </w:r>
    </w:p>
    <w:p w14:paraId="213D9999" w14:textId="77777777" w:rsidR="00961F72" w:rsidRPr="006D59BB" w:rsidRDefault="00961F72"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 xml:space="preserve">Kolejnym krokiem w procesie deregulacji stosowania pieczątek/pieczęci jest zatem propozycja wprowadzenia art. 31 ust. 2 Pp. W projektowanym przepisie wskazuje się, że </w:t>
      </w:r>
      <w:bookmarkStart w:id="41" w:name="_Hlk139360458"/>
      <w:r w:rsidRPr="006D59BB">
        <w:rPr>
          <w:rFonts w:ascii="Times New Roman" w:hAnsi="Times New Roman" w:cs="Times New Roman"/>
          <w:sz w:val="24"/>
          <w:szCs w:val="24"/>
        </w:rPr>
        <w:t xml:space="preserve">brak pieczątki nie stanowi braku formalnego pisma lub wniosku ani nie jest powodem, aby stwierdzić, że są one </w:t>
      </w:r>
      <w:r w:rsidRPr="006D59BB">
        <w:rPr>
          <w:rFonts w:ascii="Times New Roman" w:hAnsi="Times New Roman" w:cs="Times New Roman"/>
          <w:sz w:val="24"/>
          <w:szCs w:val="24"/>
        </w:rPr>
        <w:lastRenderedPageBreak/>
        <w:t>niekompletne</w:t>
      </w:r>
      <w:bookmarkEnd w:id="41"/>
      <w:r w:rsidRPr="006D59BB">
        <w:rPr>
          <w:rFonts w:ascii="Times New Roman" w:hAnsi="Times New Roman" w:cs="Times New Roman"/>
          <w:sz w:val="24"/>
          <w:szCs w:val="24"/>
        </w:rPr>
        <w:t xml:space="preserve">. Jednocześnie proponuje się wyjątek od tej zasady, jeżeli przepisy odrębne nakazują stosowanie pieczątki. Oznacza to, że organ administracji nie będzie mógł wymagać i żądać od przedsiębiorcy posługiwania się pieczątką, chyba że istnieje szczególny przepis prawa powszechnie obowiązującego, który wprowadza taki wymóg w konkretnej sprawie. </w:t>
      </w:r>
    </w:p>
    <w:p w14:paraId="533A52AE" w14:textId="77777777" w:rsidR="00961F72" w:rsidRPr="006D59BB" w:rsidRDefault="00961F72"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Z tożsamą sytuacją mamy do czynienia w przypadku braku dołączonego do pisma lub wniosku wydruku komputerowego aktualnych i pełnych informacji o podmiotach wpisanych do Krajowego Rejestru Sądowego oraz zaświadczenia o wpisie do Centralnej Ewidencji i Informacji o Działalności Gospodarczej (w praktyce: wydruku z systemu teleinformatycznego Centralnej Ewidencji i Informacji o Działalności Gospodarczej). Jasne określenie w przepisach prawa, że ich brak nie stanowi braku formalnego spowoduje, że organy administracji publicznej nie będą mogły wymagać od przedsiębiorcy dołączenia takiego wydruku do pisma lub wniosku (chyba że przepisy szczególne będą taki wymóg stawiały w konkretnej sprawie). Ponadto, przedmiotowa zmiana wpłynie pozytywnie na ograniczenie objętości akt sprawy przechowywanych w formie papierowej oraz przyczyni się do ochrony środowiska naturalnego z uwagi na zmniejszenie ilości zużytego papieru do druku.</w:t>
      </w:r>
    </w:p>
    <w:p w14:paraId="651151A9" w14:textId="11BAD22F" w:rsidR="00CA5E6E" w:rsidRPr="006D59BB" w:rsidRDefault="00106DC1" w:rsidP="006D59BB">
      <w:pPr>
        <w:pStyle w:val="Akapitzlist"/>
        <w:numPr>
          <w:ilvl w:val="0"/>
          <w:numId w:val="2"/>
        </w:numPr>
        <w:tabs>
          <w:tab w:val="left" w:pos="426"/>
        </w:tabs>
        <w:spacing w:before="120" w:after="0" w:line="360" w:lineRule="auto"/>
        <w:ind w:left="0" w:firstLine="0"/>
        <w:jc w:val="both"/>
        <w:rPr>
          <w:rFonts w:ascii="Times New Roman" w:hAnsi="Times New Roman" w:cs="Times New Roman"/>
          <w:sz w:val="24"/>
          <w:szCs w:val="24"/>
        </w:rPr>
      </w:pPr>
      <w:r w:rsidRPr="006D59BB">
        <w:rPr>
          <w:rFonts w:ascii="Times New Roman" w:hAnsi="Times New Roman" w:cs="Times New Roman"/>
          <w:sz w:val="24"/>
          <w:szCs w:val="24"/>
        </w:rPr>
        <w:t>A</w:t>
      </w:r>
      <w:r w:rsidR="00CA5E6E" w:rsidRPr="006D59BB">
        <w:rPr>
          <w:rFonts w:ascii="Times New Roman" w:hAnsi="Times New Roman" w:cs="Times New Roman"/>
          <w:sz w:val="24"/>
          <w:szCs w:val="24"/>
        </w:rPr>
        <w:t>nalizy prawdopodobieństwa naruszenia prawa</w:t>
      </w:r>
      <w:r w:rsidRPr="006D59BB">
        <w:rPr>
          <w:rFonts w:ascii="Times New Roman" w:hAnsi="Times New Roman" w:cs="Times New Roman"/>
          <w:sz w:val="24"/>
          <w:szCs w:val="24"/>
        </w:rPr>
        <w:t xml:space="preserve"> poprzedzające kontrolę planową</w:t>
      </w:r>
      <w:r w:rsidR="00CA5E6E" w:rsidRPr="006D59BB">
        <w:rPr>
          <w:rFonts w:ascii="Times New Roman" w:hAnsi="Times New Roman" w:cs="Times New Roman"/>
          <w:sz w:val="24"/>
          <w:szCs w:val="24"/>
        </w:rPr>
        <w:t>.</w:t>
      </w:r>
    </w:p>
    <w:p w14:paraId="4B142B55" w14:textId="6CED367C" w:rsidR="00106DC1" w:rsidRPr="006D59BB" w:rsidRDefault="00106DC1" w:rsidP="006D59BB">
      <w:pPr>
        <w:spacing w:before="120" w:after="0" w:line="360" w:lineRule="auto"/>
        <w:jc w:val="both"/>
        <w:rPr>
          <w:rFonts w:ascii="Times New Roman" w:hAnsi="Times New Roman" w:cs="Times New Roman"/>
          <w:kern w:val="0"/>
          <w:sz w:val="24"/>
          <w:szCs w:val="24"/>
          <w14:ligatures w14:val="none"/>
        </w:rPr>
      </w:pPr>
      <w:r w:rsidRPr="006D59BB">
        <w:rPr>
          <w:rFonts w:ascii="Times New Roman" w:hAnsi="Times New Roman" w:cs="Times New Roman"/>
          <w:kern w:val="0"/>
          <w:sz w:val="24"/>
          <w:szCs w:val="24"/>
          <w14:ligatures w14:val="none"/>
        </w:rPr>
        <w:t xml:space="preserve">Zmiany w zakresie art. 47 </w:t>
      </w:r>
      <w:proofErr w:type="spellStart"/>
      <w:r w:rsidRPr="006D59BB">
        <w:rPr>
          <w:rFonts w:ascii="Times New Roman" w:hAnsi="Times New Roman" w:cs="Times New Roman"/>
          <w:kern w:val="0"/>
          <w:sz w:val="24"/>
          <w:szCs w:val="24"/>
          <w14:ligatures w14:val="none"/>
        </w:rPr>
        <w:t>Pp</w:t>
      </w:r>
      <w:proofErr w:type="spellEnd"/>
      <w:r w:rsidRPr="006D59BB">
        <w:rPr>
          <w:rFonts w:ascii="Times New Roman" w:hAnsi="Times New Roman" w:cs="Times New Roman"/>
          <w:kern w:val="0"/>
          <w:sz w:val="24"/>
          <w:szCs w:val="24"/>
          <w14:ligatures w14:val="none"/>
        </w:rPr>
        <w:t xml:space="preserve"> związane są z wprowadzeniem obowiązku publikacji przez organ kontroli </w:t>
      </w:r>
      <w:r w:rsidR="009B6042" w:rsidRPr="006D59BB">
        <w:rPr>
          <w:rFonts w:ascii="Times New Roman" w:hAnsi="Times New Roman" w:cs="Times New Roman"/>
          <w:kern w:val="0"/>
          <w:sz w:val="24"/>
          <w:szCs w:val="24"/>
          <w14:ligatures w14:val="none"/>
        </w:rPr>
        <w:t xml:space="preserve">informacji o zasadach umożliwiających przypisanie przedsiębiorców do właściwej dla nich kategorii ryzyka zawartych w </w:t>
      </w:r>
      <w:r w:rsidRPr="006D59BB">
        <w:rPr>
          <w:rFonts w:ascii="Times New Roman" w:hAnsi="Times New Roman" w:cs="Times New Roman"/>
          <w:kern w:val="0"/>
          <w:sz w:val="24"/>
          <w:szCs w:val="24"/>
          <w14:ligatures w14:val="none"/>
        </w:rPr>
        <w:t>okresowej analiz</w:t>
      </w:r>
      <w:r w:rsidR="009B6042" w:rsidRPr="006D59BB">
        <w:rPr>
          <w:rFonts w:ascii="Times New Roman" w:hAnsi="Times New Roman" w:cs="Times New Roman"/>
          <w:kern w:val="0"/>
          <w:sz w:val="24"/>
          <w:szCs w:val="24"/>
          <w14:ligatures w14:val="none"/>
        </w:rPr>
        <w:t>ie</w:t>
      </w:r>
      <w:r w:rsidRPr="006D59BB">
        <w:rPr>
          <w:rFonts w:ascii="Times New Roman" w:hAnsi="Times New Roman" w:cs="Times New Roman"/>
          <w:kern w:val="0"/>
          <w:sz w:val="24"/>
          <w:szCs w:val="24"/>
          <w14:ligatures w14:val="none"/>
        </w:rPr>
        <w:t xml:space="preserve"> prawdopodobieństwa naruszenia prawa w ramach wykonywania działalności gospodarczej. Powyższy obowiązek nie znajdzie zastosowania do kontroli działalności gospodarczej podlegającej koncesjonowaniu, do kontroli i analiz będących we właściwości organów Krajowej Administracji Skarbowej</w:t>
      </w:r>
      <w:r w:rsidR="006E460F" w:rsidRPr="006D59BB">
        <w:rPr>
          <w:rFonts w:ascii="Times New Roman" w:hAnsi="Times New Roman" w:cs="Times New Roman"/>
          <w:kern w:val="0"/>
          <w:sz w:val="24"/>
          <w:szCs w:val="24"/>
          <w14:ligatures w14:val="none"/>
        </w:rPr>
        <w:t xml:space="preserve">, </w:t>
      </w:r>
      <w:r w:rsidR="0002417E" w:rsidRPr="006D59BB">
        <w:rPr>
          <w:rFonts w:ascii="Times New Roman" w:hAnsi="Times New Roman" w:cs="Times New Roman"/>
          <w:kern w:val="0"/>
          <w:sz w:val="24"/>
          <w:szCs w:val="24"/>
          <w14:ligatures w14:val="none"/>
        </w:rPr>
        <w:t>do kontroli prowadzonej na podstawie ustawy z dnia 6 września 2001 r. o</w:t>
      </w:r>
      <w:r w:rsidR="005D5D55" w:rsidRPr="006D59BB">
        <w:rPr>
          <w:rFonts w:ascii="Times New Roman" w:hAnsi="Times New Roman" w:cs="Times New Roman"/>
          <w:kern w:val="0"/>
          <w:sz w:val="24"/>
          <w:szCs w:val="24"/>
          <w14:ligatures w14:val="none"/>
        </w:rPr>
        <w:t> </w:t>
      </w:r>
      <w:r w:rsidR="0002417E" w:rsidRPr="006D59BB">
        <w:rPr>
          <w:rFonts w:ascii="Times New Roman" w:hAnsi="Times New Roman" w:cs="Times New Roman"/>
          <w:kern w:val="0"/>
          <w:sz w:val="24"/>
          <w:szCs w:val="24"/>
          <w14:ligatures w14:val="none"/>
        </w:rPr>
        <w:t xml:space="preserve">transporcie drogowym, </w:t>
      </w:r>
      <w:r w:rsidR="006E460F" w:rsidRPr="006D59BB">
        <w:rPr>
          <w:rFonts w:ascii="Times New Roman" w:hAnsi="Times New Roman" w:cs="Times New Roman"/>
          <w:kern w:val="0"/>
          <w:sz w:val="24"/>
          <w:szCs w:val="24"/>
          <w14:ligatures w14:val="none"/>
        </w:rPr>
        <w:t xml:space="preserve">jak również do kontroli działalności gospodarczej w obszarach, w których udostępnienie </w:t>
      </w:r>
      <w:r w:rsidR="009B6042" w:rsidRPr="006D59BB">
        <w:rPr>
          <w:rFonts w:ascii="Times New Roman" w:hAnsi="Times New Roman" w:cs="Times New Roman"/>
          <w:kern w:val="0"/>
          <w:sz w:val="24"/>
          <w:szCs w:val="24"/>
          <w14:ligatures w14:val="none"/>
        </w:rPr>
        <w:t>powyższej informacji</w:t>
      </w:r>
      <w:r w:rsidR="006E460F" w:rsidRPr="006D59BB">
        <w:rPr>
          <w:rFonts w:ascii="Times New Roman" w:hAnsi="Times New Roman" w:cs="Times New Roman"/>
          <w:kern w:val="0"/>
          <w:sz w:val="24"/>
          <w:szCs w:val="24"/>
          <w14:ligatures w14:val="none"/>
        </w:rPr>
        <w:t xml:space="preserve"> mogłoby stwarzać zagrożenie dla bezpieczeństwa, porządku publicznego, życia lub zdrowia ludzkiego. Do tych ostatnich obszarów należy zaliczyć zwłaszcza działalność gospodarczą związaną z zapewnieniem prawidłowego funkcjonowania infrastruktury krytycznej lub z realizacją przez przedsiębiorców zadań na rzecz państwowych służb odpowiedzialnych za bezpieczeństwo i porządek publiczny.</w:t>
      </w:r>
    </w:p>
    <w:p w14:paraId="2FF2305F" w14:textId="77777777" w:rsidR="009B6042" w:rsidRPr="006D59BB" w:rsidRDefault="009B6042" w:rsidP="006D59BB">
      <w:pPr>
        <w:spacing w:before="120" w:after="0" w:line="360" w:lineRule="auto"/>
        <w:jc w:val="both"/>
        <w:rPr>
          <w:rFonts w:ascii="Times New Roman" w:hAnsi="Times New Roman" w:cs="Times New Roman"/>
          <w:kern w:val="0"/>
          <w:sz w:val="24"/>
          <w:szCs w:val="24"/>
          <w14:ligatures w14:val="none"/>
        </w:rPr>
      </w:pPr>
      <w:r w:rsidRPr="006D59BB">
        <w:rPr>
          <w:rFonts w:ascii="Times New Roman" w:hAnsi="Times New Roman" w:cs="Times New Roman"/>
          <w:kern w:val="0"/>
          <w:sz w:val="24"/>
          <w:szCs w:val="24"/>
          <w14:ligatures w14:val="none"/>
        </w:rPr>
        <w:t xml:space="preserve">Publikowane informacje powinny umożliwiać przypisanie przedsiębiorców do właściwej dla nich kategorii ryzyka zawartych w okresowej analizie. Realizacja przedmiotowego obowiązku może polegać np. na opublikowaniu listy zawierającej nazwę (firmę) przedsiębiorcy oraz przypisaną do tego przedsiębiorcy kategorię ryzyka, ale za wystarczające należy również uznać </w:t>
      </w:r>
      <w:r w:rsidRPr="006D59BB">
        <w:rPr>
          <w:rFonts w:ascii="Times New Roman" w:hAnsi="Times New Roman" w:cs="Times New Roman"/>
          <w:kern w:val="0"/>
          <w:sz w:val="24"/>
          <w:szCs w:val="24"/>
          <w14:ligatures w14:val="none"/>
        </w:rPr>
        <w:lastRenderedPageBreak/>
        <w:t xml:space="preserve">podanie zasad umożliwiających dokonanie przypisania poszczególnych przedsiębiorców do właściwej dla nich kategorii ryzyka, bez podawania ich nazwy (firmy). Publikowane informacje powinny jednak w każdym przypadku umożliwić kontrolowanym przedsiębiorcom ustalenie przypisanej dla nich kategorii ryzyka (np. poprzez wskazanie, że każdy podlegający kontroli przedsiębiorca, który osiąga wskazany poziom przychodów i zatrudnia co najmniej wskazaną liczbę pracowników jest przypisany do danej kategorii ryzyka – z takich informacji jednoznacznie będzie wynikała kategoria ryzyka, do której przedsiębiorca jest przypisany, wymienienie listy przedsiębiorców oraz ich kategorii ryzyka w takim przypadku nie jest konieczne). </w:t>
      </w:r>
    </w:p>
    <w:p w14:paraId="5FCF40A8" w14:textId="15B08530" w:rsidR="00106DC1" w:rsidRPr="006D59BB" w:rsidRDefault="00106DC1" w:rsidP="006D59BB">
      <w:pPr>
        <w:spacing w:before="120" w:after="0" w:line="360" w:lineRule="auto"/>
        <w:jc w:val="both"/>
        <w:rPr>
          <w:rFonts w:ascii="Times New Roman" w:hAnsi="Times New Roman" w:cs="Times New Roman"/>
          <w:kern w:val="0"/>
          <w:sz w:val="24"/>
          <w:szCs w:val="24"/>
          <w14:ligatures w14:val="none"/>
        </w:rPr>
      </w:pPr>
      <w:r w:rsidRPr="006D59BB">
        <w:rPr>
          <w:rFonts w:ascii="Times New Roman" w:hAnsi="Times New Roman" w:cs="Times New Roman"/>
          <w:kern w:val="0"/>
          <w:sz w:val="24"/>
          <w:szCs w:val="24"/>
          <w14:ligatures w14:val="none"/>
        </w:rPr>
        <w:t>Dzięki tej zmianie podmioty, które podlegają kontroli, będą mogły zapoznać się ze sposobem realizacji przez organ kontroli wymogu przeprowadzania okresowych analiz, służącego lepszemu przygotowaniu kontroli i wytypowaniu do kontroli podmiotów, u których ryzyko naruszenia przepisów jest największe. Do tej pory przepisy art. 47 zakładały jedynie udostępnianie przez organ kontroli ogólnego schematu procedur kontroli, które wynikają z przepisów powszechnie obowiązującego prawa. Schematy te nie dają wystarczających informacji o praktyce działania organów kontroli i zasadach typowania do kontroli.</w:t>
      </w:r>
    </w:p>
    <w:p w14:paraId="2CF052A3" w14:textId="6056F665" w:rsidR="00106DC1" w:rsidRPr="006D59BB" w:rsidRDefault="00106DC1" w:rsidP="006D59BB">
      <w:pPr>
        <w:spacing w:before="120" w:after="0" w:line="360" w:lineRule="auto"/>
        <w:jc w:val="both"/>
        <w:rPr>
          <w:rFonts w:ascii="Times New Roman" w:hAnsi="Times New Roman" w:cs="Times New Roman"/>
          <w:kern w:val="0"/>
          <w:sz w:val="24"/>
          <w:szCs w:val="24"/>
          <w14:ligatures w14:val="none"/>
        </w:rPr>
      </w:pPr>
      <w:r w:rsidRPr="006D59BB">
        <w:rPr>
          <w:rFonts w:ascii="Times New Roman" w:hAnsi="Times New Roman" w:cs="Times New Roman"/>
          <w:kern w:val="0"/>
          <w:sz w:val="24"/>
          <w:szCs w:val="24"/>
          <w14:ligatures w14:val="none"/>
        </w:rPr>
        <w:t xml:space="preserve">Decyzja organu kontroli o podjęciu kontroli powinna być podjęta na podstawie jasno określonych, obiektywnych przesłanek i w sposób bezstronny. Dzięki przedmiotowej zmianie przedsiębiorcy będą mieli większą pewność, że organy kontroli prawidłowo i systematycznie realizują obowiązek związany z przygotowaniem okresowej analizy oraz są w tym zakresie obiektywne i skrupulatne. Każdy czytelnik opublikowanej </w:t>
      </w:r>
      <w:r w:rsidR="009B6042" w:rsidRPr="006D59BB">
        <w:rPr>
          <w:rFonts w:ascii="Times New Roman" w:hAnsi="Times New Roman" w:cs="Times New Roman"/>
          <w:kern w:val="0"/>
          <w:sz w:val="24"/>
          <w:szCs w:val="24"/>
          <w14:ligatures w14:val="none"/>
        </w:rPr>
        <w:t xml:space="preserve">informacji </w:t>
      </w:r>
      <w:r w:rsidRPr="006D59BB">
        <w:rPr>
          <w:rFonts w:ascii="Times New Roman" w:hAnsi="Times New Roman" w:cs="Times New Roman"/>
          <w:kern w:val="0"/>
          <w:sz w:val="24"/>
          <w:szCs w:val="24"/>
          <w14:ligatures w14:val="none"/>
        </w:rPr>
        <w:t xml:space="preserve">będzie mógł też ocenić, czy organy prawidłowo zidentyfikowały wszystkie obszary ryzyka naruszenia prawa oraz czy obszary, w których ryzyko jest najwyższe, są kontrolowane wystarczająco często. Umożliwi to ciągłe doskonalenie </w:t>
      </w:r>
      <w:r w:rsidR="009B6042" w:rsidRPr="006D59BB">
        <w:rPr>
          <w:rFonts w:ascii="Times New Roman" w:hAnsi="Times New Roman" w:cs="Times New Roman"/>
          <w:kern w:val="0"/>
          <w:sz w:val="24"/>
          <w:szCs w:val="24"/>
          <w14:ligatures w14:val="none"/>
        </w:rPr>
        <w:t xml:space="preserve">opracowywanych </w:t>
      </w:r>
      <w:r w:rsidRPr="006D59BB">
        <w:rPr>
          <w:rFonts w:ascii="Times New Roman" w:hAnsi="Times New Roman" w:cs="Times New Roman"/>
          <w:kern w:val="0"/>
          <w:sz w:val="24"/>
          <w:szCs w:val="24"/>
          <w14:ligatures w14:val="none"/>
        </w:rPr>
        <w:t>analiz i sukcesywne eliminowanie ewentualnych ich braków, co może przyczynić się z czasem do zwiększenia skuteczności kontroli i lepszego typowania do kontroli. Analizy prawdopodobieństwa naruszenia prawa opierają się w szczególności na wnioskach i doświadczeniach z przeprowadzonych w przeszłości kontroli, mogą więc przedsiębiorcom w pewnym stopniu wskazywać na skalę zjawiska nieuczciwej konkurencji w</w:t>
      </w:r>
      <w:r w:rsidR="00E6226B" w:rsidRPr="006D59BB">
        <w:rPr>
          <w:rFonts w:ascii="Times New Roman" w:hAnsi="Times New Roman" w:cs="Times New Roman"/>
          <w:kern w:val="0"/>
          <w:sz w:val="24"/>
          <w:szCs w:val="24"/>
          <w14:ligatures w14:val="none"/>
        </w:rPr>
        <w:t> </w:t>
      </w:r>
      <w:r w:rsidRPr="006D59BB">
        <w:rPr>
          <w:rFonts w:ascii="Times New Roman" w:hAnsi="Times New Roman" w:cs="Times New Roman"/>
          <w:kern w:val="0"/>
          <w:sz w:val="24"/>
          <w:szCs w:val="24"/>
          <w14:ligatures w14:val="none"/>
        </w:rPr>
        <w:t>poszczególnych obszarach działalności gospodarczej. Jednocześnie ze względu na ograniczony zakres publikowanych informacji (z uwagi na ochronę tajemnic prawnie chronionych, prywatność osoby fizycznej lub tajemnicę przedsiębiorcy), ich charakter (dotyczą obszarów podmiotowych i</w:t>
      </w:r>
      <w:r w:rsidR="00E6226B" w:rsidRPr="006D59BB">
        <w:rPr>
          <w:rFonts w:ascii="Times New Roman" w:hAnsi="Times New Roman" w:cs="Times New Roman"/>
          <w:kern w:val="0"/>
          <w:sz w:val="24"/>
          <w:szCs w:val="24"/>
          <w14:ligatures w14:val="none"/>
        </w:rPr>
        <w:t> </w:t>
      </w:r>
      <w:r w:rsidRPr="006D59BB">
        <w:rPr>
          <w:rFonts w:ascii="Times New Roman" w:hAnsi="Times New Roman" w:cs="Times New Roman"/>
          <w:kern w:val="0"/>
          <w:sz w:val="24"/>
          <w:szCs w:val="24"/>
          <w14:ligatures w14:val="none"/>
        </w:rPr>
        <w:t xml:space="preserve">przedmiotowych, a nie szczegółowego opisu indywidualnych przypadków) oraz termin publikacji (publikowane będą </w:t>
      </w:r>
      <w:r w:rsidR="009B6042" w:rsidRPr="006D59BB">
        <w:rPr>
          <w:rFonts w:ascii="Times New Roman" w:hAnsi="Times New Roman" w:cs="Times New Roman"/>
          <w:kern w:val="0"/>
          <w:sz w:val="24"/>
          <w:szCs w:val="24"/>
          <w14:ligatures w14:val="none"/>
        </w:rPr>
        <w:t xml:space="preserve">informacje </w:t>
      </w:r>
      <w:r w:rsidRPr="006D59BB">
        <w:rPr>
          <w:rFonts w:ascii="Times New Roman" w:hAnsi="Times New Roman" w:cs="Times New Roman"/>
          <w:kern w:val="0"/>
          <w:sz w:val="24"/>
          <w:szCs w:val="24"/>
          <w14:ligatures w14:val="none"/>
        </w:rPr>
        <w:t xml:space="preserve">już zdezaktualizowane, po </w:t>
      </w:r>
      <w:r w:rsidRPr="006D59BB">
        <w:rPr>
          <w:rFonts w:ascii="Times New Roman" w:hAnsi="Times New Roman" w:cs="Times New Roman"/>
          <w:kern w:val="0"/>
          <w:sz w:val="24"/>
          <w:szCs w:val="24"/>
          <w14:ligatures w14:val="none"/>
        </w:rPr>
        <w:lastRenderedPageBreak/>
        <w:t xml:space="preserve">3 miesiącach od </w:t>
      </w:r>
      <w:r w:rsidR="004B65F9" w:rsidRPr="006D59BB">
        <w:rPr>
          <w:rFonts w:ascii="Times New Roman" w:hAnsi="Times New Roman" w:cs="Times New Roman"/>
          <w:kern w:val="0"/>
          <w:sz w:val="24"/>
          <w:szCs w:val="24"/>
          <w14:ligatures w14:val="none"/>
        </w:rPr>
        <w:t>przyjęcia kolejnej analizy, zastępującej nieaktualną już analizę podlegającą udostępnieniu</w:t>
      </w:r>
      <w:r w:rsidRPr="006D59BB">
        <w:rPr>
          <w:rFonts w:ascii="Times New Roman" w:hAnsi="Times New Roman" w:cs="Times New Roman"/>
          <w:kern w:val="0"/>
          <w:sz w:val="24"/>
          <w:szCs w:val="24"/>
          <w14:ligatures w14:val="none"/>
        </w:rPr>
        <w:t>), ryzyko wykorzystania zawartych w</w:t>
      </w:r>
      <w:r w:rsidR="005D5D55" w:rsidRPr="006D59BB">
        <w:rPr>
          <w:rFonts w:ascii="Times New Roman" w:hAnsi="Times New Roman" w:cs="Times New Roman"/>
          <w:kern w:val="0"/>
          <w:sz w:val="24"/>
          <w:szCs w:val="24"/>
          <w14:ligatures w14:val="none"/>
        </w:rPr>
        <w:t> </w:t>
      </w:r>
      <w:r w:rsidRPr="006D59BB">
        <w:rPr>
          <w:rFonts w:ascii="Times New Roman" w:hAnsi="Times New Roman" w:cs="Times New Roman"/>
          <w:kern w:val="0"/>
          <w:sz w:val="24"/>
          <w:szCs w:val="24"/>
          <w14:ligatures w14:val="none"/>
        </w:rPr>
        <w:t xml:space="preserve">analizach informacji do niewłaściwych celów przez nieuczciwych przedsiębiorców należy ocenić jako niewielkie. </w:t>
      </w:r>
    </w:p>
    <w:p w14:paraId="1A9EF662" w14:textId="3ACCE30E" w:rsidR="00106DC1" w:rsidRPr="006D59BB" w:rsidRDefault="00106DC1" w:rsidP="006D59BB">
      <w:pPr>
        <w:spacing w:before="120" w:after="0" w:line="360" w:lineRule="auto"/>
        <w:jc w:val="both"/>
        <w:rPr>
          <w:rFonts w:ascii="Times New Roman" w:hAnsi="Times New Roman" w:cs="Times New Roman"/>
          <w:kern w:val="0"/>
          <w:sz w:val="24"/>
          <w:szCs w:val="24"/>
          <w14:ligatures w14:val="none"/>
        </w:rPr>
      </w:pPr>
      <w:r w:rsidRPr="006D59BB">
        <w:rPr>
          <w:rFonts w:ascii="Times New Roman" w:hAnsi="Times New Roman" w:cs="Times New Roman"/>
          <w:kern w:val="0"/>
          <w:sz w:val="24"/>
          <w:szCs w:val="24"/>
          <w14:ligatures w14:val="none"/>
        </w:rPr>
        <w:t xml:space="preserve">Publikacja </w:t>
      </w:r>
      <w:r w:rsidR="009B6042" w:rsidRPr="006D59BB">
        <w:rPr>
          <w:rFonts w:ascii="Times New Roman" w:hAnsi="Times New Roman" w:cs="Times New Roman"/>
          <w:kern w:val="0"/>
          <w:sz w:val="24"/>
          <w:szCs w:val="24"/>
          <w14:ligatures w14:val="none"/>
        </w:rPr>
        <w:t xml:space="preserve">ww. informacji zawartych w </w:t>
      </w:r>
      <w:r w:rsidRPr="006D59BB">
        <w:rPr>
          <w:rFonts w:ascii="Times New Roman" w:hAnsi="Times New Roman" w:cs="Times New Roman"/>
          <w:kern w:val="0"/>
          <w:sz w:val="24"/>
          <w:szCs w:val="24"/>
          <w14:ligatures w14:val="none"/>
        </w:rPr>
        <w:t>analiz</w:t>
      </w:r>
      <w:r w:rsidR="009B6042" w:rsidRPr="006D59BB">
        <w:rPr>
          <w:rFonts w:ascii="Times New Roman" w:hAnsi="Times New Roman" w:cs="Times New Roman"/>
          <w:kern w:val="0"/>
          <w:sz w:val="24"/>
          <w:szCs w:val="24"/>
          <w14:ligatures w14:val="none"/>
        </w:rPr>
        <w:t>ach</w:t>
      </w:r>
      <w:r w:rsidRPr="006D59BB">
        <w:rPr>
          <w:rFonts w:ascii="Times New Roman" w:hAnsi="Times New Roman" w:cs="Times New Roman"/>
          <w:kern w:val="0"/>
          <w:sz w:val="24"/>
          <w:szCs w:val="24"/>
          <w14:ligatures w14:val="none"/>
        </w:rPr>
        <w:t xml:space="preserve"> prawdopodobieństwa naruszenia prawa powinna również ułatwić obywatelom, w tym zwłaszcza kontrolowanym, zapoznanie się z wynikami działalności kontrolnej organów kontroli. Obecnie niektóre organy kontroli nie mają obowiązku sporządzania sprawozdania ze swojej działalności kontrolnej, w tym z realizacji założonych celów kontroli i udostępniania go na swojej stronie internetowej. Z kolei analiza prawdopodobieństwa naruszenia prawa ze swej istoty uwzględnia doświadczenia organu z dotychczas przeprowadzonych kontroli oraz jej wyniki, w tym np. wnioski o</w:t>
      </w:r>
      <w:r w:rsidR="00E6226B" w:rsidRPr="006D59BB">
        <w:rPr>
          <w:rFonts w:ascii="Times New Roman" w:hAnsi="Times New Roman" w:cs="Times New Roman"/>
          <w:kern w:val="0"/>
          <w:sz w:val="24"/>
          <w:szCs w:val="24"/>
          <w14:ligatures w14:val="none"/>
        </w:rPr>
        <w:t> </w:t>
      </w:r>
      <w:r w:rsidRPr="006D59BB">
        <w:rPr>
          <w:rFonts w:ascii="Times New Roman" w:hAnsi="Times New Roman" w:cs="Times New Roman"/>
          <w:kern w:val="0"/>
          <w:sz w:val="24"/>
          <w:szCs w:val="24"/>
          <w14:ligatures w14:val="none"/>
        </w:rPr>
        <w:t>sektorach, w których występuje szczególnie wysokie prawdopodobieństwo naruszeń przepisów prawa. Zmiana powinna ponadto ułatwić z czasem wypracowanie wspólnego dla organów kontroli podejścia do oceny ryzyka i zarządzania ryzykiem, niezależnie od kontrolowanego obszaru, a przynajmniej doprowadzić do rozpowszechnienia dobrych praktyk w tym zakresie.</w:t>
      </w:r>
    </w:p>
    <w:p w14:paraId="5F5EC5CC" w14:textId="19285F8E" w:rsidR="00106DC1" w:rsidRPr="006D59BB" w:rsidRDefault="00106DC1" w:rsidP="006D59BB">
      <w:pPr>
        <w:spacing w:before="120" w:after="0" w:line="360" w:lineRule="auto"/>
        <w:jc w:val="both"/>
        <w:rPr>
          <w:rFonts w:ascii="Times New Roman" w:hAnsi="Times New Roman" w:cs="Times New Roman"/>
          <w:kern w:val="0"/>
          <w:sz w:val="24"/>
          <w:szCs w:val="24"/>
          <w14:ligatures w14:val="none"/>
        </w:rPr>
      </w:pPr>
      <w:r w:rsidRPr="006D59BB">
        <w:rPr>
          <w:rFonts w:ascii="Times New Roman" w:hAnsi="Times New Roman" w:cs="Times New Roman"/>
          <w:kern w:val="0"/>
          <w:sz w:val="24"/>
          <w:szCs w:val="24"/>
          <w14:ligatures w14:val="none"/>
        </w:rPr>
        <w:t xml:space="preserve">Sposób przeprowadzenia analizy, jak dotychczas, określi organ kontroli lub organ nadrzędny. Oprócz obszarów, w których ryzyko naruszenia przepisów jest największe, analiza będzie zawierała nowy element: zasady </w:t>
      </w:r>
      <w:r w:rsidR="009B6042" w:rsidRPr="006D59BB">
        <w:rPr>
          <w:rFonts w:ascii="Times New Roman" w:hAnsi="Times New Roman" w:cs="Times New Roman"/>
          <w:kern w:val="0"/>
          <w:sz w:val="24"/>
          <w:szCs w:val="24"/>
          <w14:ligatures w14:val="none"/>
        </w:rPr>
        <w:t>umożliwiające przypisanie przedsiębiorców do właściwej dla nich kategorii ryzyka</w:t>
      </w:r>
      <w:r w:rsidRPr="006D59BB">
        <w:rPr>
          <w:rFonts w:ascii="Times New Roman" w:hAnsi="Times New Roman" w:cs="Times New Roman"/>
          <w:kern w:val="0"/>
          <w:sz w:val="24"/>
          <w:szCs w:val="24"/>
          <w14:ligatures w14:val="none"/>
        </w:rPr>
        <w:t>. Zidentyfikowane ryzyko będzie niskie, średnie albo wysokie. Konieczność zaszeregowania kontrolowanych do ww. grup (kategorii) ryzyka wynika z zamiaru określenia dla każdej grupy (kategorii) maksymalnej częstotliwości przeprowadzania kontroli planowych, a co za tym idzie urzeczywistnienia i skonkretyzowania zasady, która nakazuje przeprowadzanie kontroli przede wszystkim w obszarach, w których ryzyko naruszenia przepisów jest największe. W konsekwencji podmioty, które w ocenie organu kontroli nie stwarzają wysokiego ryzyka, powinny być kontrolowane znacznie rzadziej i powinny im przysługiwać konkretne i wymierne gwarancje zapewniające mniejszą częstotliwość przeprowadzania kontroli. Postulat ten znajdzie odzwierciedlenie w szczególności w</w:t>
      </w:r>
      <w:r w:rsidR="00E6226B" w:rsidRPr="006D59BB">
        <w:rPr>
          <w:rFonts w:ascii="Times New Roman" w:hAnsi="Times New Roman" w:cs="Times New Roman"/>
          <w:kern w:val="0"/>
          <w:sz w:val="24"/>
          <w:szCs w:val="24"/>
          <w14:ligatures w14:val="none"/>
        </w:rPr>
        <w:t> </w:t>
      </w:r>
      <w:r w:rsidRPr="006D59BB">
        <w:rPr>
          <w:rFonts w:ascii="Times New Roman" w:hAnsi="Times New Roman" w:cs="Times New Roman"/>
          <w:kern w:val="0"/>
          <w:sz w:val="24"/>
          <w:szCs w:val="24"/>
          <w14:ligatures w14:val="none"/>
        </w:rPr>
        <w:t>ograniczeniach zawartych w dodawanym art. 55a Pp. W celu jednoznacznego przesądzenia, że proponowane reguły dot. kategorii ryzyka oraz ograniczenia częstotliwości kontroli dotyczą wyłącznie kontroli planowych, przewidziano wprowadzenie definicji pojęcia kontroli planowej w art. 47 ust. 1 Pp.</w:t>
      </w:r>
      <w:r w:rsidR="0002417E" w:rsidRPr="006D59BB">
        <w:rPr>
          <w:rFonts w:ascii="Times New Roman" w:hAnsi="Times New Roman" w:cs="Times New Roman"/>
          <w:kern w:val="0"/>
          <w:sz w:val="24"/>
          <w:szCs w:val="24"/>
          <w14:ligatures w14:val="none"/>
        </w:rPr>
        <w:t xml:space="preserve"> Tym samym, wprowadzane zmiany dotyczące kontroli planowej nie znajdą zastosowania do kontroli doraźnych, takich jak kontrole przeprowadzane na podstawie art. 104 ustawy z dnia 16 października 2019 r. o rozstrzyganiu sporów dotyczących podwójnego opodatkowania oraz zawieraniu uprzednich porozumień cenowych.</w:t>
      </w:r>
    </w:p>
    <w:p w14:paraId="51D705CA" w14:textId="05F2AF94" w:rsidR="00106DC1" w:rsidRPr="006D59BB" w:rsidRDefault="00106DC1" w:rsidP="006D59BB">
      <w:pPr>
        <w:spacing w:before="120" w:after="0" w:line="360" w:lineRule="auto"/>
        <w:jc w:val="both"/>
        <w:rPr>
          <w:rFonts w:ascii="Times New Roman" w:hAnsi="Times New Roman" w:cs="Times New Roman"/>
          <w:kern w:val="0"/>
          <w:sz w:val="24"/>
          <w:szCs w:val="24"/>
          <w14:ligatures w14:val="none"/>
        </w:rPr>
      </w:pPr>
      <w:r w:rsidRPr="006D59BB">
        <w:rPr>
          <w:rFonts w:ascii="Times New Roman" w:hAnsi="Times New Roman" w:cs="Times New Roman"/>
          <w:kern w:val="0"/>
          <w:sz w:val="24"/>
          <w:szCs w:val="24"/>
          <w14:ligatures w14:val="none"/>
        </w:rPr>
        <w:lastRenderedPageBreak/>
        <w:t xml:space="preserve">Obowiązek udostępnienia </w:t>
      </w:r>
      <w:r w:rsidR="009B6042" w:rsidRPr="006D59BB">
        <w:rPr>
          <w:rFonts w:ascii="Times New Roman" w:hAnsi="Times New Roman" w:cs="Times New Roman"/>
          <w:kern w:val="0"/>
          <w:sz w:val="24"/>
          <w:szCs w:val="24"/>
          <w14:ligatures w14:val="none"/>
        </w:rPr>
        <w:t xml:space="preserve">wynikających z okresowej analizy informacji </w:t>
      </w:r>
      <w:r w:rsidRPr="006D59BB">
        <w:rPr>
          <w:rFonts w:ascii="Times New Roman" w:hAnsi="Times New Roman" w:cs="Times New Roman"/>
          <w:kern w:val="0"/>
          <w:sz w:val="24"/>
          <w:szCs w:val="24"/>
          <w14:ligatures w14:val="none"/>
        </w:rPr>
        <w:t xml:space="preserve">powinien zostać zrealizowany w terminie 3 miesięcy od dnia </w:t>
      </w:r>
      <w:r w:rsidR="004B65F9" w:rsidRPr="006D59BB">
        <w:rPr>
          <w:rFonts w:ascii="Times New Roman" w:hAnsi="Times New Roman" w:cs="Times New Roman"/>
          <w:kern w:val="0"/>
          <w:sz w:val="24"/>
          <w:szCs w:val="24"/>
          <w14:ligatures w14:val="none"/>
        </w:rPr>
        <w:t>przyjęcia kolejnej analizy, zastępującej zdezaktualizowaną, poprzednią analizę, podlegającą udostępnieniu</w:t>
      </w:r>
      <w:r w:rsidRPr="006D59BB">
        <w:rPr>
          <w:rFonts w:ascii="Times New Roman" w:hAnsi="Times New Roman" w:cs="Times New Roman"/>
          <w:kern w:val="0"/>
          <w:sz w:val="24"/>
          <w:szCs w:val="24"/>
          <w14:ligatures w14:val="none"/>
        </w:rPr>
        <w:t xml:space="preserve">. Przykładowo, jeśli w danym organie kontroli powstała roczna analiza prawdopodobieństwa naruszenia prawa w ramach wykonywania działalności gospodarczej, </w:t>
      </w:r>
      <w:r w:rsidR="004B65F9" w:rsidRPr="006D59BB">
        <w:rPr>
          <w:rFonts w:ascii="Times New Roman" w:hAnsi="Times New Roman" w:cs="Times New Roman"/>
          <w:kern w:val="0"/>
          <w:sz w:val="24"/>
          <w:szCs w:val="24"/>
          <w14:ligatures w14:val="none"/>
        </w:rPr>
        <w:t xml:space="preserve">na </w:t>
      </w:r>
      <w:r w:rsidRPr="006D59BB">
        <w:rPr>
          <w:rFonts w:ascii="Times New Roman" w:hAnsi="Times New Roman" w:cs="Times New Roman"/>
          <w:kern w:val="0"/>
          <w:sz w:val="24"/>
          <w:szCs w:val="24"/>
          <w14:ligatures w14:val="none"/>
        </w:rPr>
        <w:t xml:space="preserve">okres od 1 stycznia 2024 r. do 31 grudnia 2024 r., </w:t>
      </w:r>
      <w:r w:rsidR="004B65F9" w:rsidRPr="006D59BB">
        <w:rPr>
          <w:rFonts w:ascii="Times New Roman" w:hAnsi="Times New Roman" w:cs="Times New Roman"/>
          <w:kern w:val="0"/>
          <w:sz w:val="24"/>
          <w:szCs w:val="24"/>
          <w14:ligatures w14:val="none"/>
        </w:rPr>
        <w:t xml:space="preserve">a 2 stycznia 2025 r. zostanie przyjęta kolejna roczna analiza ryzyka, wówczas trzymiesięczny termin na udostępnienie </w:t>
      </w:r>
      <w:r w:rsidR="009B6042" w:rsidRPr="006D59BB">
        <w:rPr>
          <w:rFonts w:ascii="Times New Roman" w:hAnsi="Times New Roman" w:cs="Times New Roman"/>
          <w:kern w:val="0"/>
          <w:sz w:val="24"/>
          <w:szCs w:val="24"/>
          <w14:ligatures w14:val="none"/>
        </w:rPr>
        <w:t xml:space="preserve">informacji wynikających z </w:t>
      </w:r>
      <w:r w:rsidR="004B65F9" w:rsidRPr="006D59BB">
        <w:rPr>
          <w:rFonts w:ascii="Times New Roman" w:hAnsi="Times New Roman" w:cs="Times New Roman"/>
          <w:kern w:val="0"/>
          <w:sz w:val="24"/>
          <w:szCs w:val="24"/>
          <w14:ligatures w14:val="none"/>
        </w:rPr>
        <w:t xml:space="preserve">okresowej analizy z 2024 r. rozpoczyna się z dniem 2 stycznia 2025 r. </w:t>
      </w:r>
      <w:r w:rsidRPr="006D59BB">
        <w:rPr>
          <w:rFonts w:ascii="Times New Roman" w:hAnsi="Times New Roman" w:cs="Times New Roman"/>
          <w:kern w:val="0"/>
          <w:sz w:val="24"/>
          <w:szCs w:val="24"/>
          <w14:ligatures w14:val="none"/>
        </w:rPr>
        <w:t xml:space="preserve">Udostępnienie </w:t>
      </w:r>
      <w:r w:rsidR="00A97477" w:rsidRPr="006D59BB">
        <w:rPr>
          <w:rFonts w:ascii="Times New Roman" w:hAnsi="Times New Roman" w:cs="Times New Roman"/>
          <w:kern w:val="0"/>
          <w:sz w:val="24"/>
          <w:szCs w:val="24"/>
          <w14:ligatures w14:val="none"/>
        </w:rPr>
        <w:t>informacji</w:t>
      </w:r>
      <w:r w:rsidRPr="006D59BB">
        <w:rPr>
          <w:rFonts w:ascii="Times New Roman" w:hAnsi="Times New Roman" w:cs="Times New Roman"/>
          <w:kern w:val="0"/>
          <w:sz w:val="24"/>
          <w:szCs w:val="24"/>
          <w14:ligatures w14:val="none"/>
        </w:rPr>
        <w:t xml:space="preserve"> nastąpi zatem już po jej dezaktualizacji i</w:t>
      </w:r>
      <w:r w:rsidR="005D5D55" w:rsidRPr="006D59BB">
        <w:rPr>
          <w:rFonts w:ascii="Times New Roman" w:hAnsi="Times New Roman" w:cs="Times New Roman"/>
          <w:kern w:val="0"/>
          <w:sz w:val="24"/>
          <w:szCs w:val="24"/>
          <w14:ligatures w14:val="none"/>
        </w:rPr>
        <w:t> </w:t>
      </w:r>
      <w:r w:rsidRPr="006D59BB">
        <w:rPr>
          <w:rFonts w:ascii="Times New Roman" w:hAnsi="Times New Roman" w:cs="Times New Roman"/>
          <w:kern w:val="0"/>
          <w:sz w:val="24"/>
          <w:szCs w:val="24"/>
          <w14:ligatures w14:val="none"/>
        </w:rPr>
        <w:t>pozostanie bez wpływu na zakończone już kontrole, a zatem nie wpłynie negatywnie na realizację zadań przez organ kontroli. Dla Zakładu Ubezpieczeń Społecznych przewidziano dłuższy, sześciomiesięczny termin na realizację obowiązku publikacji. Ma to na celu zapewnienie jednoczesnej realizacji innych obowiązków sprawozdawczych Zakładu, realizowanych również w</w:t>
      </w:r>
      <w:r w:rsidR="00E6226B" w:rsidRPr="006D59BB">
        <w:rPr>
          <w:rFonts w:ascii="Times New Roman" w:hAnsi="Times New Roman" w:cs="Times New Roman"/>
          <w:kern w:val="0"/>
          <w:sz w:val="24"/>
          <w:szCs w:val="24"/>
          <w14:ligatures w14:val="none"/>
        </w:rPr>
        <w:t> </w:t>
      </w:r>
      <w:r w:rsidRPr="006D59BB">
        <w:rPr>
          <w:rFonts w:ascii="Times New Roman" w:hAnsi="Times New Roman" w:cs="Times New Roman"/>
          <w:kern w:val="0"/>
          <w:sz w:val="24"/>
          <w:szCs w:val="24"/>
          <w14:ligatures w14:val="none"/>
        </w:rPr>
        <w:t>terminie sześciomiesięcznym.</w:t>
      </w:r>
    </w:p>
    <w:p w14:paraId="4105F8B0" w14:textId="6FBB92C9" w:rsidR="00106DC1" w:rsidRPr="006D59BB" w:rsidRDefault="00106DC1" w:rsidP="006D59BB">
      <w:pPr>
        <w:spacing w:before="120" w:after="0" w:line="360" w:lineRule="auto"/>
        <w:jc w:val="both"/>
        <w:rPr>
          <w:rFonts w:ascii="Times New Roman" w:hAnsi="Times New Roman" w:cs="Times New Roman"/>
          <w:kern w:val="0"/>
          <w:sz w:val="24"/>
          <w:szCs w:val="24"/>
          <w14:ligatures w14:val="none"/>
        </w:rPr>
      </w:pPr>
      <w:r w:rsidRPr="006D59BB">
        <w:rPr>
          <w:rFonts w:ascii="Times New Roman" w:hAnsi="Times New Roman" w:cs="Times New Roman"/>
          <w:kern w:val="0"/>
          <w:sz w:val="24"/>
          <w:szCs w:val="24"/>
          <w14:ligatures w14:val="none"/>
        </w:rPr>
        <w:t xml:space="preserve">Podkreślenia wymaga, że udostępniona </w:t>
      </w:r>
      <w:r w:rsidR="00A97477" w:rsidRPr="006D59BB">
        <w:rPr>
          <w:rFonts w:ascii="Times New Roman" w:hAnsi="Times New Roman" w:cs="Times New Roman"/>
          <w:kern w:val="0"/>
          <w:sz w:val="24"/>
          <w:szCs w:val="24"/>
          <w14:ligatures w14:val="none"/>
        </w:rPr>
        <w:t>informacja</w:t>
      </w:r>
      <w:r w:rsidRPr="006D59BB">
        <w:rPr>
          <w:rFonts w:ascii="Times New Roman" w:hAnsi="Times New Roman" w:cs="Times New Roman"/>
          <w:kern w:val="0"/>
          <w:sz w:val="24"/>
          <w:szCs w:val="24"/>
          <w14:ligatures w14:val="none"/>
        </w:rPr>
        <w:t xml:space="preserve"> będzie mieć charakter </w:t>
      </w:r>
      <w:proofErr w:type="spellStart"/>
      <w:r w:rsidRPr="006D59BB">
        <w:rPr>
          <w:rFonts w:ascii="Times New Roman" w:hAnsi="Times New Roman" w:cs="Times New Roman"/>
          <w:kern w:val="0"/>
          <w:sz w:val="24"/>
          <w:szCs w:val="24"/>
          <w14:ligatures w14:val="none"/>
        </w:rPr>
        <w:t>informacyjno</w:t>
      </w:r>
      <w:proofErr w:type="spellEnd"/>
      <w:r w:rsidRPr="006D59BB">
        <w:rPr>
          <w:rFonts w:ascii="Times New Roman" w:hAnsi="Times New Roman" w:cs="Times New Roman"/>
          <w:kern w:val="0"/>
          <w:sz w:val="24"/>
          <w:szCs w:val="24"/>
          <w14:ligatures w14:val="none"/>
        </w:rPr>
        <w:t xml:space="preserve">–poglądowy. Nie będzie mogła stanowić przesłanki do podważania przez przedsiębiorców np. zasadności kontroli i inspekcji, podważania ustaleń związanych z kontrolą bądź inspekcją czy też podważenia przypisania przedsiębiorcy do nieodpowiedniej kategorii ryzyka. Należy zaznaczyć, że ewentualne naruszenie przepisów art. 47 </w:t>
      </w:r>
      <w:proofErr w:type="spellStart"/>
      <w:r w:rsidRPr="006D59BB">
        <w:rPr>
          <w:rFonts w:ascii="Times New Roman" w:hAnsi="Times New Roman" w:cs="Times New Roman"/>
          <w:kern w:val="0"/>
          <w:sz w:val="24"/>
          <w:szCs w:val="24"/>
          <w14:ligatures w14:val="none"/>
        </w:rPr>
        <w:t>Pp</w:t>
      </w:r>
      <w:proofErr w:type="spellEnd"/>
      <w:r w:rsidRPr="006D59BB">
        <w:rPr>
          <w:rFonts w:ascii="Times New Roman" w:hAnsi="Times New Roman" w:cs="Times New Roman"/>
          <w:kern w:val="0"/>
          <w:sz w:val="24"/>
          <w:szCs w:val="24"/>
          <w14:ligatures w14:val="none"/>
        </w:rPr>
        <w:t xml:space="preserve"> dot. okresowych analiz nie może być kwestionowane przez przedsiębiorcę w trybie wniesienia sprzeciwu, o którym mowa w art. 59 Pp. Sprzeciw w tym trybie może dotyczyć przeprowadzenia kontroli planowej z naruszeniem limitu określonego w art. </w:t>
      </w:r>
      <w:proofErr w:type="spellStart"/>
      <w:r w:rsidRPr="006D59BB">
        <w:rPr>
          <w:rFonts w:ascii="Times New Roman" w:hAnsi="Times New Roman" w:cs="Times New Roman"/>
          <w:kern w:val="0"/>
          <w:sz w:val="24"/>
          <w:szCs w:val="24"/>
          <w14:ligatures w14:val="none"/>
        </w:rPr>
        <w:t>55a</w:t>
      </w:r>
      <w:proofErr w:type="spellEnd"/>
      <w:r w:rsidRPr="006D59BB">
        <w:rPr>
          <w:rFonts w:ascii="Times New Roman" w:hAnsi="Times New Roman" w:cs="Times New Roman"/>
          <w:kern w:val="0"/>
          <w:sz w:val="24"/>
          <w:szCs w:val="24"/>
          <w14:ligatures w14:val="none"/>
        </w:rPr>
        <w:t xml:space="preserve"> </w:t>
      </w:r>
      <w:proofErr w:type="spellStart"/>
      <w:r w:rsidRPr="006D59BB">
        <w:rPr>
          <w:rFonts w:ascii="Times New Roman" w:hAnsi="Times New Roman" w:cs="Times New Roman"/>
          <w:kern w:val="0"/>
          <w:sz w:val="24"/>
          <w:szCs w:val="24"/>
          <w14:ligatures w14:val="none"/>
        </w:rPr>
        <w:t>Pp</w:t>
      </w:r>
      <w:proofErr w:type="spellEnd"/>
      <w:r w:rsidRPr="006D59BB">
        <w:rPr>
          <w:rFonts w:ascii="Times New Roman" w:hAnsi="Times New Roman" w:cs="Times New Roman"/>
          <w:kern w:val="0"/>
          <w:sz w:val="24"/>
          <w:szCs w:val="24"/>
          <w14:ligatures w14:val="none"/>
        </w:rPr>
        <w:t xml:space="preserve"> (który został dodany w art. 59 ust. 1 </w:t>
      </w:r>
      <w:proofErr w:type="spellStart"/>
      <w:r w:rsidRPr="006D59BB">
        <w:rPr>
          <w:rFonts w:ascii="Times New Roman" w:hAnsi="Times New Roman" w:cs="Times New Roman"/>
          <w:kern w:val="0"/>
          <w:sz w:val="24"/>
          <w:szCs w:val="24"/>
          <w14:ligatures w14:val="none"/>
        </w:rPr>
        <w:t>Pp</w:t>
      </w:r>
      <w:proofErr w:type="spellEnd"/>
      <w:r w:rsidRPr="006D59BB">
        <w:rPr>
          <w:rFonts w:ascii="Times New Roman" w:hAnsi="Times New Roman" w:cs="Times New Roman"/>
          <w:kern w:val="0"/>
          <w:sz w:val="24"/>
          <w:szCs w:val="24"/>
          <w14:ligatures w14:val="none"/>
        </w:rPr>
        <w:t xml:space="preserve">), natomiast nie może dotyczyć realizacji art. 47 ust. 1 </w:t>
      </w:r>
      <w:proofErr w:type="spellStart"/>
      <w:r w:rsidRPr="006D59BB">
        <w:rPr>
          <w:rFonts w:ascii="Times New Roman" w:hAnsi="Times New Roman" w:cs="Times New Roman"/>
          <w:kern w:val="0"/>
          <w:sz w:val="24"/>
          <w:szCs w:val="24"/>
          <w14:ligatures w14:val="none"/>
        </w:rPr>
        <w:t>Pp</w:t>
      </w:r>
      <w:proofErr w:type="spellEnd"/>
      <w:r w:rsidRPr="006D59BB">
        <w:rPr>
          <w:rFonts w:ascii="Times New Roman" w:hAnsi="Times New Roman" w:cs="Times New Roman"/>
          <w:kern w:val="0"/>
          <w:sz w:val="24"/>
          <w:szCs w:val="24"/>
          <w14:ligatures w14:val="none"/>
        </w:rPr>
        <w:t xml:space="preserve"> i</w:t>
      </w:r>
      <w:r w:rsidR="00E6226B" w:rsidRPr="006D59BB">
        <w:rPr>
          <w:rFonts w:ascii="Times New Roman" w:hAnsi="Times New Roman" w:cs="Times New Roman"/>
          <w:kern w:val="0"/>
          <w:sz w:val="24"/>
          <w:szCs w:val="24"/>
          <w14:ligatures w14:val="none"/>
        </w:rPr>
        <w:t> </w:t>
      </w:r>
      <w:r w:rsidRPr="006D59BB">
        <w:rPr>
          <w:rFonts w:ascii="Times New Roman" w:hAnsi="Times New Roman" w:cs="Times New Roman"/>
          <w:kern w:val="0"/>
          <w:sz w:val="24"/>
          <w:szCs w:val="24"/>
          <w14:ligatures w14:val="none"/>
        </w:rPr>
        <w:t>przypisania przedsiębiorcy do niewłaściwej, jego zdaniem, kategorii ryzyka. Organ kontroli ma swobodę w zakresie określenia zasad przypisania przedsiębiorców do jednej z kategorii ryzyka.</w:t>
      </w:r>
    </w:p>
    <w:p w14:paraId="732E6739" w14:textId="77777777" w:rsidR="00CA5E6E" w:rsidRPr="006D59BB" w:rsidRDefault="00CA5E6E" w:rsidP="006D59BB">
      <w:pPr>
        <w:pStyle w:val="Akapitzlist"/>
        <w:numPr>
          <w:ilvl w:val="0"/>
          <w:numId w:val="2"/>
        </w:numPr>
        <w:tabs>
          <w:tab w:val="left" w:pos="426"/>
        </w:tabs>
        <w:spacing w:before="120" w:after="0" w:line="360" w:lineRule="auto"/>
        <w:ind w:left="0" w:firstLine="0"/>
        <w:jc w:val="both"/>
        <w:rPr>
          <w:rFonts w:ascii="Times New Roman" w:hAnsi="Times New Roman" w:cs="Times New Roman"/>
          <w:sz w:val="24"/>
          <w:szCs w:val="24"/>
        </w:rPr>
      </w:pPr>
      <w:r w:rsidRPr="006D59BB">
        <w:rPr>
          <w:rFonts w:ascii="Times New Roman" w:hAnsi="Times New Roman" w:cs="Times New Roman"/>
          <w:sz w:val="24"/>
          <w:szCs w:val="24"/>
        </w:rPr>
        <w:t xml:space="preserve">Nowe elementy zawiadomienia o zamiarze wszczęcia kontroli. </w:t>
      </w:r>
    </w:p>
    <w:p w14:paraId="563AD923" w14:textId="3444E785" w:rsidR="00CA5E6E" w:rsidRPr="006D59BB" w:rsidRDefault="00CA5E6E" w:rsidP="006D59BB">
      <w:pPr>
        <w:spacing w:before="120" w:after="0" w:line="360" w:lineRule="auto"/>
        <w:jc w:val="both"/>
        <w:rPr>
          <w:rFonts w:ascii="Times New Roman" w:hAnsi="Times New Roman" w:cs="Times New Roman"/>
          <w:kern w:val="0"/>
          <w:sz w:val="24"/>
          <w:szCs w:val="24"/>
          <w14:ligatures w14:val="none"/>
        </w:rPr>
      </w:pPr>
      <w:r w:rsidRPr="006D59BB">
        <w:rPr>
          <w:rFonts w:ascii="Times New Roman" w:hAnsi="Times New Roman" w:cs="Times New Roman"/>
          <w:kern w:val="0"/>
          <w:sz w:val="24"/>
          <w:szCs w:val="24"/>
          <w14:ligatures w14:val="none"/>
        </w:rPr>
        <w:t xml:space="preserve">Obecne brzmienie art. 48 </w:t>
      </w:r>
      <w:proofErr w:type="spellStart"/>
      <w:r w:rsidRPr="006D59BB">
        <w:rPr>
          <w:rFonts w:ascii="Times New Roman" w:hAnsi="Times New Roman" w:cs="Times New Roman"/>
          <w:kern w:val="0"/>
          <w:sz w:val="24"/>
          <w:szCs w:val="24"/>
          <w14:ligatures w14:val="none"/>
        </w:rPr>
        <w:t>Pp</w:t>
      </w:r>
      <w:proofErr w:type="spellEnd"/>
      <w:r w:rsidRPr="006D59BB">
        <w:rPr>
          <w:rFonts w:ascii="Times New Roman" w:hAnsi="Times New Roman" w:cs="Times New Roman"/>
          <w:kern w:val="0"/>
          <w:sz w:val="24"/>
          <w:szCs w:val="24"/>
          <w14:ligatures w14:val="none"/>
        </w:rPr>
        <w:t xml:space="preserve"> nie zawiera regulacji, z których wynikałby wprost obowiązek określenia przez organ dokumentów i informacji, których przedstawienia może żądać </w:t>
      </w:r>
      <w:r w:rsidR="00106DC1" w:rsidRPr="006D59BB">
        <w:rPr>
          <w:rFonts w:ascii="Times New Roman" w:hAnsi="Times New Roman" w:cs="Times New Roman"/>
          <w:kern w:val="0"/>
          <w:sz w:val="24"/>
          <w:szCs w:val="24"/>
          <w14:ligatures w14:val="none"/>
        </w:rPr>
        <w:t xml:space="preserve">organ </w:t>
      </w:r>
      <w:r w:rsidRPr="006D59BB">
        <w:rPr>
          <w:rFonts w:ascii="Times New Roman" w:hAnsi="Times New Roman" w:cs="Times New Roman"/>
          <w:kern w:val="0"/>
          <w:sz w:val="24"/>
          <w:szCs w:val="24"/>
          <w14:ligatures w14:val="none"/>
        </w:rPr>
        <w:t>w trakcie kontroli. Zaproponowana zmiana ma na celu ułatwienie przedsiębiorcy przygotowania się do kontroli przez uprzednie przedstawienie mu, najpóźniej wraz z doręczeniem zawiadomienia, wstępnej listy dokumentów i informacji związanych z zakresem przedmiotowym kontroli, których udostępnienia oczekuje organ kontroli w trakcie kontroli. Dzięki temu kontrola powinna przebiegać szybciej i</w:t>
      </w:r>
      <w:r w:rsidR="006F03DA" w:rsidRPr="006D59BB">
        <w:rPr>
          <w:rFonts w:ascii="Times New Roman" w:hAnsi="Times New Roman" w:cs="Times New Roman"/>
          <w:kern w:val="0"/>
          <w:sz w:val="24"/>
          <w:szCs w:val="24"/>
          <w14:ligatures w14:val="none"/>
        </w:rPr>
        <w:t> </w:t>
      </w:r>
      <w:r w:rsidRPr="006D59BB">
        <w:rPr>
          <w:rFonts w:ascii="Times New Roman" w:hAnsi="Times New Roman" w:cs="Times New Roman"/>
          <w:kern w:val="0"/>
          <w:sz w:val="24"/>
          <w:szCs w:val="24"/>
          <w14:ligatures w14:val="none"/>
        </w:rPr>
        <w:t xml:space="preserve">sprawniej, co stanowić będzie korzyść zarówno dla samego przedsiębiorcy, jak i kontrolującego. Warto jednocześnie zaznaczyć, że </w:t>
      </w:r>
      <w:r w:rsidRPr="006D59BB">
        <w:rPr>
          <w:rFonts w:ascii="Times New Roman" w:hAnsi="Times New Roman" w:cs="Times New Roman"/>
          <w:kern w:val="0"/>
          <w:sz w:val="24"/>
          <w:szCs w:val="24"/>
          <w14:ligatures w14:val="none"/>
        </w:rPr>
        <w:lastRenderedPageBreak/>
        <w:t>wskazana przez organ lista nie będzie miała charakteru zamkniętego ani wyczerpującego. W trakcie prowadzonej kontroli organ będzie mógł zażądać od przedsiębiorcy przedstawienia dokumentów i informacji innych niż te, które wymienił w</w:t>
      </w:r>
      <w:r w:rsidR="006F03DA" w:rsidRPr="006D59BB">
        <w:rPr>
          <w:rFonts w:ascii="Times New Roman" w:hAnsi="Times New Roman" w:cs="Times New Roman"/>
          <w:kern w:val="0"/>
          <w:sz w:val="24"/>
          <w:szCs w:val="24"/>
          <w14:ligatures w14:val="none"/>
        </w:rPr>
        <w:t> </w:t>
      </w:r>
      <w:r w:rsidRPr="006D59BB">
        <w:rPr>
          <w:rFonts w:ascii="Times New Roman" w:hAnsi="Times New Roman" w:cs="Times New Roman"/>
          <w:kern w:val="0"/>
          <w:sz w:val="24"/>
          <w:szCs w:val="24"/>
          <w14:ligatures w14:val="none"/>
        </w:rPr>
        <w:t>zawiadomieniu o przeprowadzeniu kontroli, w szczególności jeżeli jej przebieg wskazywać będzie na taką konieczność. O takim obowiązku przedsiębiorca powinien zostać poinformowany w</w:t>
      </w:r>
      <w:r w:rsidR="006F03DA" w:rsidRPr="006D59BB">
        <w:rPr>
          <w:rFonts w:ascii="Times New Roman" w:hAnsi="Times New Roman" w:cs="Times New Roman"/>
          <w:kern w:val="0"/>
          <w:sz w:val="24"/>
          <w:szCs w:val="24"/>
          <w14:ligatures w14:val="none"/>
        </w:rPr>
        <w:t> </w:t>
      </w:r>
      <w:r w:rsidRPr="006D59BB">
        <w:rPr>
          <w:rFonts w:ascii="Times New Roman" w:hAnsi="Times New Roman" w:cs="Times New Roman"/>
          <w:kern w:val="0"/>
          <w:sz w:val="24"/>
          <w:szCs w:val="24"/>
          <w14:ligatures w14:val="none"/>
        </w:rPr>
        <w:t xml:space="preserve">upoważnieniu do przeprowadzenia kontroli (zgodnie z art. 49 ust. 7 pkt 9 </w:t>
      </w:r>
      <w:proofErr w:type="spellStart"/>
      <w:r w:rsidRPr="006D59BB">
        <w:rPr>
          <w:rFonts w:ascii="Times New Roman" w:hAnsi="Times New Roman" w:cs="Times New Roman"/>
          <w:kern w:val="0"/>
          <w:sz w:val="24"/>
          <w:szCs w:val="24"/>
          <w14:ligatures w14:val="none"/>
        </w:rPr>
        <w:t>Pp</w:t>
      </w:r>
      <w:proofErr w:type="spellEnd"/>
      <w:r w:rsidRPr="006D59BB">
        <w:rPr>
          <w:rFonts w:ascii="Times New Roman" w:hAnsi="Times New Roman" w:cs="Times New Roman"/>
          <w:kern w:val="0"/>
          <w:sz w:val="24"/>
          <w:szCs w:val="24"/>
          <w14:ligatures w14:val="none"/>
        </w:rPr>
        <w:t xml:space="preserve"> zawiera pouczenie o</w:t>
      </w:r>
      <w:r w:rsidR="006F03DA" w:rsidRPr="006D59BB">
        <w:rPr>
          <w:rFonts w:ascii="Times New Roman" w:hAnsi="Times New Roman" w:cs="Times New Roman"/>
          <w:kern w:val="0"/>
          <w:sz w:val="24"/>
          <w:szCs w:val="24"/>
          <w14:ligatures w14:val="none"/>
        </w:rPr>
        <w:t> </w:t>
      </w:r>
      <w:r w:rsidRPr="006D59BB">
        <w:rPr>
          <w:rFonts w:ascii="Times New Roman" w:hAnsi="Times New Roman" w:cs="Times New Roman"/>
          <w:kern w:val="0"/>
          <w:sz w:val="24"/>
          <w:szCs w:val="24"/>
          <w14:ligatures w14:val="none"/>
        </w:rPr>
        <w:t>prawach i obowiązkach przedsiębiorcy, w tym wynikających z dodawanego ust. 12).</w:t>
      </w:r>
      <w:r w:rsidR="00106DC1" w:rsidRPr="006D59BB">
        <w:rPr>
          <w:rFonts w:ascii="Times New Roman" w:hAnsi="Times New Roman" w:cs="Times New Roman"/>
          <w:kern w:val="0"/>
          <w:sz w:val="24"/>
          <w:szCs w:val="24"/>
          <w14:ligatures w14:val="none"/>
        </w:rPr>
        <w:t xml:space="preserve"> Żądanie dodatkowych dokumentów i</w:t>
      </w:r>
      <w:r w:rsidR="00E6226B" w:rsidRPr="006D59BB">
        <w:rPr>
          <w:rFonts w:ascii="Times New Roman" w:hAnsi="Times New Roman" w:cs="Times New Roman"/>
          <w:kern w:val="0"/>
          <w:sz w:val="24"/>
          <w:szCs w:val="24"/>
          <w14:ligatures w14:val="none"/>
        </w:rPr>
        <w:t> </w:t>
      </w:r>
      <w:r w:rsidR="00106DC1" w:rsidRPr="006D59BB">
        <w:rPr>
          <w:rFonts w:ascii="Times New Roman" w:hAnsi="Times New Roman" w:cs="Times New Roman"/>
          <w:kern w:val="0"/>
          <w:sz w:val="24"/>
          <w:szCs w:val="24"/>
          <w14:ligatures w14:val="none"/>
        </w:rPr>
        <w:t xml:space="preserve">informacji nie będzie wymagało ze strony organu kontroli uzasadnienia. Przedsiębiorca nie będzie mógł się powołać w sprzeciwie, o którym mowa w art. 59 </w:t>
      </w:r>
      <w:proofErr w:type="spellStart"/>
      <w:r w:rsidR="00106DC1" w:rsidRPr="006D59BB">
        <w:rPr>
          <w:rFonts w:ascii="Times New Roman" w:hAnsi="Times New Roman" w:cs="Times New Roman"/>
          <w:kern w:val="0"/>
          <w:sz w:val="24"/>
          <w:szCs w:val="24"/>
          <w14:ligatures w14:val="none"/>
        </w:rPr>
        <w:t>Pp</w:t>
      </w:r>
      <w:proofErr w:type="spellEnd"/>
      <w:r w:rsidR="00106DC1" w:rsidRPr="006D59BB">
        <w:rPr>
          <w:rFonts w:ascii="Times New Roman" w:hAnsi="Times New Roman" w:cs="Times New Roman"/>
          <w:kern w:val="0"/>
          <w:sz w:val="24"/>
          <w:szCs w:val="24"/>
          <w14:ligatures w14:val="none"/>
        </w:rPr>
        <w:t xml:space="preserve">, na naruszenie przepisu art. 48 ust. 12. Należy jednak podkreślić, że organ kontroli jest związany art. 52 </w:t>
      </w:r>
      <w:proofErr w:type="spellStart"/>
      <w:r w:rsidR="00106DC1" w:rsidRPr="006D59BB">
        <w:rPr>
          <w:rFonts w:ascii="Times New Roman" w:hAnsi="Times New Roman" w:cs="Times New Roman"/>
          <w:kern w:val="0"/>
          <w:sz w:val="24"/>
          <w:szCs w:val="24"/>
          <w14:ligatures w14:val="none"/>
        </w:rPr>
        <w:t>Pp</w:t>
      </w:r>
      <w:proofErr w:type="spellEnd"/>
      <w:r w:rsidR="00106DC1" w:rsidRPr="006D59BB">
        <w:rPr>
          <w:rFonts w:ascii="Times New Roman" w:hAnsi="Times New Roman" w:cs="Times New Roman"/>
          <w:kern w:val="0"/>
          <w:sz w:val="24"/>
          <w:szCs w:val="24"/>
          <w14:ligatures w14:val="none"/>
        </w:rPr>
        <w:t xml:space="preserve"> i w związku z tym powinien zawsze wykonywać czynności kontrolne w sposób sprawny i możliwie niezakłócający funkcjonowania przedsiębiorcy. Organ kontroli powinien więc starannie się przygotować do określenia w</w:t>
      </w:r>
      <w:r w:rsidR="00E6226B" w:rsidRPr="006D59BB">
        <w:rPr>
          <w:rFonts w:ascii="Times New Roman" w:hAnsi="Times New Roman" w:cs="Times New Roman"/>
          <w:kern w:val="0"/>
          <w:sz w:val="24"/>
          <w:szCs w:val="24"/>
          <w14:ligatures w14:val="none"/>
        </w:rPr>
        <w:t> </w:t>
      </w:r>
      <w:r w:rsidR="00106DC1" w:rsidRPr="006D59BB">
        <w:rPr>
          <w:rFonts w:ascii="Times New Roman" w:hAnsi="Times New Roman" w:cs="Times New Roman"/>
          <w:kern w:val="0"/>
          <w:sz w:val="24"/>
          <w:szCs w:val="24"/>
          <w14:ligatures w14:val="none"/>
        </w:rPr>
        <w:t>zawiadomieniu możliwie jak najbardziej kompletnej listy potrzebnych do przeprowadzenia kontroli dokumentów i informacji, aby niepotrzebnie jej nie uzupełniać i w ten sposób nie zaskakiwać kontrolowanego i nie przedłużać bez potrzeby kontroli.</w:t>
      </w:r>
    </w:p>
    <w:p w14:paraId="2AA8EF0E" w14:textId="358B5BC1" w:rsidR="00CA5E6E" w:rsidRPr="006D59BB" w:rsidRDefault="00CA5E6E" w:rsidP="006D59BB">
      <w:pPr>
        <w:spacing w:before="120" w:after="0" w:line="360" w:lineRule="auto"/>
        <w:jc w:val="both"/>
        <w:rPr>
          <w:rFonts w:ascii="Times New Roman" w:hAnsi="Times New Roman" w:cs="Times New Roman"/>
          <w:kern w:val="0"/>
          <w:sz w:val="24"/>
          <w:szCs w:val="24"/>
          <w14:ligatures w14:val="none"/>
        </w:rPr>
      </w:pPr>
      <w:r w:rsidRPr="006D59BB">
        <w:rPr>
          <w:rFonts w:ascii="Times New Roman" w:hAnsi="Times New Roman" w:cs="Times New Roman"/>
          <w:kern w:val="0"/>
          <w:sz w:val="24"/>
          <w:szCs w:val="24"/>
          <w14:ligatures w14:val="none"/>
        </w:rPr>
        <w:t xml:space="preserve">Oprócz tego proponuje się uzupełnienie treści zawiadomienia o zamiarze wszczęcia kontroli </w:t>
      </w:r>
      <w:r w:rsidR="00106DC1" w:rsidRPr="006D59BB">
        <w:rPr>
          <w:rFonts w:ascii="Times New Roman" w:hAnsi="Times New Roman" w:cs="Times New Roman"/>
          <w:kern w:val="0"/>
          <w:sz w:val="24"/>
          <w:szCs w:val="24"/>
          <w14:ligatures w14:val="none"/>
        </w:rPr>
        <w:t xml:space="preserve">planowej </w:t>
      </w:r>
      <w:r w:rsidRPr="006D59BB">
        <w:rPr>
          <w:rFonts w:ascii="Times New Roman" w:hAnsi="Times New Roman" w:cs="Times New Roman"/>
          <w:kern w:val="0"/>
          <w:sz w:val="24"/>
          <w:szCs w:val="24"/>
          <w14:ligatures w14:val="none"/>
        </w:rPr>
        <w:t>o</w:t>
      </w:r>
      <w:r w:rsidR="006F03DA" w:rsidRPr="006D59BB">
        <w:rPr>
          <w:rFonts w:ascii="Times New Roman" w:hAnsi="Times New Roman" w:cs="Times New Roman"/>
          <w:kern w:val="0"/>
          <w:sz w:val="24"/>
          <w:szCs w:val="24"/>
          <w14:ligatures w14:val="none"/>
        </w:rPr>
        <w:t> </w:t>
      </w:r>
      <w:r w:rsidRPr="006D59BB">
        <w:rPr>
          <w:rFonts w:ascii="Times New Roman" w:hAnsi="Times New Roman" w:cs="Times New Roman"/>
          <w:kern w:val="0"/>
          <w:sz w:val="24"/>
          <w:szCs w:val="24"/>
          <w14:ligatures w14:val="none"/>
        </w:rPr>
        <w:t xml:space="preserve">informację na temat kategorii ryzyka, do której kontrolowany został przypisany na podstawie analiz poprzedzających wszczęcie kontroli. Celem zmiany jest nie tyle zwiększenie waloru informacyjnego zawiadomienia, co raczej ułatwienie kontrolowanemu wykazania, że wskutek podjęcia kontroli zostały przekroczone ustawowe ograniczenia częstotliwości przeprowadzanych kontroli </w:t>
      </w:r>
      <w:r w:rsidR="00106DC1" w:rsidRPr="006D59BB">
        <w:rPr>
          <w:rFonts w:ascii="Times New Roman" w:hAnsi="Times New Roman" w:cs="Times New Roman"/>
          <w:kern w:val="0"/>
          <w:sz w:val="24"/>
          <w:szCs w:val="24"/>
          <w14:ligatures w14:val="none"/>
        </w:rPr>
        <w:t xml:space="preserve">planowych </w:t>
      </w:r>
      <w:r w:rsidRPr="006D59BB">
        <w:rPr>
          <w:rFonts w:ascii="Times New Roman" w:hAnsi="Times New Roman" w:cs="Times New Roman"/>
          <w:kern w:val="0"/>
          <w:sz w:val="24"/>
          <w:szCs w:val="24"/>
          <w14:ligatures w14:val="none"/>
        </w:rPr>
        <w:t>właściwe dla grupy (kategorii) ryzyka, do której został przypisany ten kontrolowany. Kontrolowany musi znać swoją kategorię ryzyka, jeśli ma mieć możliwość pilnowania przestrzegania nowych limitów kontroli</w:t>
      </w:r>
      <w:r w:rsidR="00106DC1" w:rsidRPr="006D59BB">
        <w:rPr>
          <w:rFonts w:ascii="Times New Roman" w:hAnsi="Times New Roman" w:cs="Times New Roman"/>
          <w:kern w:val="0"/>
          <w:sz w:val="24"/>
          <w:szCs w:val="24"/>
          <w14:ligatures w14:val="none"/>
        </w:rPr>
        <w:t xml:space="preserve"> planowych</w:t>
      </w:r>
      <w:r w:rsidRPr="006D59BB">
        <w:rPr>
          <w:rFonts w:ascii="Times New Roman" w:hAnsi="Times New Roman" w:cs="Times New Roman"/>
          <w:kern w:val="0"/>
          <w:sz w:val="24"/>
          <w:szCs w:val="24"/>
          <w14:ligatures w14:val="none"/>
        </w:rPr>
        <w:t>.</w:t>
      </w:r>
      <w:r w:rsidR="00106DC1" w:rsidRPr="006D59BB">
        <w:rPr>
          <w:rFonts w:ascii="Times New Roman" w:hAnsi="Times New Roman" w:cs="Times New Roman"/>
          <w:kern w:val="0"/>
          <w:sz w:val="24"/>
          <w:szCs w:val="24"/>
          <w14:ligatures w14:val="none"/>
        </w:rPr>
        <w:t xml:space="preserve"> </w:t>
      </w:r>
    </w:p>
    <w:p w14:paraId="1C609240" w14:textId="3F77328C" w:rsidR="00CA5E6E" w:rsidRPr="006D59BB" w:rsidRDefault="00577CFE" w:rsidP="006D59BB">
      <w:pPr>
        <w:pStyle w:val="Akapitzlist"/>
        <w:numPr>
          <w:ilvl w:val="0"/>
          <w:numId w:val="2"/>
        </w:numPr>
        <w:tabs>
          <w:tab w:val="left" w:pos="426"/>
        </w:tabs>
        <w:spacing w:before="120" w:after="0" w:line="360" w:lineRule="auto"/>
        <w:ind w:left="0" w:firstLine="0"/>
        <w:jc w:val="both"/>
        <w:rPr>
          <w:rFonts w:ascii="Times New Roman" w:hAnsi="Times New Roman" w:cs="Times New Roman"/>
          <w:sz w:val="24"/>
          <w:szCs w:val="24"/>
        </w:rPr>
      </w:pPr>
      <w:r w:rsidRPr="006D59BB">
        <w:rPr>
          <w:rFonts w:ascii="Times New Roman" w:hAnsi="Times New Roman" w:cs="Times New Roman"/>
          <w:sz w:val="24"/>
          <w:szCs w:val="24"/>
        </w:rPr>
        <w:t xml:space="preserve">Skrócenie czasu trwania kontroli u </w:t>
      </w:r>
      <w:proofErr w:type="spellStart"/>
      <w:r w:rsidRPr="006D59BB">
        <w:rPr>
          <w:rFonts w:ascii="Times New Roman" w:hAnsi="Times New Roman" w:cs="Times New Roman"/>
          <w:sz w:val="24"/>
          <w:szCs w:val="24"/>
        </w:rPr>
        <w:t>mikroprzedsiębiorców</w:t>
      </w:r>
      <w:proofErr w:type="spellEnd"/>
      <w:r w:rsidRPr="006D59BB">
        <w:rPr>
          <w:rFonts w:ascii="Times New Roman" w:hAnsi="Times New Roman" w:cs="Times New Roman"/>
          <w:sz w:val="24"/>
          <w:szCs w:val="24"/>
        </w:rPr>
        <w:t>.</w:t>
      </w:r>
    </w:p>
    <w:p w14:paraId="3DD71FEB" w14:textId="1A683C0C" w:rsidR="00577CFE" w:rsidRPr="006D59BB" w:rsidRDefault="00577CFE" w:rsidP="006D59BB">
      <w:pPr>
        <w:spacing w:before="120" w:after="0" w:line="360" w:lineRule="auto"/>
        <w:jc w:val="both"/>
        <w:rPr>
          <w:rFonts w:ascii="Times New Roman" w:hAnsi="Times New Roman" w:cs="Times New Roman"/>
          <w:kern w:val="0"/>
          <w:sz w:val="24"/>
          <w:szCs w:val="24"/>
          <w14:ligatures w14:val="none"/>
        </w:rPr>
      </w:pPr>
      <w:r w:rsidRPr="006D59BB">
        <w:rPr>
          <w:rFonts w:ascii="Times New Roman" w:hAnsi="Times New Roman" w:cs="Times New Roman"/>
          <w:kern w:val="0"/>
          <w:sz w:val="24"/>
          <w:szCs w:val="24"/>
          <w14:ligatures w14:val="none"/>
        </w:rPr>
        <w:t xml:space="preserve">Zgodnie z art. 7 ust. 1 </w:t>
      </w:r>
      <w:proofErr w:type="spellStart"/>
      <w:r w:rsidRPr="006D59BB">
        <w:rPr>
          <w:rFonts w:ascii="Times New Roman" w:hAnsi="Times New Roman" w:cs="Times New Roman"/>
          <w:kern w:val="0"/>
          <w:sz w:val="24"/>
          <w:szCs w:val="24"/>
          <w14:ligatures w14:val="none"/>
        </w:rPr>
        <w:t>Pp</w:t>
      </w:r>
      <w:proofErr w:type="spellEnd"/>
      <w:r w:rsidRPr="006D59BB">
        <w:rPr>
          <w:rFonts w:ascii="Times New Roman" w:hAnsi="Times New Roman" w:cs="Times New Roman"/>
          <w:kern w:val="0"/>
          <w:sz w:val="24"/>
          <w:szCs w:val="24"/>
          <w14:ligatures w14:val="none"/>
        </w:rPr>
        <w:t xml:space="preserve">, za </w:t>
      </w:r>
      <w:proofErr w:type="spellStart"/>
      <w:r w:rsidRPr="006D59BB">
        <w:rPr>
          <w:rFonts w:ascii="Times New Roman" w:hAnsi="Times New Roman" w:cs="Times New Roman"/>
          <w:kern w:val="0"/>
          <w:sz w:val="24"/>
          <w:szCs w:val="24"/>
          <w14:ligatures w14:val="none"/>
        </w:rPr>
        <w:t>mikroprzedsiębiorcę</w:t>
      </w:r>
      <w:proofErr w:type="spellEnd"/>
      <w:r w:rsidRPr="006D59BB">
        <w:rPr>
          <w:rFonts w:ascii="Times New Roman" w:hAnsi="Times New Roman" w:cs="Times New Roman"/>
          <w:kern w:val="0"/>
          <w:sz w:val="24"/>
          <w:szCs w:val="24"/>
          <w14:ligatures w14:val="none"/>
        </w:rPr>
        <w:t xml:space="preserve"> uznaje się przedsiębiorcę, który w co najmniej jednym roku z dwóch ostatnich lat obrotowych spełniał łącznie następujące warunki:</w:t>
      </w:r>
    </w:p>
    <w:p w14:paraId="00F060E1" w14:textId="77777777" w:rsidR="00577CFE" w:rsidRPr="006D59BB" w:rsidRDefault="00577CFE" w:rsidP="006D59BB">
      <w:pPr>
        <w:pStyle w:val="Akapitzlist"/>
        <w:numPr>
          <w:ilvl w:val="0"/>
          <w:numId w:val="7"/>
        </w:numPr>
        <w:tabs>
          <w:tab w:val="left" w:pos="284"/>
        </w:tabs>
        <w:spacing w:before="120" w:after="0" w:line="360" w:lineRule="auto"/>
        <w:ind w:left="0" w:hanging="11"/>
        <w:jc w:val="both"/>
        <w:rPr>
          <w:rFonts w:ascii="Times New Roman" w:hAnsi="Times New Roman" w:cs="Times New Roman"/>
          <w:kern w:val="0"/>
          <w:sz w:val="24"/>
          <w:szCs w:val="24"/>
          <w14:ligatures w14:val="none"/>
        </w:rPr>
      </w:pPr>
      <w:r w:rsidRPr="006D59BB">
        <w:rPr>
          <w:rFonts w:ascii="Times New Roman" w:hAnsi="Times New Roman" w:cs="Times New Roman"/>
          <w:kern w:val="0"/>
          <w:sz w:val="24"/>
          <w:szCs w:val="24"/>
          <w14:ligatures w14:val="none"/>
        </w:rPr>
        <w:t>zatrudniał średniorocznie mniej niż 10 pracowników oraz</w:t>
      </w:r>
    </w:p>
    <w:p w14:paraId="20C1376F" w14:textId="6F47EEA4" w:rsidR="00577CFE" w:rsidRPr="006D59BB" w:rsidRDefault="00577CFE" w:rsidP="006D59BB">
      <w:pPr>
        <w:pStyle w:val="Akapitzlist"/>
        <w:numPr>
          <w:ilvl w:val="0"/>
          <w:numId w:val="7"/>
        </w:numPr>
        <w:tabs>
          <w:tab w:val="left" w:pos="284"/>
        </w:tabs>
        <w:spacing w:before="120" w:after="0" w:line="360" w:lineRule="auto"/>
        <w:ind w:left="0" w:hanging="11"/>
        <w:jc w:val="both"/>
        <w:rPr>
          <w:rFonts w:ascii="Times New Roman" w:hAnsi="Times New Roman" w:cs="Times New Roman"/>
          <w:kern w:val="0"/>
          <w:sz w:val="24"/>
          <w:szCs w:val="24"/>
          <w14:ligatures w14:val="none"/>
        </w:rPr>
      </w:pPr>
      <w:r w:rsidRPr="006D59BB">
        <w:rPr>
          <w:rFonts w:ascii="Times New Roman" w:hAnsi="Times New Roman" w:cs="Times New Roman"/>
          <w:kern w:val="0"/>
          <w:sz w:val="24"/>
          <w:szCs w:val="24"/>
          <w14:ligatures w14:val="none"/>
        </w:rPr>
        <w:t>osiągnął roczny obrót netto ze sprzedaży towarów, wyrobów i usług oraz z operacji finansowych nieprzekraczający równowartości w złotych 2 milionów euro, lub sumy aktywów jego bilansu sporządzonego na koniec jednego z tych lat nie przekroczyły równowartości w</w:t>
      </w:r>
      <w:r w:rsidR="006F03DA" w:rsidRPr="006D59BB">
        <w:rPr>
          <w:rFonts w:ascii="Times New Roman" w:hAnsi="Times New Roman" w:cs="Times New Roman"/>
          <w:kern w:val="0"/>
          <w:sz w:val="24"/>
          <w:szCs w:val="24"/>
          <w14:ligatures w14:val="none"/>
        </w:rPr>
        <w:t> </w:t>
      </w:r>
      <w:r w:rsidRPr="006D59BB">
        <w:rPr>
          <w:rFonts w:ascii="Times New Roman" w:hAnsi="Times New Roman" w:cs="Times New Roman"/>
          <w:kern w:val="0"/>
          <w:sz w:val="24"/>
          <w:szCs w:val="24"/>
          <w14:ligatures w14:val="none"/>
        </w:rPr>
        <w:t>złotych 2</w:t>
      </w:r>
      <w:r w:rsidR="00E6226B" w:rsidRPr="006D59BB">
        <w:rPr>
          <w:rFonts w:ascii="Times New Roman" w:hAnsi="Times New Roman" w:cs="Times New Roman"/>
          <w:kern w:val="0"/>
          <w:sz w:val="24"/>
          <w:szCs w:val="24"/>
          <w14:ligatures w14:val="none"/>
        </w:rPr>
        <w:t> </w:t>
      </w:r>
      <w:r w:rsidRPr="006D59BB">
        <w:rPr>
          <w:rFonts w:ascii="Times New Roman" w:hAnsi="Times New Roman" w:cs="Times New Roman"/>
          <w:kern w:val="0"/>
          <w:sz w:val="24"/>
          <w:szCs w:val="24"/>
          <w14:ligatures w14:val="none"/>
        </w:rPr>
        <w:t>milionów euro.</w:t>
      </w:r>
    </w:p>
    <w:p w14:paraId="2F7870CC" w14:textId="66451576" w:rsidR="00577CFE" w:rsidRPr="006D59BB" w:rsidRDefault="00577CFE" w:rsidP="006D59BB">
      <w:pPr>
        <w:spacing w:before="120" w:after="0" w:line="360" w:lineRule="auto"/>
        <w:jc w:val="both"/>
        <w:rPr>
          <w:rFonts w:ascii="Times New Roman" w:hAnsi="Times New Roman" w:cs="Times New Roman"/>
          <w:kern w:val="0"/>
          <w:sz w:val="24"/>
          <w:szCs w:val="24"/>
          <w14:ligatures w14:val="none"/>
        </w:rPr>
      </w:pPr>
      <w:r w:rsidRPr="006D59BB">
        <w:rPr>
          <w:rFonts w:ascii="Times New Roman" w:hAnsi="Times New Roman" w:cs="Times New Roman"/>
          <w:kern w:val="0"/>
          <w:sz w:val="24"/>
          <w:szCs w:val="24"/>
          <w14:ligatures w14:val="none"/>
        </w:rPr>
        <w:lastRenderedPageBreak/>
        <w:t xml:space="preserve">W obecnym stanie prawnym, z art. 55 ust. 1 pkt 1 </w:t>
      </w:r>
      <w:proofErr w:type="spellStart"/>
      <w:r w:rsidRPr="006D59BB">
        <w:rPr>
          <w:rFonts w:ascii="Times New Roman" w:hAnsi="Times New Roman" w:cs="Times New Roman"/>
          <w:kern w:val="0"/>
          <w:sz w:val="24"/>
          <w:szCs w:val="24"/>
          <w14:ligatures w14:val="none"/>
        </w:rPr>
        <w:t>Pp</w:t>
      </w:r>
      <w:proofErr w:type="spellEnd"/>
      <w:r w:rsidRPr="006D59BB">
        <w:rPr>
          <w:rFonts w:ascii="Times New Roman" w:hAnsi="Times New Roman" w:cs="Times New Roman"/>
          <w:kern w:val="0"/>
          <w:sz w:val="24"/>
          <w:szCs w:val="24"/>
          <w14:ligatures w14:val="none"/>
        </w:rPr>
        <w:t xml:space="preserve">, wynika, że czas trwania wszystkich kontroli organu kontroli u </w:t>
      </w:r>
      <w:proofErr w:type="spellStart"/>
      <w:r w:rsidRPr="006D59BB">
        <w:rPr>
          <w:rFonts w:ascii="Times New Roman" w:hAnsi="Times New Roman" w:cs="Times New Roman"/>
          <w:kern w:val="0"/>
          <w:sz w:val="24"/>
          <w:szCs w:val="24"/>
          <w14:ligatures w14:val="none"/>
        </w:rPr>
        <w:t>mikroprzedsiębiorcy</w:t>
      </w:r>
      <w:proofErr w:type="spellEnd"/>
      <w:r w:rsidRPr="006D59BB">
        <w:rPr>
          <w:rFonts w:ascii="Times New Roman" w:hAnsi="Times New Roman" w:cs="Times New Roman"/>
          <w:kern w:val="0"/>
          <w:sz w:val="24"/>
          <w:szCs w:val="24"/>
          <w14:ligatures w14:val="none"/>
        </w:rPr>
        <w:t xml:space="preserve"> nie może przekraczać 12 dni roboczych w jednym roku kalendarzowym. </w:t>
      </w:r>
    </w:p>
    <w:p w14:paraId="3A8C0E6D" w14:textId="1685195F" w:rsidR="00577CFE" w:rsidRPr="006D59BB" w:rsidRDefault="00577CFE" w:rsidP="006D59BB">
      <w:pPr>
        <w:spacing w:before="120" w:after="0" w:line="360" w:lineRule="auto"/>
        <w:jc w:val="both"/>
        <w:rPr>
          <w:rFonts w:ascii="Times New Roman" w:hAnsi="Times New Roman" w:cs="Times New Roman"/>
          <w:kern w:val="0"/>
          <w:sz w:val="24"/>
          <w:szCs w:val="24"/>
          <w14:ligatures w14:val="none"/>
        </w:rPr>
      </w:pPr>
      <w:r w:rsidRPr="006D59BB">
        <w:rPr>
          <w:rFonts w:ascii="Times New Roman" w:hAnsi="Times New Roman" w:cs="Times New Roman"/>
          <w:kern w:val="0"/>
          <w:sz w:val="24"/>
          <w:szCs w:val="24"/>
          <w14:ligatures w14:val="none"/>
        </w:rPr>
        <w:t xml:space="preserve">Na gruncie praktyki podnoszono, że mimo brzmienia wskazanego przepisu (oraz przepisów, które zostały zastąpione przez </w:t>
      </w:r>
      <w:proofErr w:type="spellStart"/>
      <w:r w:rsidRPr="006D59BB">
        <w:rPr>
          <w:rFonts w:ascii="Times New Roman" w:hAnsi="Times New Roman" w:cs="Times New Roman"/>
          <w:kern w:val="0"/>
          <w:sz w:val="24"/>
          <w:szCs w:val="24"/>
          <w14:ligatures w14:val="none"/>
        </w:rPr>
        <w:t>Pp</w:t>
      </w:r>
      <w:proofErr w:type="spellEnd"/>
      <w:r w:rsidRPr="006D59BB">
        <w:rPr>
          <w:rFonts w:ascii="Times New Roman" w:hAnsi="Times New Roman" w:cs="Times New Roman"/>
          <w:kern w:val="0"/>
          <w:sz w:val="24"/>
          <w:szCs w:val="24"/>
          <w14:ligatures w14:val="none"/>
        </w:rPr>
        <w:t xml:space="preserve">) kontrole dotyczące </w:t>
      </w:r>
      <w:proofErr w:type="spellStart"/>
      <w:r w:rsidRPr="006D59BB">
        <w:rPr>
          <w:rFonts w:ascii="Times New Roman" w:hAnsi="Times New Roman" w:cs="Times New Roman"/>
          <w:kern w:val="0"/>
          <w:sz w:val="24"/>
          <w:szCs w:val="24"/>
          <w14:ligatures w14:val="none"/>
        </w:rPr>
        <w:t>mikroprzedsiębiorców</w:t>
      </w:r>
      <w:proofErr w:type="spellEnd"/>
      <w:r w:rsidRPr="006D59BB">
        <w:rPr>
          <w:rFonts w:ascii="Times New Roman" w:hAnsi="Times New Roman" w:cs="Times New Roman"/>
          <w:kern w:val="0"/>
          <w:sz w:val="24"/>
          <w:szCs w:val="24"/>
          <w14:ligatures w14:val="none"/>
        </w:rPr>
        <w:t xml:space="preserve"> w rzeczywistości trwają dłużej. Organy kontroli uznawały, że czas kontroli należy odnieść do kontroli w ścisłym rozumieniu tego pojęcia, więc do tych dni, w których czynności organów kontroli przeprowadzane były u</w:t>
      </w:r>
      <w:r w:rsidR="006F03DA" w:rsidRPr="006D59BB">
        <w:rPr>
          <w:rFonts w:ascii="Times New Roman" w:hAnsi="Times New Roman" w:cs="Times New Roman"/>
          <w:kern w:val="0"/>
          <w:sz w:val="24"/>
          <w:szCs w:val="24"/>
          <w14:ligatures w14:val="none"/>
        </w:rPr>
        <w:t> </w:t>
      </w:r>
      <w:r w:rsidRPr="006D59BB">
        <w:rPr>
          <w:rFonts w:ascii="Times New Roman" w:hAnsi="Times New Roman" w:cs="Times New Roman"/>
          <w:kern w:val="0"/>
          <w:sz w:val="24"/>
          <w:szCs w:val="24"/>
          <w14:ligatures w14:val="none"/>
        </w:rPr>
        <w:t>przedsiębiorcy, w jego siedzibie lub miejscu prowadzenia działalności. Taki pogląd powstał na gruncie specyficznej wykładni celowościowej i systemowej dominującej pod rządami art. 83 ust. 1 (uchylonej) ustawy z dnia 2 lipca 2004 r. o swobodzie działalności gospodarczej (</w:t>
      </w:r>
      <w:proofErr w:type="spellStart"/>
      <w:r w:rsidRPr="006D59BB">
        <w:rPr>
          <w:rFonts w:ascii="Times New Roman" w:hAnsi="Times New Roman" w:cs="Times New Roman"/>
          <w:kern w:val="0"/>
          <w:sz w:val="24"/>
          <w:szCs w:val="24"/>
          <w14:ligatures w14:val="none"/>
        </w:rPr>
        <w:t>usdg</w:t>
      </w:r>
      <w:proofErr w:type="spellEnd"/>
      <w:r w:rsidRPr="006D59BB">
        <w:rPr>
          <w:rFonts w:ascii="Times New Roman" w:hAnsi="Times New Roman" w:cs="Times New Roman"/>
          <w:kern w:val="0"/>
          <w:sz w:val="24"/>
          <w:szCs w:val="24"/>
          <w14:ligatures w14:val="none"/>
        </w:rPr>
        <w:t>) i wspierany był orzecznictwem sądów administracyjnych dotyczącym tego przepisu (wyroki NSA z 7 czerwca 2017 r., sygn. akt II FSK 1418/15, z 6 września 2018 r., sygn. akt II FSK 384/18, wyrok WSA w</w:t>
      </w:r>
      <w:r w:rsidR="006F03DA" w:rsidRPr="006D59BB">
        <w:rPr>
          <w:rFonts w:ascii="Times New Roman" w:hAnsi="Times New Roman" w:cs="Times New Roman"/>
          <w:kern w:val="0"/>
          <w:sz w:val="24"/>
          <w:szCs w:val="24"/>
          <w14:ligatures w14:val="none"/>
        </w:rPr>
        <w:t> </w:t>
      </w:r>
      <w:r w:rsidRPr="006D59BB">
        <w:rPr>
          <w:rFonts w:ascii="Times New Roman" w:hAnsi="Times New Roman" w:cs="Times New Roman"/>
          <w:kern w:val="0"/>
          <w:sz w:val="24"/>
          <w:szCs w:val="24"/>
          <w14:ligatures w14:val="none"/>
        </w:rPr>
        <w:t>Gliwicach z 12 marca 2018 r., sygn. akt II SA/</w:t>
      </w:r>
      <w:proofErr w:type="spellStart"/>
      <w:r w:rsidRPr="006D59BB">
        <w:rPr>
          <w:rFonts w:ascii="Times New Roman" w:hAnsi="Times New Roman" w:cs="Times New Roman"/>
          <w:kern w:val="0"/>
          <w:sz w:val="24"/>
          <w:szCs w:val="24"/>
          <w14:ligatures w14:val="none"/>
        </w:rPr>
        <w:t>Gl</w:t>
      </w:r>
      <w:proofErr w:type="spellEnd"/>
      <w:r w:rsidRPr="006D59BB">
        <w:rPr>
          <w:rFonts w:ascii="Times New Roman" w:hAnsi="Times New Roman" w:cs="Times New Roman"/>
          <w:kern w:val="0"/>
          <w:sz w:val="24"/>
          <w:szCs w:val="24"/>
          <w14:ligatures w14:val="none"/>
        </w:rPr>
        <w:t xml:space="preserve"> 948/17). Przy takim podejściu do kontroli </w:t>
      </w:r>
      <w:proofErr w:type="spellStart"/>
      <w:r w:rsidRPr="006D59BB">
        <w:rPr>
          <w:rFonts w:ascii="Times New Roman" w:hAnsi="Times New Roman" w:cs="Times New Roman"/>
          <w:kern w:val="0"/>
          <w:sz w:val="24"/>
          <w:szCs w:val="24"/>
          <w14:ligatures w14:val="none"/>
        </w:rPr>
        <w:t>mikroprzedsiębiorców</w:t>
      </w:r>
      <w:proofErr w:type="spellEnd"/>
      <w:r w:rsidRPr="006D59BB">
        <w:rPr>
          <w:rFonts w:ascii="Times New Roman" w:hAnsi="Times New Roman" w:cs="Times New Roman"/>
          <w:kern w:val="0"/>
          <w:sz w:val="24"/>
          <w:szCs w:val="24"/>
          <w14:ligatures w14:val="none"/>
        </w:rPr>
        <w:t xml:space="preserve"> nie zaliczano czynności, które odbywały się w innym miejscu, niż siedziba przedsiębiorcy lub miejscu prowadzenia jego działalności. W wyroku NSA z 19 lutego 2020 r., sygn. akt I FSK 2243/19, Naczelny Sąd Administracyjny stwierdził jednak, że takie podejście prowadzi do skutku przeciwnego od zamierzonego: zamiast chronić przedsiębiorcę przed uciążliwościami spowodowanymi przez organ kontroli dla bieżącej działalności gospodarczej, wskazany sposób interpretacji prowadzi w</w:t>
      </w:r>
      <w:r w:rsidR="00E6226B" w:rsidRPr="006D59BB">
        <w:rPr>
          <w:rFonts w:ascii="Times New Roman" w:hAnsi="Times New Roman" w:cs="Times New Roman"/>
          <w:kern w:val="0"/>
          <w:sz w:val="24"/>
          <w:szCs w:val="24"/>
          <w14:ligatures w14:val="none"/>
        </w:rPr>
        <w:t> </w:t>
      </w:r>
      <w:r w:rsidRPr="006D59BB">
        <w:rPr>
          <w:rFonts w:ascii="Times New Roman" w:hAnsi="Times New Roman" w:cs="Times New Roman"/>
          <w:kern w:val="0"/>
          <w:sz w:val="24"/>
          <w:szCs w:val="24"/>
          <w14:ligatures w14:val="none"/>
        </w:rPr>
        <w:t xml:space="preserve">rzeczywistości do znacznego wydłużenia kontroli działalności przedsiębiorców. Na gruncie rozstrzyganej sprawy NSA stwierdził, że </w:t>
      </w:r>
      <w:r w:rsidR="008170ED" w:rsidRPr="006D59BB">
        <w:rPr>
          <w:rFonts w:ascii="Times New Roman" w:hAnsi="Times New Roman" w:cs="Times New Roman"/>
          <w:kern w:val="0"/>
          <w:sz w:val="24"/>
          <w:szCs w:val="24"/>
          <w14:ligatures w14:val="none"/>
        </w:rPr>
        <w:t>„</w:t>
      </w:r>
      <w:r w:rsidRPr="006D59BB">
        <w:rPr>
          <w:rFonts w:ascii="Times New Roman" w:hAnsi="Times New Roman" w:cs="Times New Roman"/>
          <w:kern w:val="0"/>
          <w:sz w:val="24"/>
          <w:szCs w:val="24"/>
          <w14:ligatures w14:val="none"/>
        </w:rPr>
        <w:t>kontrola u</w:t>
      </w:r>
      <w:r w:rsidR="006F03DA" w:rsidRPr="006D59BB">
        <w:rPr>
          <w:rFonts w:ascii="Times New Roman" w:hAnsi="Times New Roman" w:cs="Times New Roman"/>
          <w:kern w:val="0"/>
          <w:sz w:val="24"/>
          <w:szCs w:val="24"/>
          <w14:ligatures w14:val="none"/>
        </w:rPr>
        <w:t> </w:t>
      </w:r>
      <w:proofErr w:type="spellStart"/>
      <w:r w:rsidRPr="006D59BB">
        <w:rPr>
          <w:rFonts w:ascii="Times New Roman" w:hAnsi="Times New Roman" w:cs="Times New Roman"/>
          <w:kern w:val="0"/>
          <w:sz w:val="24"/>
          <w:szCs w:val="24"/>
          <w14:ligatures w14:val="none"/>
        </w:rPr>
        <w:t>mikroprzedsiębiorcy</w:t>
      </w:r>
      <w:proofErr w:type="spellEnd"/>
      <w:r w:rsidRPr="006D59BB">
        <w:rPr>
          <w:rFonts w:ascii="Times New Roman" w:hAnsi="Times New Roman" w:cs="Times New Roman"/>
          <w:kern w:val="0"/>
          <w:sz w:val="24"/>
          <w:szCs w:val="24"/>
          <w14:ligatures w14:val="none"/>
        </w:rPr>
        <w:t xml:space="preserve"> mogła trwać 12 miesięcy od jej wszczęcia, po jednym dniu roboczym w</w:t>
      </w:r>
      <w:r w:rsidR="006F03DA" w:rsidRPr="006D59BB">
        <w:rPr>
          <w:rFonts w:ascii="Times New Roman" w:hAnsi="Times New Roman" w:cs="Times New Roman"/>
          <w:kern w:val="0"/>
          <w:sz w:val="24"/>
          <w:szCs w:val="24"/>
          <w14:ligatures w14:val="none"/>
        </w:rPr>
        <w:t> </w:t>
      </w:r>
      <w:r w:rsidRPr="006D59BB">
        <w:rPr>
          <w:rFonts w:ascii="Times New Roman" w:hAnsi="Times New Roman" w:cs="Times New Roman"/>
          <w:kern w:val="0"/>
          <w:sz w:val="24"/>
          <w:szCs w:val="24"/>
          <w14:ligatures w14:val="none"/>
        </w:rPr>
        <w:t>każdym miesiącu. W tym czasie organ kontroli mógł wykonywać wszystkie przypisane mu czynności, takie jak: żądanie wydania akt, ksiąg i dokumentów związanych z przedmiotem kontroli, zebranie i</w:t>
      </w:r>
      <w:r w:rsidR="006F03DA" w:rsidRPr="006D59BB">
        <w:rPr>
          <w:rFonts w:ascii="Times New Roman" w:hAnsi="Times New Roman" w:cs="Times New Roman"/>
          <w:kern w:val="0"/>
          <w:sz w:val="24"/>
          <w:szCs w:val="24"/>
          <w14:ligatures w14:val="none"/>
        </w:rPr>
        <w:t> </w:t>
      </w:r>
      <w:r w:rsidRPr="006D59BB">
        <w:rPr>
          <w:rFonts w:ascii="Times New Roman" w:hAnsi="Times New Roman" w:cs="Times New Roman"/>
          <w:kern w:val="0"/>
          <w:sz w:val="24"/>
          <w:szCs w:val="24"/>
          <w14:ligatures w14:val="none"/>
        </w:rPr>
        <w:t>zabezpieczenie dowodów, legitymowanie osób, przesłuchanie świadków i samego przedsiębiorcy, żądanie wyjaśnień, tłumaczeń dokumentów na język polski, itp.</w:t>
      </w:r>
      <w:r w:rsidR="008170ED" w:rsidRPr="006D59BB">
        <w:rPr>
          <w:rFonts w:ascii="Times New Roman" w:hAnsi="Times New Roman" w:cs="Times New Roman"/>
          <w:kern w:val="0"/>
          <w:sz w:val="24"/>
          <w:szCs w:val="24"/>
          <w14:ligatures w14:val="none"/>
        </w:rPr>
        <w:t>”</w:t>
      </w:r>
      <w:r w:rsidRPr="006D59BB">
        <w:rPr>
          <w:rFonts w:ascii="Times New Roman" w:hAnsi="Times New Roman" w:cs="Times New Roman"/>
          <w:kern w:val="0"/>
          <w:sz w:val="24"/>
          <w:szCs w:val="24"/>
          <w14:ligatures w14:val="none"/>
        </w:rPr>
        <w:t xml:space="preserve">. </w:t>
      </w:r>
      <w:r w:rsidR="00F02C59" w:rsidRPr="006D59BB">
        <w:rPr>
          <w:rFonts w:ascii="Times New Roman" w:hAnsi="Times New Roman" w:cs="Times New Roman"/>
          <w:kern w:val="0"/>
          <w:sz w:val="24"/>
          <w:szCs w:val="24"/>
          <w14:ligatures w14:val="none"/>
        </w:rPr>
        <w:t xml:space="preserve">W kontekście wykładni systemowej podnoszono m.in. argument, że art. 80a. </w:t>
      </w:r>
      <w:proofErr w:type="spellStart"/>
      <w:r w:rsidR="00F02C59" w:rsidRPr="006D59BB">
        <w:rPr>
          <w:rFonts w:ascii="Times New Roman" w:hAnsi="Times New Roman" w:cs="Times New Roman"/>
          <w:kern w:val="0"/>
          <w:sz w:val="24"/>
          <w:szCs w:val="24"/>
          <w14:ligatures w14:val="none"/>
        </w:rPr>
        <w:t>usdg</w:t>
      </w:r>
      <w:proofErr w:type="spellEnd"/>
      <w:r w:rsidR="00F02C59" w:rsidRPr="006D59BB">
        <w:rPr>
          <w:rFonts w:ascii="Times New Roman" w:hAnsi="Times New Roman" w:cs="Times New Roman"/>
          <w:kern w:val="0"/>
          <w:sz w:val="24"/>
          <w:szCs w:val="24"/>
          <w14:ligatures w14:val="none"/>
        </w:rPr>
        <w:t xml:space="preserve"> wymieniał cztery „miejsca” prowadzenia kontroli, w tym mówił: o miejscu przechowywania dokumentacji oraz o „kontroli lub poszczególnych czynnościach kontrolnych”, które, za zgodą kontrolowanego, „mogą być przeprowadzane również w siedzibie organu kontroli”. NSA odniósł się do tych argumentów stwierdzając, że w ramach wykładni systemowej „nie ma podstaw do różnicowania czynności kontrolnych na takie w ścisłym rozumieniu tego pojęcia i inne”. NSA stwierdził, że tego rodzaju interpretacja „prowadzi do takiego skutku, że czas </w:t>
      </w:r>
      <w:r w:rsidR="00F02C59" w:rsidRPr="006D59BB">
        <w:rPr>
          <w:rFonts w:ascii="Times New Roman" w:hAnsi="Times New Roman" w:cs="Times New Roman"/>
          <w:kern w:val="0"/>
          <w:sz w:val="24"/>
          <w:szCs w:val="24"/>
          <w14:ligatures w14:val="none"/>
        </w:rPr>
        <w:lastRenderedPageBreak/>
        <w:t>trwania kontroli wyznaczony był tylko dla tych kontroli, które prowadzone były w dwóch spośród czterech możliwych miejsc, a w pozostałych przypadkach kontrola była nieograniczona w czasie”. W efekcie NSA uznał, że między dniem rozpoczęcia kontroli a dniem jej zakończenia nie może upłynąć więcej niż kolejnych 12 dni roboczych a nie tylko tych dni roboczych, w których czynności kontrolne prowadzone były w siedzibie przedsiębiorcy lub w miejscu prowadzenia działalności gospodarczej”. Taka linia interpretacji ma zastosowanie również do obowiązujących obecnie przepisów Pp.</w:t>
      </w:r>
    </w:p>
    <w:p w14:paraId="2D33F8A8" w14:textId="4DD31D81" w:rsidR="00577CFE" w:rsidRPr="006D59BB" w:rsidRDefault="00C24E62" w:rsidP="006D59BB">
      <w:pPr>
        <w:spacing w:before="120" w:after="0" w:line="360" w:lineRule="auto"/>
        <w:jc w:val="both"/>
        <w:rPr>
          <w:rFonts w:ascii="Times New Roman" w:hAnsi="Times New Roman" w:cs="Times New Roman"/>
          <w:kern w:val="0"/>
          <w:sz w:val="24"/>
          <w:szCs w:val="24"/>
          <w14:ligatures w14:val="none"/>
        </w:rPr>
      </w:pPr>
      <w:r w:rsidRPr="006D59BB">
        <w:rPr>
          <w:rFonts w:ascii="Times New Roman" w:hAnsi="Times New Roman" w:cs="Times New Roman"/>
          <w:kern w:val="0"/>
          <w:sz w:val="24"/>
          <w:szCs w:val="24"/>
          <w14:ligatures w14:val="none"/>
        </w:rPr>
        <w:t>Wzmianki wymaga ponadto, że</w:t>
      </w:r>
      <w:r w:rsidR="00577CFE" w:rsidRPr="006D59BB">
        <w:rPr>
          <w:rFonts w:ascii="Times New Roman" w:hAnsi="Times New Roman" w:cs="Times New Roman"/>
          <w:kern w:val="0"/>
          <w:sz w:val="24"/>
          <w:szCs w:val="24"/>
          <w14:ligatures w14:val="none"/>
        </w:rPr>
        <w:t xml:space="preserve"> propozycja skrócenia czasu kontroli dotyczących </w:t>
      </w:r>
      <w:proofErr w:type="spellStart"/>
      <w:r w:rsidR="00577CFE" w:rsidRPr="006D59BB">
        <w:rPr>
          <w:rFonts w:ascii="Times New Roman" w:hAnsi="Times New Roman" w:cs="Times New Roman"/>
          <w:kern w:val="0"/>
          <w:sz w:val="24"/>
          <w:szCs w:val="24"/>
          <w14:ligatures w14:val="none"/>
        </w:rPr>
        <w:t>mikroprzedsiębiorców</w:t>
      </w:r>
      <w:proofErr w:type="spellEnd"/>
      <w:r w:rsidR="00577CFE" w:rsidRPr="006D59BB">
        <w:rPr>
          <w:rFonts w:ascii="Times New Roman" w:hAnsi="Times New Roman" w:cs="Times New Roman"/>
          <w:kern w:val="0"/>
          <w:sz w:val="24"/>
          <w:szCs w:val="24"/>
          <w14:ligatures w14:val="none"/>
        </w:rPr>
        <w:t xml:space="preserve">, o których mowa w art. 55 ust. 1 pkt 1 </w:t>
      </w:r>
      <w:proofErr w:type="spellStart"/>
      <w:r w:rsidR="00577CFE" w:rsidRPr="006D59BB">
        <w:rPr>
          <w:rFonts w:ascii="Times New Roman" w:hAnsi="Times New Roman" w:cs="Times New Roman"/>
          <w:kern w:val="0"/>
          <w:sz w:val="24"/>
          <w:szCs w:val="24"/>
          <w14:ligatures w14:val="none"/>
        </w:rPr>
        <w:t>Pp</w:t>
      </w:r>
      <w:proofErr w:type="spellEnd"/>
      <w:r w:rsidRPr="006D59BB">
        <w:rPr>
          <w:rFonts w:ascii="Times New Roman" w:hAnsi="Times New Roman" w:cs="Times New Roman"/>
          <w:kern w:val="0"/>
          <w:sz w:val="24"/>
          <w:szCs w:val="24"/>
          <w14:ligatures w14:val="none"/>
        </w:rPr>
        <w:t>,</w:t>
      </w:r>
      <w:r w:rsidR="00577CFE" w:rsidRPr="006D59BB">
        <w:rPr>
          <w:rFonts w:ascii="Times New Roman" w:hAnsi="Times New Roman" w:cs="Times New Roman"/>
          <w:kern w:val="0"/>
          <w:sz w:val="24"/>
          <w:szCs w:val="24"/>
          <w14:ligatures w14:val="none"/>
        </w:rPr>
        <w:t xml:space="preserve"> wynika bezpośrednio z exposé premiera Donalda Tuska, wygłoszonego w Sejmie RP w dniu 12 grudnia 2023 r</w:t>
      </w:r>
      <w:r w:rsidRPr="006D59BB">
        <w:rPr>
          <w:rFonts w:ascii="Times New Roman" w:hAnsi="Times New Roman" w:cs="Times New Roman"/>
          <w:kern w:val="0"/>
          <w:sz w:val="24"/>
          <w:szCs w:val="24"/>
          <w14:ligatures w14:val="none"/>
        </w:rPr>
        <w:t>.</w:t>
      </w:r>
    </w:p>
    <w:p w14:paraId="7BD3F7C9" w14:textId="10660F3E" w:rsidR="003E5AEC" w:rsidRPr="006D59BB" w:rsidRDefault="003E5AEC" w:rsidP="006D59BB">
      <w:pPr>
        <w:spacing w:before="120" w:after="0" w:line="360" w:lineRule="auto"/>
        <w:jc w:val="both"/>
        <w:rPr>
          <w:rFonts w:ascii="Times New Roman" w:hAnsi="Times New Roman" w:cs="Times New Roman"/>
          <w:kern w:val="0"/>
          <w:sz w:val="24"/>
          <w:szCs w:val="24"/>
          <w14:ligatures w14:val="none"/>
        </w:rPr>
      </w:pPr>
      <w:r w:rsidRPr="006D59BB">
        <w:rPr>
          <w:rFonts w:ascii="Times New Roman" w:hAnsi="Times New Roman" w:cs="Times New Roman"/>
          <w:kern w:val="0"/>
          <w:sz w:val="24"/>
          <w:szCs w:val="24"/>
          <w14:ligatures w14:val="none"/>
        </w:rPr>
        <w:t xml:space="preserve">Niezależnie od skrócenia czasu kontroli dotyczących </w:t>
      </w:r>
      <w:proofErr w:type="spellStart"/>
      <w:r w:rsidRPr="006D59BB">
        <w:rPr>
          <w:rFonts w:ascii="Times New Roman" w:hAnsi="Times New Roman" w:cs="Times New Roman"/>
          <w:kern w:val="0"/>
          <w:sz w:val="24"/>
          <w:szCs w:val="24"/>
          <w14:ligatures w14:val="none"/>
        </w:rPr>
        <w:t>mikroprzedsiębiorców</w:t>
      </w:r>
      <w:proofErr w:type="spellEnd"/>
      <w:r w:rsidRPr="006D59BB">
        <w:rPr>
          <w:rFonts w:ascii="Times New Roman" w:hAnsi="Times New Roman" w:cs="Times New Roman"/>
          <w:kern w:val="0"/>
          <w:sz w:val="24"/>
          <w:szCs w:val="24"/>
          <w14:ligatures w14:val="none"/>
        </w:rPr>
        <w:t xml:space="preserve">, liczonego według zasad przyjętych w omówionym orzecznictwie NSA, proponuje się umożliwienie przedłużenia czasu trwania kontroli u </w:t>
      </w:r>
      <w:proofErr w:type="spellStart"/>
      <w:r w:rsidRPr="006D59BB">
        <w:rPr>
          <w:rFonts w:ascii="Times New Roman" w:hAnsi="Times New Roman" w:cs="Times New Roman"/>
          <w:kern w:val="0"/>
          <w:sz w:val="24"/>
          <w:szCs w:val="24"/>
          <w14:ligatures w14:val="none"/>
        </w:rPr>
        <w:t>mikroprzedsiębiorcy</w:t>
      </w:r>
      <w:proofErr w:type="spellEnd"/>
      <w:r w:rsidRPr="006D59BB">
        <w:rPr>
          <w:rFonts w:ascii="Times New Roman" w:hAnsi="Times New Roman" w:cs="Times New Roman"/>
          <w:kern w:val="0"/>
          <w:sz w:val="24"/>
          <w:szCs w:val="24"/>
          <w14:ligatures w14:val="none"/>
        </w:rPr>
        <w:t xml:space="preserve"> maksymalnie o 6 dni roboczych w roku kalendarzowych, celem przeprowadzenia w siedzibie organu lub w sposób zdalny czynności kontrolnych związanych wyłącznie z gromadzeniem i analizą dokumentów związanych z przedmiotem kontroli, które nie powinny utrudniać przedsiębiorcy wykonywania działalności gospodarczej. Ze względu na ograniczony przedmiot czynności kontrolnych, nie będzie możliwe np. żądanie udzielenia wyjaśnień (w siedzibie lub w trybie zdalnym), dostarczenia próbek ani też przeprowadzanie jakichkolwiek dodatkowych czynności pod adresem siedziby przedsiębiorcy lub w miejscu wykonywania działalności gospodarczej przez przedsiębiorcę. Takie rozwiązanie powinno zapewnić równowagę między uzasadnionym dążeniem polskich </w:t>
      </w:r>
      <w:proofErr w:type="spellStart"/>
      <w:r w:rsidRPr="006D59BB">
        <w:rPr>
          <w:rFonts w:ascii="Times New Roman" w:hAnsi="Times New Roman" w:cs="Times New Roman"/>
          <w:kern w:val="0"/>
          <w:sz w:val="24"/>
          <w:szCs w:val="24"/>
          <w14:ligatures w14:val="none"/>
        </w:rPr>
        <w:t>mikroprzedsiębiorców</w:t>
      </w:r>
      <w:proofErr w:type="spellEnd"/>
      <w:r w:rsidRPr="006D59BB">
        <w:rPr>
          <w:rFonts w:ascii="Times New Roman" w:hAnsi="Times New Roman" w:cs="Times New Roman"/>
          <w:kern w:val="0"/>
          <w:sz w:val="24"/>
          <w:szCs w:val="24"/>
          <w14:ligatures w14:val="none"/>
        </w:rPr>
        <w:t xml:space="preserve"> do skrócenia czasu trwania kontroli i ograniczenia ich uciążliwości, a</w:t>
      </w:r>
      <w:r w:rsidR="005D5D55" w:rsidRPr="006D59BB">
        <w:rPr>
          <w:rFonts w:ascii="Times New Roman" w:hAnsi="Times New Roman" w:cs="Times New Roman"/>
          <w:kern w:val="0"/>
          <w:sz w:val="24"/>
          <w:szCs w:val="24"/>
          <w14:ligatures w14:val="none"/>
        </w:rPr>
        <w:t> </w:t>
      </w:r>
      <w:r w:rsidRPr="006D59BB">
        <w:rPr>
          <w:rFonts w:ascii="Times New Roman" w:hAnsi="Times New Roman" w:cs="Times New Roman"/>
          <w:kern w:val="0"/>
          <w:sz w:val="24"/>
          <w:szCs w:val="24"/>
          <w14:ligatures w14:val="none"/>
        </w:rPr>
        <w:t>koniecznością zachowania skuteczności działań organów kontrolnych, coraz częściej korzystających z zaawansowanych systemów informatycznych, umożliwiających prowadzenie kontroli w sposób zdalny oraz gromadzenie i przetwarzanie dużych ilości dokumentów, bez konieczności wydłużania czasu trwania kontroli u przedsiębiorcy.</w:t>
      </w:r>
    </w:p>
    <w:p w14:paraId="2DE7AFAC" w14:textId="77777777" w:rsidR="00CA5E6E" w:rsidRPr="006D59BB" w:rsidRDefault="00CA5E6E" w:rsidP="006D59BB">
      <w:pPr>
        <w:pStyle w:val="Akapitzlist"/>
        <w:numPr>
          <w:ilvl w:val="0"/>
          <w:numId w:val="2"/>
        </w:numPr>
        <w:tabs>
          <w:tab w:val="left" w:pos="426"/>
        </w:tabs>
        <w:spacing w:before="120" w:after="0" w:line="360" w:lineRule="auto"/>
        <w:ind w:left="0" w:firstLine="0"/>
        <w:jc w:val="both"/>
        <w:rPr>
          <w:rFonts w:ascii="Times New Roman" w:hAnsi="Times New Roman" w:cs="Times New Roman"/>
          <w:sz w:val="24"/>
          <w:szCs w:val="24"/>
        </w:rPr>
      </w:pPr>
      <w:r w:rsidRPr="006D59BB">
        <w:rPr>
          <w:rFonts w:ascii="Times New Roman" w:hAnsi="Times New Roman" w:cs="Times New Roman"/>
          <w:sz w:val="24"/>
          <w:szCs w:val="24"/>
        </w:rPr>
        <w:t>Uzależnienie liczby przeprowadzanych kontroli od kategorii ryzyka.</w:t>
      </w:r>
    </w:p>
    <w:p w14:paraId="0CD5B88A" w14:textId="77777777" w:rsidR="002070A7" w:rsidRPr="006D59BB" w:rsidRDefault="002070A7" w:rsidP="006D59BB">
      <w:pPr>
        <w:spacing w:before="120" w:after="0" w:line="360" w:lineRule="auto"/>
        <w:jc w:val="both"/>
        <w:rPr>
          <w:rFonts w:ascii="Times New Roman" w:hAnsi="Times New Roman" w:cs="Times New Roman"/>
          <w:kern w:val="0"/>
          <w:sz w:val="24"/>
          <w:szCs w:val="24"/>
          <w14:ligatures w14:val="none"/>
        </w:rPr>
      </w:pPr>
      <w:bookmarkStart w:id="42" w:name="_Hlk191642427"/>
      <w:r w:rsidRPr="006D59BB">
        <w:rPr>
          <w:rFonts w:ascii="Times New Roman" w:hAnsi="Times New Roman" w:cs="Times New Roman"/>
          <w:kern w:val="0"/>
          <w:sz w:val="24"/>
          <w:szCs w:val="24"/>
          <w14:ligatures w14:val="none"/>
        </w:rPr>
        <w:t xml:space="preserve">Nowy art. </w:t>
      </w:r>
      <w:proofErr w:type="spellStart"/>
      <w:r w:rsidRPr="006D59BB">
        <w:rPr>
          <w:rFonts w:ascii="Times New Roman" w:hAnsi="Times New Roman" w:cs="Times New Roman"/>
          <w:kern w:val="0"/>
          <w:sz w:val="24"/>
          <w:szCs w:val="24"/>
          <w14:ligatures w14:val="none"/>
        </w:rPr>
        <w:t>55a</w:t>
      </w:r>
      <w:proofErr w:type="spellEnd"/>
      <w:r w:rsidRPr="006D59BB">
        <w:rPr>
          <w:rFonts w:ascii="Times New Roman" w:hAnsi="Times New Roman" w:cs="Times New Roman"/>
          <w:kern w:val="0"/>
          <w:sz w:val="24"/>
          <w:szCs w:val="24"/>
          <w14:ligatures w14:val="none"/>
        </w:rPr>
        <w:t xml:space="preserve"> </w:t>
      </w:r>
      <w:proofErr w:type="spellStart"/>
      <w:r w:rsidRPr="006D59BB">
        <w:rPr>
          <w:rFonts w:ascii="Times New Roman" w:hAnsi="Times New Roman" w:cs="Times New Roman"/>
          <w:kern w:val="0"/>
          <w:sz w:val="24"/>
          <w:szCs w:val="24"/>
          <w14:ligatures w14:val="none"/>
        </w:rPr>
        <w:t>Pp</w:t>
      </w:r>
      <w:proofErr w:type="spellEnd"/>
      <w:r w:rsidRPr="006D59BB">
        <w:rPr>
          <w:rFonts w:ascii="Times New Roman" w:hAnsi="Times New Roman" w:cs="Times New Roman"/>
          <w:kern w:val="0"/>
          <w:sz w:val="24"/>
          <w:szCs w:val="24"/>
          <w14:ligatures w14:val="none"/>
        </w:rPr>
        <w:t xml:space="preserve"> normuje maksymalną liczbę kontroli planowych, które może przeprowadzić organ kontroli w określonym w przepisie okresie u kontrolowanych przedsiębiorców zaliczonych do kategorii ryzyka niskiego i średniego. W przypadku niskiego ryzyka kontrola będzie przeprowadzana nie częściej niż raz na 5 lat, w przypadku średniego ryzyka – nie częściej niż raz na 3 lata. W przypadku wysokiego ryzyka nie przewidziano maksymalnej liczby kontroli planowych – będą one przeprowadzane tak często, jak to jest konieczne dla </w:t>
      </w:r>
      <w:r w:rsidRPr="006D59BB">
        <w:rPr>
          <w:rFonts w:ascii="Times New Roman" w:hAnsi="Times New Roman" w:cs="Times New Roman"/>
          <w:kern w:val="0"/>
          <w:sz w:val="24"/>
          <w:szCs w:val="24"/>
          <w14:ligatures w14:val="none"/>
        </w:rPr>
        <w:lastRenderedPageBreak/>
        <w:t xml:space="preserve">zapewnienia skutecznego stosowania odpowiednich przepisów prawnych, z uwzględnieniem wysokiego ryzyka wystąpienia nieprawidłowości oraz środków niezbędnych do jego ograniczania. Zbliżone limity obowiązują w niektórych innych europejskich państwach. Uwzględniają one w szczególności potrzebę częstego kontrolowania działalności gospodarczej, której prowadzenie wiąże się z wysokim prawdopodobieństwem naruszenia prawa. W takich obszarach może być w niektórych przypadkach uzasadnione przeprowadzanie nawet bardzo częstych kontroli planowych. Konsekwentnie w przypadku pozostałych grup kontrole będą przeprowadzane znacznie rzadziej. Proponowana zmiana nie przeszkodzi organom kontroli w wykrywaniu nieprawidłowości i egzekwowaniu odpowiedzialności za naruszenia prawa, gdyż organy kontroli w dalszym ciągu będą mogły bez ograniczeń reagować na sygnały uzasadniające przeprowadzenie kontroli doraźnej, o której mowa w art. 47 ust. 2 </w:t>
      </w:r>
      <w:proofErr w:type="spellStart"/>
      <w:r w:rsidRPr="006D59BB">
        <w:rPr>
          <w:rFonts w:ascii="Times New Roman" w:hAnsi="Times New Roman" w:cs="Times New Roman"/>
          <w:kern w:val="0"/>
          <w:sz w:val="24"/>
          <w:szCs w:val="24"/>
          <w14:ligatures w14:val="none"/>
        </w:rPr>
        <w:t>Pp</w:t>
      </w:r>
      <w:proofErr w:type="spellEnd"/>
      <w:r w:rsidRPr="006D59BB">
        <w:rPr>
          <w:rFonts w:ascii="Times New Roman" w:hAnsi="Times New Roman" w:cs="Times New Roman"/>
          <w:kern w:val="0"/>
          <w:sz w:val="24"/>
          <w:szCs w:val="24"/>
          <w14:ligatures w14:val="none"/>
        </w:rPr>
        <w:t xml:space="preserve">, w szczególności dotyczące zagrożenia życia lub zdrowia, popełnienia przestępstwa lub wykroczenia, popełnienia przestępstwa skarbowego lub wykroczenia skarbowego, innego naruszenia prawnego zakazu lub niedopełnienia prawnego obowiązku. W celu wyeliminowania wszelkich wątpliwości wprowadzono w proponowanym art. 47 ust. 1 definicję kontroli planowej, do której nawiązuje art. 55a Pp. Wprowadzane w art. </w:t>
      </w:r>
      <w:proofErr w:type="spellStart"/>
      <w:r w:rsidRPr="006D59BB">
        <w:rPr>
          <w:rFonts w:ascii="Times New Roman" w:hAnsi="Times New Roman" w:cs="Times New Roman"/>
          <w:kern w:val="0"/>
          <w:sz w:val="24"/>
          <w:szCs w:val="24"/>
          <w14:ligatures w14:val="none"/>
        </w:rPr>
        <w:t>55a</w:t>
      </w:r>
      <w:proofErr w:type="spellEnd"/>
      <w:r w:rsidRPr="006D59BB">
        <w:rPr>
          <w:rFonts w:ascii="Times New Roman" w:hAnsi="Times New Roman" w:cs="Times New Roman"/>
          <w:kern w:val="0"/>
          <w:sz w:val="24"/>
          <w:szCs w:val="24"/>
          <w14:ligatures w14:val="none"/>
        </w:rPr>
        <w:t xml:space="preserve"> </w:t>
      </w:r>
      <w:proofErr w:type="spellStart"/>
      <w:r w:rsidRPr="006D59BB">
        <w:rPr>
          <w:rFonts w:ascii="Times New Roman" w:hAnsi="Times New Roman" w:cs="Times New Roman"/>
          <w:kern w:val="0"/>
          <w:sz w:val="24"/>
          <w:szCs w:val="24"/>
          <w14:ligatures w14:val="none"/>
        </w:rPr>
        <w:t>Pp</w:t>
      </w:r>
      <w:proofErr w:type="spellEnd"/>
      <w:r w:rsidRPr="006D59BB">
        <w:rPr>
          <w:rFonts w:ascii="Times New Roman" w:hAnsi="Times New Roman" w:cs="Times New Roman"/>
          <w:kern w:val="0"/>
          <w:sz w:val="24"/>
          <w:szCs w:val="24"/>
          <w14:ligatures w14:val="none"/>
        </w:rPr>
        <w:t xml:space="preserve"> ograniczenia częstotliwości kontroli będą więc dotyczyły tylko kontroli planowych.</w:t>
      </w:r>
    </w:p>
    <w:p w14:paraId="7E154BE3" w14:textId="77777777" w:rsidR="002070A7" w:rsidRPr="006D59BB" w:rsidRDefault="002070A7" w:rsidP="006D59BB">
      <w:pPr>
        <w:spacing w:before="120" w:after="0" w:line="360" w:lineRule="auto"/>
        <w:jc w:val="both"/>
        <w:rPr>
          <w:rFonts w:ascii="Times New Roman" w:hAnsi="Times New Roman" w:cs="Times New Roman"/>
          <w:kern w:val="0"/>
          <w:sz w:val="24"/>
          <w:szCs w:val="24"/>
          <w14:ligatures w14:val="none"/>
        </w:rPr>
      </w:pPr>
      <w:r w:rsidRPr="006D59BB">
        <w:rPr>
          <w:rFonts w:ascii="Times New Roman" w:hAnsi="Times New Roman" w:cs="Times New Roman"/>
          <w:kern w:val="0"/>
          <w:sz w:val="24"/>
          <w:szCs w:val="24"/>
          <w14:ligatures w14:val="none"/>
        </w:rPr>
        <w:t>Nowe ograniczenia częstotliwości kontroli planowych nie znajdą natomiast zastosowania, jeżeli ratyfikowane umowy międzynarodowe albo bezpośrednio stosowane przepisy prawa Unii Europejskiej albo przepisy odrębne (np. ustawy, rozporządzenia) określają inaczej częstotliwość przeprowadzania kontroli. Przepisy takich aktów normatywnych mogą np. wymagać przeprowadzania częstszych, nawet corocznych kontroli, ze względu na ważny interes publiczny.</w:t>
      </w:r>
    </w:p>
    <w:p w14:paraId="35E6E88E" w14:textId="3200F3E9" w:rsidR="00C13958" w:rsidRPr="00C13958" w:rsidRDefault="00A97477" w:rsidP="00C13958">
      <w:pPr>
        <w:spacing w:before="120" w:after="0" w:line="360" w:lineRule="auto"/>
        <w:jc w:val="both"/>
        <w:rPr>
          <w:rFonts w:ascii="Times New Roman" w:hAnsi="Times New Roman" w:cs="Times New Roman"/>
          <w:kern w:val="0"/>
          <w:sz w:val="24"/>
          <w:szCs w:val="24"/>
          <w14:ligatures w14:val="none"/>
        </w:rPr>
      </w:pPr>
      <w:r w:rsidRPr="006D59BB">
        <w:rPr>
          <w:rFonts w:ascii="Times New Roman" w:hAnsi="Times New Roman" w:cs="Times New Roman"/>
          <w:kern w:val="0"/>
          <w:sz w:val="24"/>
          <w:szCs w:val="24"/>
          <w14:ligatures w14:val="none"/>
        </w:rPr>
        <w:t xml:space="preserve">Przepis art. 55a ust. 1 </w:t>
      </w:r>
      <w:proofErr w:type="spellStart"/>
      <w:r w:rsidRPr="006D59BB">
        <w:rPr>
          <w:rFonts w:ascii="Times New Roman" w:hAnsi="Times New Roman" w:cs="Times New Roman"/>
          <w:kern w:val="0"/>
          <w:sz w:val="24"/>
          <w:szCs w:val="24"/>
          <w14:ligatures w14:val="none"/>
        </w:rPr>
        <w:t>Pp</w:t>
      </w:r>
      <w:proofErr w:type="spellEnd"/>
      <w:r w:rsidRPr="006D59BB">
        <w:rPr>
          <w:rFonts w:ascii="Times New Roman" w:hAnsi="Times New Roman" w:cs="Times New Roman"/>
          <w:kern w:val="0"/>
          <w:sz w:val="24"/>
          <w:szCs w:val="24"/>
          <w14:ligatures w14:val="none"/>
        </w:rPr>
        <w:t xml:space="preserve"> nie znajdzie również zastosowania do kontroli i analiz będących we właściwości organów Krajowej Administracji Skarbowej</w:t>
      </w:r>
      <w:r w:rsidR="00C13958" w:rsidRPr="00C13958">
        <w:t xml:space="preserve"> </w:t>
      </w:r>
      <w:r w:rsidR="00C13958" w:rsidRPr="00C13958">
        <w:rPr>
          <w:rFonts w:ascii="Times New Roman" w:hAnsi="Times New Roman" w:cs="Times New Roman"/>
          <w:kern w:val="0"/>
          <w:sz w:val="24"/>
          <w:szCs w:val="24"/>
          <w14:ligatures w14:val="none"/>
        </w:rPr>
        <w:t>oraz do kontroli przeprowadzanych na podstawie ustawy z dnia 25 sierpnia 2006 r. o systemie monitorowania i kontrolowania jakości paliw.</w:t>
      </w:r>
    </w:p>
    <w:p w14:paraId="76746FCA" w14:textId="77777777" w:rsidR="00C13958" w:rsidRPr="00C13958" w:rsidRDefault="00C13958" w:rsidP="00C13958">
      <w:pPr>
        <w:spacing w:before="120" w:after="0" w:line="360" w:lineRule="auto"/>
        <w:jc w:val="both"/>
        <w:rPr>
          <w:rFonts w:ascii="Times New Roman" w:hAnsi="Times New Roman" w:cs="Times New Roman"/>
          <w:kern w:val="0"/>
          <w:sz w:val="24"/>
          <w:szCs w:val="24"/>
          <w14:ligatures w14:val="none"/>
        </w:rPr>
      </w:pPr>
      <w:r w:rsidRPr="00C13958">
        <w:rPr>
          <w:rFonts w:ascii="Times New Roman" w:hAnsi="Times New Roman" w:cs="Times New Roman"/>
          <w:kern w:val="0"/>
          <w:sz w:val="24"/>
          <w:szCs w:val="24"/>
          <w14:ligatures w14:val="none"/>
        </w:rPr>
        <w:t xml:space="preserve">Powyższe wyłączenie dla organów systemu monitorowania i kontrolowania jakości paliw  ma na celu zapewnienie sprawnego i skutecznego funkcjonowania  systemu. Zarządzającym systemem jest Prezes Urzędu Ochrony Konkurencji i Konsumentów. Ustawa swoim zakresem obejmuje kontrolę jakości paliw (paliwa ciekłe, biopaliwa ciekłe, paliwa odnawialne, gaz skroplony, sprężony gaz ziemny, skroplony gaz ziemny, lekki olej opałowy, ciężki olej opałowy, olej do silników statków żeglugi śródlądowej oraz wodór)  paliw stałych, a w </w:t>
      </w:r>
      <w:r w:rsidRPr="00C13958">
        <w:rPr>
          <w:rFonts w:ascii="Times New Roman" w:hAnsi="Times New Roman" w:cs="Times New Roman"/>
          <w:kern w:val="0"/>
          <w:sz w:val="24"/>
          <w:szCs w:val="24"/>
          <w14:ligatures w14:val="none"/>
        </w:rPr>
        <w:lastRenderedPageBreak/>
        <w:t>przyszłości ma również objąć swoim zakresem również biopaliwa stałe. Kontrole prowadzone są na wszystkich etapach obrotu i obejmują przedsiębiorców  wykonujących działalność gospodarczą w zakresie wytwarzania, transportowania oraz magazynowania paliw, wprowadzania do obrotu paliw stałych, prowadzących stacje paliwowe i stacje zakładowe.</w:t>
      </w:r>
    </w:p>
    <w:p w14:paraId="6BF1A146" w14:textId="55DA0CED" w:rsidR="00C13958" w:rsidRPr="00C13958" w:rsidRDefault="00C13958" w:rsidP="00C13958">
      <w:pPr>
        <w:spacing w:before="120" w:after="0" w:line="360" w:lineRule="auto"/>
        <w:jc w:val="both"/>
        <w:rPr>
          <w:rFonts w:ascii="Times New Roman" w:hAnsi="Times New Roman" w:cs="Times New Roman"/>
          <w:kern w:val="0"/>
          <w:sz w:val="24"/>
          <w:szCs w:val="24"/>
          <w14:ligatures w14:val="none"/>
        </w:rPr>
      </w:pPr>
      <w:r w:rsidRPr="00C13958">
        <w:rPr>
          <w:rFonts w:ascii="Times New Roman" w:hAnsi="Times New Roman" w:cs="Times New Roman"/>
          <w:kern w:val="0"/>
          <w:sz w:val="24"/>
          <w:szCs w:val="24"/>
          <w14:ligatures w14:val="none"/>
        </w:rPr>
        <w:t>Główna część podmiotów do kontroli wyznaczana jest w ramach planowego działania systemu, polegającego na monitorowaniu jakości paliw i paliw stałych, co następuje w drodze losowania. Minimalna liczba podmiotów/punktów losowanych w poszczególnych województwach zależy od liczby punktów wprowadzających do obrotu dane paliwo lub paliwo stałe w stosunku do liczby takich podmiotów/punktów na terenie całego kraju. W tym celu Zarządzający Systemem prowadzi bazę takich podmiotów/punktów, która jest aktualizowana w toku prowadzonych działań przez Inspekcję Handlową. Drugi sposób dotyczy kontroli jakości wodoru, gdzie częstotliwość kontroli przedsiębiorców wytwarzających, magazynujących, wprowadzających do obrotu, gromadzących w stacjach zakładowych, a także prowadzących hurtownie określa wprost przepis art. 13a ust. 1 ustawy o systemie</w:t>
      </w:r>
      <w:r w:rsidR="003C753E" w:rsidRPr="003C753E">
        <w:t xml:space="preserve"> </w:t>
      </w:r>
      <w:r w:rsidR="003C753E" w:rsidRPr="003C753E">
        <w:rPr>
          <w:rFonts w:ascii="Times New Roman" w:hAnsi="Times New Roman" w:cs="Times New Roman"/>
          <w:kern w:val="0"/>
          <w:sz w:val="24"/>
          <w:szCs w:val="24"/>
          <w14:ligatures w14:val="none"/>
        </w:rPr>
        <w:t>monitorowania i kontrolowania jakości paliw</w:t>
      </w:r>
      <w:r w:rsidRPr="00C13958">
        <w:rPr>
          <w:rFonts w:ascii="Times New Roman" w:hAnsi="Times New Roman" w:cs="Times New Roman"/>
          <w:kern w:val="0"/>
          <w:sz w:val="24"/>
          <w:szCs w:val="24"/>
          <w14:ligatures w14:val="none"/>
        </w:rPr>
        <w:t xml:space="preserve"> i kontrola tych podmiotów jest przeprowadzana raz na kwartał roku kalendarzowego. Ponadto w zakresie monitorowania jakości paliw ciekłych ustawa o systemie </w:t>
      </w:r>
      <w:r w:rsidR="003C753E" w:rsidRPr="003C753E">
        <w:rPr>
          <w:rFonts w:ascii="Times New Roman" w:hAnsi="Times New Roman" w:cs="Times New Roman"/>
          <w:kern w:val="0"/>
          <w:sz w:val="24"/>
          <w:szCs w:val="24"/>
          <w14:ligatures w14:val="none"/>
        </w:rPr>
        <w:t xml:space="preserve">monitorowania i kontrolowania jakości paliw </w:t>
      </w:r>
      <w:r w:rsidRPr="00C13958">
        <w:rPr>
          <w:rFonts w:ascii="Times New Roman" w:hAnsi="Times New Roman" w:cs="Times New Roman"/>
          <w:kern w:val="0"/>
          <w:sz w:val="24"/>
          <w:szCs w:val="24"/>
          <w14:ligatures w14:val="none"/>
        </w:rPr>
        <w:t>wdraża regulacje dyrektywy 98/70/WE Parlamentu Europejskiego i Rady z dnia 13 października 1998 r. odnoszącej się do jakości benzyny i olejów napędowych oraz zmieniającej dyrektywę Rady 93/12/EWG (Dz. Urz. UE L 350 z 28.12.1998 r., str. 58) oraz normy EN 14 274 Paliwa do pojazdów samochodowych – Ocena jakości benzyn i olejów napędowych – System monitoringu jakości paliw (FQMS). Wyniki monitoringu paliw ciekłych (benzyny i oleju napędowego) stanowią podstawę do sporządzenia corocznego raportu do KE dot</w:t>
      </w:r>
      <w:r w:rsidR="00DF7B91">
        <w:rPr>
          <w:rFonts w:ascii="Times New Roman" w:hAnsi="Times New Roman" w:cs="Times New Roman"/>
          <w:kern w:val="0"/>
          <w:sz w:val="24"/>
          <w:szCs w:val="24"/>
          <w14:ligatures w14:val="none"/>
        </w:rPr>
        <w:t>yczącego</w:t>
      </w:r>
      <w:r w:rsidRPr="00C13958">
        <w:rPr>
          <w:rFonts w:ascii="Times New Roman" w:hAnsi="Times New Roman" w:cs="Times New Roman"/>
          <w:kern w:val="0"/>
          <w:sz w:val="24"/>
          <w:szCs w:val="24"/>
          <w14:ligatures w14:val="none"/>
        </w:rPr>
        <w:t xml:space="preserve"> jakości paliw ciekłych w Polsce, natomiast wyniki monitoringu zwartości siarki w lekkim oleju opałowym, w ciężkim oleju opałowym i w olej do silników statków żeglugi śródlądowej ( na podstawie danych z GIOŚ) – do raportu do KE dot. zawartości siarki w tych paliwach.</w:t>
      </w:r>
    </w:p>
    <w:p w14:paraId="30802CFF" w14:textId="5853737E" w:rsidR="00A97477" w:rsidRPr="006D59BB" w:rsidRDefault="00C13958" w:rsidP="006D59BB">
      <w:pPr>
        <w:spacing w:before="120" w:after="0" w:line="360" w:lineRule="auto"/>
        <w:jc w:val="both"/>
        <w:rPr>
          <w:rFonts w:ascii="Times New Roman" w:hAnsi="Times New Roman" w:cs="Times New Roman"/>
          <w:kern w:val="0"/>
          <w:sz w:val="24"/>
          <w:szCs w:val="24"/>
          <w14:ligatures w14:val="none"/>
        </w:rPr>
      </w:pPr>
      <w:r w:rsidRPr="00C13958">
        <w:rPr>
          <w:rFonts w:ascii="Times New Roman" w:hAnsi="Times New Roman" w:cs="Times New Roman"/>
          <w:kern w:val="0"/>
          <w:sz w:val="24"/>
          <w:szCs w:val="24"/>
          <w14:ligatures w14:val="none"/>
        </w:rPr>
        <w:t>Jak wynika z powyższego, ustawa o systemie monitorowania i kontrolowania jakości paliw w odniesieniu do kontroli planowych tylko w zakresie wodoru określa ich częstotliwość. Natomiast w przypadku pozostałych rodzajów paliw i paliw stałych podmioty do kontroli są zgodnie z przepisami ustawy wyznaczane przez Zarządzającego przez losowanie. Z tego powodu niezasadne byłoby objęcie systemu nowymi ograniczeniami częstotliwości przeprowadzania kontroli planowych, o których mowa w art. 55a Pp.</w:t>
      </w:r>
      <w:r w:rsidR="00A97477" w:rsidRPr="006D59BB">
        <w:rPr>
          <w:rFonts w:ascii="Times New Roman" w:hAnsi="Times New Roman" w:cs="Times New Roman"/>
          <w:kern w:val="0"/>
          <w:sz w:val="24"/>
          <w:szCs w:val="24"/>
          <w14:ligatures w14:val="none"/>
        </w:rPr>
        <w:t xml:space="preserve"> </w:t>
      </w:r>
    </w:p>
    <w:p w14:paraId="120D47CB" w14:textId="7A47D340" w:rsidR="002070A7" w:rsidRPr="006D59BB" w:rsidRDefault="002070A7" w:rsidP="006D59BB">
      <w:pPr>
        <w:spacing w:before="120" w:after="0" w:line="360" w:lineRule="auto"/>
        <w:jc w:val="both"/>
        <w:rPr>
          <w:rFonts w:ascii="Times New Roman" w:hAnsi="Times New Roman" w:cs="Times New Roman"/>
          <w:kern w:val="0"/>
          <w:sz w:val="24"/>
          <w:szCs w:val="24"/>
          <w14:ligatures w14:val="none"/>
        </w:rPr>
      </w:pPr>
      <w:r w:rsidRPr="006D59BB">
        <w:rPr>
          <w:rFonts w:ascii="Times New Roman" w:hAnsi="Times New Roman" w:cs="Times New Roman"/>
          <w:kern w:val="0"/>
          <w:sz w:val="24"/>
          <w:szCs w:val="24"/>
          <w14:ligatures w14:val="none"/>
        </w:rPr>
        <w:lastRenderedPageBreak/>
        <w:t xml:space="preserve">Ograniczenia częstotliwości kontroli planowych w przypadku kontroli działalności średnich przedsiębiorców oraz przedsiębiorców, których skala działalności jest jeszcze większa i niezaliczanych przez to do sektora MŚP, będą stosowane do każdego zakładu lub innej wyodrębnionej części przedsiębiorstwa oddzielnie. Oznacza to, że organ kontroli, który wyczerpał już limit z art. 55a ust. 1 </w:t>
      </w:r>
      <w:proofErr w:type="spellStart"/>
      <w:r w:rsidRPr="006D59BB">
        <w:rPr>
          <w:rFonts w:ascii="Times New Roman" w:hAnsi="Times New Roman" w:cs="Times New Roman"/>
          <w:kern w:val="0"/>
          <w:sz w:val="24"/>
          <w:szCs w:val="24"/>
          <w14:ligatures w14:val="none"/>
        </w:rPr>
        <w:t>Pp</w:t>
      </w:r>
      <w:proofErr w:type="spellEnd"/>
      <w:r w:rsidRPr="006D59BB">
        <w:rPr>
          <w:rFonts w:ascii="Times New Roman" w:hAnsi="Times New Roman" w:cs="Times New Roman"/>
          <w:kern w:val="0"/>
          <w:sz w:val="24"/>
          <w:szCs w:val="24"/>
          <w14:ligatures w14:val="none"/>
        </w:rPr>
        <w:t xml:space="preserve"> w jednym zakładzie należącym do przedsiębiorcy posiadającego dziesiątki lub setki zakładów lub innych wyodrębnionych części przedsiębiorstwa, będzie mógł przeprowadzić kontrolę w innym zakładzie bądź innej wyodrębnionej części przedsiębiorstwa, jeżeli limit liczony dla tego zakładu bądź dla tej wyodrębnionej części przedsiębiorstwa nie został wyczerpany. Zapobiegnie to sytuacji, w której organ kontroli po skontrolowaniu jednej lokalnej placówki sprzedaży należącej do dużej sieci handlowej straci możliwość przeprowadzania kontroli planowej w innych lokalizacjach w całym kraju.</w:t>
      </w:r>
    </w:p>
    <w:p w14:paraId="2287E1D5" w14:textId="77777777" w:rsidR="002070A7" w:rsidRPr="006D59BB" w:rsidRDefault="002070A7" w:rsidP="006D59BB">
      <w:pPr>
        <w:spacing w:before="120" w:after="0" w:line="360" w:lineRule="auto"/>
        <w:jc w:val="both"/>
        <w:rPr>
          <w:rFonts w:ascii="Times New Roman" w:hAnsi="Times New Roman" w:cs="Times New Roman"/>
          <w:kern w:val="0"/>
          <w:sz w:val="24"/>
          <w:szCs w:val="24"/>
          <w14:ligatures w14:val="none"/>
        </w:rPr>
      </w:pPr>
      <w:r w:rsidRPr="006D59BB">
        <w:rPr>
          <w:rFonts w:ascii="Times New Roman" w:hAnsi="Times New Roman" w:cs="Times New Roman"/>
          <w:kern w:val="0"/>
          <w:sz w:val="24"/>
          <w:szCs w:val="24"/>
          <w14:ligatures w14:val="none"/>
        </w:rPr>
        <w:t xml:space="preserve">Wymaga podkreślenia, że organ kontroli nieustannie aktualizuje analizy prawdopodobieństwa naruszenia prawa, o których mowa w art. 47 ust. 1 Pp. W konsekwencji organ kontroli może w zaktualizowanej analizie przypisać przedsiębiorcy wyższą kategorię ryzyka niż do tej pory. Oznacza to, że kontrolowany przedsiębiorca nie może zakładać niezmienności swojej kategorii ryzyka w danym okresie czasu i limitu częstotliwości kontroli z tego wynikającej. Aktualizacja analiz powinna z reguły następować z upływem okresu objętego analizą, natomiast nie powinna być dokonywana jedynie w związku z powstaniem nagłego uzasadnionego podejrzenia naruszenia prawa i potrzebą przeprowadzenia pilnej dodatkowej kontroli, przekraczającej limit z art. 55a. W takim przypadku powinna bowiem zostać podjęta kontrola doraźna (art. 47 ust. 2 </w:t>
      </w:r>
      <w:proofErr w:type="spellStart"/>
      <w:r w:rsidRPr="006D59BB">
        <w:rPr>
          <w:rFonts w:ascii="Times New Roman" w:hAnsi="Times New Roman" w:cs="Times New Roman"/>
          <w:kern w:val="0"/>
          <w:sz w:val="24"/>
          <w:szCs w:val="24"/>
          <w14:ligatures w14:val="none"/>
        </w:rPr>
        <w:t>Pp</w:t>
      </w:r>
      <w:proofErr w:type="spellEnd"/>
      <w:r w:rsidRPr="006D59BB">
        <w:rPr>
          <w:rFonts w:ascii="Times New Roman" w:hAnsi="Times New Roman" w:cs="Times New Roman"/>
          <w:kern w:val="0"/>
          <w:sz w:val="24"/>
          <w:szCs w:val="24"/>
          <w14:ligatures w14:val="none"/>
        </w:rPr>
        <w:t>), a dopiero wyniki i wnioski z tej kontroli mogą wpłynąć na ewentualne podwyższenie kategorii ryzyka przedsiębiorcy w następnej, zaktualizowanej analizie. Proces planowania i przeprowadzania analiz poprzedzający kontrole planowe jest bowiem podejmowany na przyszłość, dla szerokich obszarów podmiotowych i przedmiotowych objętych kontrolą, a nie dla celu uzasadnienia przeprowadzenia kontroli doraźnej.</w:t>
      </w:r>
    </w:p>
    <w:bookmarkEnd w:id="42"/>
    <w:p w14:paraId="5B11136D" w14:textId="77777777" w:rsidR="00CA5E6E" w:rsidRPr="006D59BB" w:rsidRDefault="00CA5E6E" w:rsidP="006D59BB">
      <w:pPr>
        <w:pStyle w:val="Akapitzlist"/>
        <w:numPr>
          <w:ilvl w:val="0"/>
          <w:numId w:val="2"/>
        </w:numPr>
        <w:tabs>
          <w:tab w:val="left" w:pos="426"/>
        </w:tabs>
        <w:spacing w:before="120" w:after="0" w:line="360" w:lineRule="auto"/>
        <w:ind w:left="0" w:firstLine="0"/>
        <w:jc w:val="both"/>
        <w:rPr>
          <w:rFonts w:ascii="Times New Roman" w:hAnsi="Times New Roman" w:cs="Times New Roman"/>
          <w:sz w:val="24"/>
          <w:szCs w:val="24"/>
        </w:rPr>
      </w:pPr>
      <w:r w:rsidRPr="006D59BB">
        <w:rPr>
          <w:rFonts w:ascii="Times New Roman" w:hAnsi="Times New Roman" w:cs="Times New Roman"/>
          <w:sz w:val="24"/>
          <w:szCs w:val="24"/>
        </w:rPr>
        <w:t>Sprzeciw wobec czynności kontrolnych.</w:t>
      </w:r>
    </w:p>
    <w:p w14:paraId="39233502" w14:textId="0D9E4965" w:rsidR="00CA5E6E" w:rsidRPr="006D59BB" w:rsidRDefault="00CA5E6E" w:rsidP="006D59BB">
      <w:pPr>
        <w:spacing w:before="120" w:after="0" w:line="360" w:lineRule="auto"/>
        <w:contextualSpacing/>
        <w:jc w:val="both"/>
        <w:rPr>
          <w:rFonts w:ascii="Times New Roman" w:hAnsi="Times New Roman" w:cs="Times New Roman"/>
          <w:kern w:val="0"/>
          <w:sz w:val="24"/>
          <w:szCs w:val="24"/>
          <w14:ligatures w14:val="none"/>
        </w:rPr>
      </w:pPr>
      <w:r w:rsidRPr="006D59BB">
        <w:rPr>
          <w:rFonts w:ascii="Times New Roman" w:hAnsi="Times New Roman" w:cs="Times New Roman"/>
          <w:kern w:val="0"/>
          <w:sz w:val="24"/>
          <w:szCs w:val="24"/>
          <w14:ligatures w14:val="none"/>
        </w:rPr>
        <w:t xml:space="preserve">Zmiana w zakresie art. 59 </w:t>
      </w:r>
      <w:proofErr w:type="spellStart"/>
      <w:r w:rsidRPr="006D59BB">
        <w:rPr>
          <w:rFonts w:ascii="Times New Roman" w:hAnsi="Times New Roman" w:cs="Times New Roman"/>
          <w:kern w:val="0"/>
          <w:sz w:val="24"/>
          <w:szCs w:val="24"/>
          <w14:ligatures w14:val="none"/>
        </w:rPr>
        <w:t>Pp</w:t>
      </w:r>
      <w:proofErr w:type="spellEnd"/>
      <w:r w:rsidRPr="006D59BB">
        <w:rPr>
          <w:rFonts w:ascii="Times New Roman" w:hAnsi="Times New Roman" w:cs="Times New Roman"/>
          <w:kern w:val="0"/>
          <w:sz w:val="24"/>
          <w:szCs w:val="24"/>
          <w14:ligatures w14:val="none"/>
        </w:rPr>
        <w:t xml:space="preserve"> ma na celu umożliwienie wniesienia sprzeciwu wobec czynności kontrolnych bez jednoczesnego wstrzymania czynności kontrolnych, w przypadku gdy organ przeprowadzając kontrolę powołuje się na wyłączenia ograniczeń kontroli działalności gospodarczej. </w:t>
      </w:r>
      <w:r w:rsidR="00106DC1" w:rsidRPr="006D59BB">
        <w:rPr>
          <w:rFonts w:ascii="Times New Roman" w:hAnsi="Times New Roman" w:cs="Times New Roman"/>
          <w:kern w:val="0"/>
          <w:sz w:val="24"/>
          <w:szCs w:val="24"/>
          <w14:ligatures w14:val="none"/>
        </w:rPr>
        <w:t xml:space="preserve">Oznacza to, że organ kontroli będzie mógł kontynuować czynności kontrolne pomimo wniesienia takiego sprzeciwu, a zatem nie będzie musiał wstrzymać czynności kontrolnych do czasu wydania postanowienia o kontynuowaniu czynności kontrolnych, jak w </w:t>
      </w:r>
      <w:r w:rsidR="00106DC1" w:rsidRPr="006D59BB">
        <w:rPr>
          <w:rFonts w:ascii="Times New Roman" w:hAnsi="Times New Roman" w:cs="Times New Roman"/>
          <w:kern w:val="0"/>
          <w:sz w:val="24"/>
          <w:szCs w:val="24"/>
          <w14:ligatures w14:val="none"/>
        </w:rPr>
        <w:lastRenderedPageBreak/>
        <w:t xml:space="preserve">przypadku pozostałych sprzeciwów. </w:t>
      </w:r>
      <w:r w:rsidRPr="006D59BB">
        <w:rPr>
          <w:rFonts w:ascii="Times New Roman" w:hAnsi="Times New Roman" w:cs="Times New Roman"/>
          <w:kern w:val="0"/>
          <w:sz w:val="24"/>
          <w:szCs w:val="24"/>
          <w14:ligatures w14:val="none"/>
        </w:rPr>
        <w:t xml:space="preserve">Propozycja umożliwi np. wydanie postanowienia o odstąpieniu od czynności kontrolnych, gdy kontrola trwa zbyt długo </w:t>
      </w:r>
      <w:r w:rsidR="00106DC1" w:rsidRPr="006D59BB">
        <w:rPr>
          <w:rFonts w:ascii="Times New Roman" w:hAnsi="Times New Roman" w:cs="Times New Roman"/>
          <w:kern w:val="0"/>
          <w:sz w:val="24"/>
          <w:szCs w:val="24"/>
          <w14:ligatures w14:val="none"/>
        </w:rPr>
        <w:t>i</w:t>
      </w:r>
      <w:r w:rsidRPr="006D59BB">
        <w:rPr>
          <w:rFonts w:ascii="Times New Roman" w:hAnsi="Times New Roman" w:cs="Times New Roman"/>
          <w:kern w:val="0"/>
          <w:sz w:val="24"/>
          <w:szCs w:val="24"/>
          <w14:ligatures w14:val="none"/>
        </w:rPr>
        <w:t xml:space="preserve"> nie ma w rzeczywistości na celu przeciwdziałania popełnieniu czynu zabronionego</w:t>
      </w:r>
      <w:r w:rsidR="00106DC1" w:rsidRPr="006D59BB">
        <w:rPr>
          <w:rFonts w:ascii="Times New Roman" w:hAnsi="Times New Roman" w:cs="Times New Roman"/>
          <w:kern w:val="0"/>
          <w:sz w:val="24"/>
          <w:szCs w:val="24"/>
          <w14:ligatures w14:val="none"/>
        </w:rPr>
        <w:t>, jednocześnie nie utrudni organom kontroli reagowania na przypadki rażącego naruszenia prawa. W</w:t>
      </w:r>
      <w:r w:rsidR="00B976D2" w:rsidRPr="006D59BB">
        <w:rPr>
          <w:rFonts w:ascii="Times New Roman" w:hAnsi="Times New Roman" w:cs="Times New Roman"/>
          <w:kern w:val="0"/>
          <w:sz w:val="24"/>
          <w:szCs w:val="24"/>
          <w14:ligatures w14:val="none"/>
        </w:rPr>
        <w:t> </w:t>
      </w:r>
      <w:r w:rsidR="00106DC1" w:rsidRPr="006D59BB">
        <w:rPr>
          <w:rFonts w:ascii="Times New Roman" w:hAnsi="Times New Roman" w:cs="Times New Roman"/>
          <w:kern w:val="0"/>
          <w:sz w:val="24"/>
          <w:szCs w:val="24"/>
          <w14:ligatures w14:val="none"/>
        </w:rPr>
        <w:t>przypadku rozpatrzenia sprzeciwu i wydania postanowienia już po zakończeniu kontroli, rozstrzygnięcie o odstąpieniu od czynności kontrolnych albo o kontynuowaniu czynności kontrolnych byłoby bezprzedmiotowe, a zatem organ kontroli umorzy postępowanie.</w:t>
      </w:r>
      <w:r w:rsidRPr="006D59BB">
        <w:rPr>
          <w:rFonts w:ascii="Times New Roman" w:hAnsi="Times New Roman" w:cs="Times New Roman"/>
          <w:kern w:val="0"/>
          <w:sz w:val="24"/>
          <w:szCs w:val="24"/>
          <w14:ligatures w14:val="none"/>
        </w:rPr>
        <w:t xml:space="preserve"> Samo powołanie się przez organ na przepisy art. 48 ust. 11 pkt 2, art. 50 ust. 2 pkt 2, art. 54 ust. 1 pkt 2, art. 55 ust. 2 pkt 2 oraz art. 62 </w:t>
      </w:r>
      <w:proofErr w:type="spellStart"/>
      <w:r w:rsidRPr="006D59BB">
        <w:rPr>
          <w:rFonts w:ascii="Times New Roman" w:hAnsi="Times New Roman" w:cs="Times New Roman"/>
          <w:kern w:val="0"/>
          <w:sz w:val="24"/>
          <w:szCs w:val="24"/>
          <w14:ligatures w14:val="none"/>
        </w:rPr>
        <w:t>Pp</w:t>
      </w:r>
      <w:proofErr w:type="spellEnd"/>
      <w:r w:rsidRPr="006D59BB">
        <w:rPr>
          <w:rFonts w:ascii="Times New Roman" w:hAnsi="Times New Roman" w:cs="Times New Roman"/>
          <w:kern w:val="0"/>
          <w:sz w:val="24"/>
          <w:szCs w:val="24"/>
          <w14:ligatures w14:val="none"/>
        </w:rPr>
        <w:t xml:space="preserve"> nie pozbawi już kontrolowanego, jak dotąd, możliwości wniesienia sprzeciwu, a więc środka prawnego umożliwiającego weryfikację, czy przesłanki wyłączenia niektórych zasad kontroli zostały spełnione, a w przypadku odpowiedzi negatywnej również sprawdzenia, czy przepisy te zostały naruszone. Oznacza to, że w takim przypadku organ będzie ewentualnie obowiązany wykazać zasadność zastosowania przez siebie przesłanek wyłączających. W dalszej kolejności rozpatrzenie sprzeciwu może otworzyć przedsiębiorcy drogę do wniesienia skargi na przewlekłe prowadzenie kontroli na podstawie art. 59 ust. 14 Pp.</w:t>
      </w:r>
    </w:p>
    <w:p w14:paraId="2CF0C030" w14:textId="3D282DDF" w:rsidR="002A6303" w:rsidRPr="006D59BB" w:rsidRDefault="00CA5E6E" w:rsidP="006D59BB">
      <w:pPr>
        <w:spacing w:before="120" w:after="0" w:line="360" w:lineRule="auto"/>
        <w:contextualSpacing/>
        <w:jc w:val="both"/>
        <w:rPr>
          <w:rFonts w:ascii="Times New Roman" w:hAnsi="Times New Roman" w:cs="Times New Roman"/>
          <w:kern w:val="0"/>
          <w:sz w:val="24"/>
          <w:szCs w:val="24"/>
          <w14:ligatures w14:val="none"/>
        </w:rPr>
      </w:pPr>
      <w:r w:rsidRPr="006D59BB">
        <w:rPr>
          <w:rFonts w:ascii="Times New Roman" w:hAnsi="Times New Roman" w:cs="Times New Roman"/>
          <w:kern w:val="0"/>
          <w:sz w:val="24"/>
          <w:szCs w:val="24"/>
          <w14:ligatures w14:val="none"/>
        </w:rPr>
        <w:t xml:space="preserve">Ponadto zmiany w art. 59 </w:t>
      </w:r>
      <w:proofErr w:type="spellStart"/>
      <w:r w:rsidRPr="006D59BB">
        <w:rPr>
          <w:rFonts w:ascii="Times New Roman" w:hAnsi="Times New Roman" w:cs="Times New Roman"/>
          <w:kern w:val="0"/>
          <w:sz w:val="24"/>
          <w:szCs w:val="24"/>
          <w14:ligatures w14:val="none"/>
        </w:rPr>
        <w:t>Pp</w:t>
      </w:r>
      <w:proofErr w:type="spellEnd"/>
      <w:r w:rsidRPr="006D59BB">
        <w:rPr>
          <w:rFonts w:ascii="Times New Roman" w:hAnsi="Times New Roman" w:cs="Times New Roman"/>
          <w:kern w:val="0"/>
          <w:sz w:val="24"/>
          <w:szCs w:val="24"/>
          <w14:ligatures w14:val="none"/>
        </w:rPr>
        <w:t xml:space="preserve"> zapewniają kontrolowanemu możliwość wniesienia sprzeciwu wobec podjęcia i wykonywania przez organ kontroli czynności z naruszeniem nowych ograniczeń określonych w dodanym art. 55a Pp.</w:t>
      </w:r>
      <w:r w:rsidR="00106DC1" w:rsidRPr="006D59BB">
        <w:rPr>
          <w:rFonts w:ascii="Times New Roman" w:hAnsi="Times New Roman" w:cs="Times New Roman"/>
          <w:kern w:val="0"/>
          <w:sz w:val="24"/>
          <w:szCs w:val="24"/>
          <w14:ligatures w14:val="none"/>
        </w:rPr>
        <w:t xml:space="preserve"> Sprzeciw nie będzie natomiast przysługiwał na zastosowanie przez organ art. 48 ust. 12 (zażądanie przez organ kontroli w trakcie kontroli dodatkowych dokumentów lub informacji) ani na przypisanie przedsiębiorcy do niewłaściwej, zdaniem przedsiębiorcy, kategorii ryzyka (bowiem te wynikają z analizy, o której mowa w art. 47 ust. 1 </w:t>
      </w:r>
      <w:proofErr w:type="spellStart"/>
      <w:r w:rsidR="00106DC1" w:rsidRPr="006D59BB">
        <w:rPr>
          <w:rFonts w:ascii="Times New Roman" w:hAnsi="Times New Roman" w:cs="Times New Roman"/>
          <w:kern w:val="0"/>
          <w:sz w:val="24"/>
          <w:szCs w:val="24"/>
          <w14:ligatures w14:val="none"/>
        </w:rPr>
        <w:t>Pp</w:t>
      </w:r>
      <w:proofErr w:type="spellEnd"/>
      <w:r w:rsidR="00106DC1" w:rsidRPr="006D59BB">
        <w:rPr>
          <w:rFonts w:ascii="Times New Roman" w:hAnsi="Times New Roman" w:cs="Times New Roman"/>
          <w:kern w:val="0"/>
          <w:sz w:val="24"/>
          <w:szCs w:val="24"/>
          <w14:ligatures w14:val="none"/>
        </w:rPr>
        <w:t>, która nie podlega zaskarżeniu).</w:t>
      </w:r>
    </w:p>
    <w:p w14:paraId="45A96882" w14:textId="77777777" w:rsidR="004B65F9" w:rsidRPr="006D59BB" w:rsidRDefault="004B65F9" w:rsidP="006D59BB">
      <w:pPr>
        <w:pStyle w:val="Akapitzlist"/>
        <w:numPr>
          <w:ilvl w:val="0"/>
          <w:numId w:val="2"/>
        </w:numPr>
        <w:tabs>
          <w:tab w:val="left" w:pos="426"/>
        </w:tabs>
        <w:spacing w:before="120" w:after="0" w:line="360" w:lineRule="auto"/>
        <w:ind w:left="0" w:firstLine="0"/>
        <w:jc w:val="both"/>
        <w:rPr>
          <w:rFonts w:ascii="Times New Roman" w:hAnsi="Times New Roman" w:cs="Times New Roman"/>
          <w:sz w:val="24"/>
          <w:szCs w:val="24"/>
        </w:rPr>
      </w:pPr>
      <w:r w:rsidRPr="006D59BB">
        <w:rPr>
          <w:rFonts w:ascii="Times New Roman" w:hAnsi="Times New Roman" w:cs="Times New Roman"/>
          <w:sz w:val="24"/>
          <w:szCs w:val="24"/>
        </w:rPr>
        <w:t>Wyłączenie stosowania przepisów art. 47 i 55a ustawy – Prawo przedsiębiorców do kontroli działalności gospodarczej przedsiębiorców w zakresie objętym nadzorem weterynaryjnym (art. 62 ust. 2 ustawy – Prawo przedsiębiorców).</w:t>
      </w:r>
    </w:p>
    <w:p w14:paraId="0F1B1DE5" w14:textId="46CE5EB6" w:rsidR="004B65F9" w:rsidRPr="006D59BB" w:rsidRDefault="004B65F9"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 xml:space="preserve">Zasady przeprowadzania kontroli w zakresie objętym nadzorem weterynaryjnym, o którym mowa w art. 62 ust. 2 ustawy – Prawo przedsiębiorców, w tym dotyczące dokonywania oceny ryzyka oraz częstotliwości przeprowadzania kontroli, zostały określone w rozporządzeniu Parlamentu Europejskiego i Rady (UE) 2017/625 (rozporządzenie w sprawie kontroli urzędowych), rozporządzeniu Parlamentu Europejskiego i Rady (UE) 2019/6 (rozporządzenie w sprawie weterynaryjnych produktów leczniczych i uchylające dyrektywę 2001/82/WE) oraz w przepisach wykonawczych do ww. rozporządzeń, np. w rozporządzeniu wykonawczym Komisji (UE) 2019/627 ustanawiającym jednolite praktyczne rozwiązania dotyczące </w:t>
      </w:r>
      <w:r w:rsidRPr="006D59BB">
        <w:rPr>
          <w:rFonts w:ascii="Times New Roman" w:hAnsi="Times New Roman" w:cs="Times New Roman"/>
          <w:sz w:val="24"/>
          <w:szCs w:val="24"/>
        </w:rPr>
        <w:lastRenderedPageBreak/>
        <w:t xml:space="preserve">przeprowadzania kontroli urzędowych produktów pochodzenia zwierzęcego przeznaczonych do spożycia przez ludzi zgodnie z rozporządzeniem Parlamentu Europejskiego i Rady (UE) 2017/625 oraz zmieniającym rozporządzenie Komisji (WE) nr 2074/2005 w odniesieniu do kontroli urzędowych. Dokonując oceny ryzyka oraz ustalając częstotliwość kontroli, terenowe organy Inspekcji Weterynaryjnej są zobowiązane przestrzegać ogólnych założeń ujednoliconych dla wszystkich państw członkowskich </w:t>
      </w:r>
      <w:r w:rsidR="00912741" w:rsidRPr="006D59BB">
        <w:rPr>
          <w:rFonts w:ascii="Times New Roman" w:hAnsi="Times New Roman" w:cs="Times New Roman"/>
          <w:sz w:val="24"/>
          <w:szCs w:val="24"/>
        </w:rPr>
        <w:t>Unii Europejskiej (</w:t>
      </w:r>
      <w:r w:rsidRPr="006D59BB">
        <w:rPr>
          <w:rFonts w:ascii="Times New Roman" w:hAnsi="Times New Roman" w:cs="Times New Roman"/>
          <w:sz w:val="24"/>
          <w:szCs w:val="24"/>
        </w:rPr>
        <w:t>UE</w:t>
      </w:r>
      <w:r w:rsidR="00912741" w:rsidRPr="006D59BB">
        <w:rPr>
          <w:rFonts w:ascii="Times New Roman" w:hAnsi="Times New Roman" w:cs="Times New Roman"/>
          <w:sz w:val="24"/>
          <w:szCs w:val="24"/>
        </w:rPr>
        <w:t>)</w:t>
      </w:r>
      <w:r w:rsidRPr="006D59BB">
        <w:rPr>
          <w:rFonts w:ascii="Times New Roman" w:hAnsi="Times New Roman" w:cs="Times New Roman"/>
          <w:sz w:val="24"/>
          <w:szCs w:val="24"/>
        </w:rPr>
        <w:t>, zawartych właśnie w wyżej wskazanych rozporządzeniach.</w:t>
      </w:r>
    </w:p>
    <w:p w14:paraId="15ED292E" w14:textId="21C8ACDB" w:rsidR="004B65F9" w:rsidRPr="006D59BB" w:rsidRDefault="004B65F9"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 xml:space="preserve">Zakres regulacji projektowanych przepisów, które mają być zawarte w art. 47 i art. 55a ustawy – Prawo przedsiębiorców, pokrywa się z zakresem regulacji wyżej wymienionych rozporządzeń UE. Celowe jest więc wyłączenie ich stosowania do kontroli działalności gospodarczej przedsiębiorców w zakresie objętym nadzorem weterynaryjnym. Wprawdzie nowy art. 55a ust. 2 wprost stanowi, że reguły określonej w ust. 1 nie stosuje się, w przypadkach gdy ratyfikowane umowy międzynarodowe albo bezpośrednio stosowane przepisy prawa </w:t>
      </w:r>
      <w:r w:rsidR="00912741" w:rsidRPr="006D59BB">
        <w:rPr>
          <w:rFonts w:ascii="Times New Roman" w:hAnsi="Times New Roman" w:cs="Times New Roman"/>
          <w:sz w:val="24"/>
          <w:szCs w:val="24"/>
        </w:rPr>
        <w:t>UE</w:t>
      </w:r>
      <w:r w:rsidRPr="006D59BB">
        <w:rPr>
          <w:rFonts w:ascii="Times New Roman" w:hAnsi="Times New Roman" w:cs="Times New Roman"/>
          <w:sz w:val="24"/>
          <w:szCs w:val="24"/>
        </w:rPr>
        <w:t xml:space="preserve"> albo przepisy odrębne określają inaczej częstotliwość przeprowadzania kontroli, jednakże zasadne jest uzupełnienie katalogu wyłączonych przepisów w art. 62 ust. 2 o art. 47 i 55a, aby był on możliwie kompletny i miał większe walory informacyjne (dzięki wymienieniu w nim wszystkich przepisów, które nie znajdą zastosowania do kontroli działalności gospodarczej przedsiębiorców w zakresie objętym nadzorem weterynaryjnym).</w:t>
      </w:r>
    </w:p>
    <w:p w14:paraId="348C4103" w14:textId="61EB7EF5" w:rsidR="00961F72" w:rsidRPr="006D59BB" w:rsidRDefault="003E3BBC" w:rsidP="006D59BB">
      <w:pPr>
        <w:pStyle w:val="Akapitzlist"/>
        <w:numPr>
          <w:ilvl w:val="0"/>
          <w:numId w:val="2"/>
        </w:numPr>
        <w:tabs>
          <w:tab w:val="left" w:pos="426"/>
        </w:tabs>
        <w:spacing w:before="120" w:after="0" w:line="360" w:lineRule="auto"/>
        <w:ind w:left="0" w:firstLine="0"/>
        <w:jc w:val="both"/>
        <w:rPr>
          <w:rFonts w:ascii="Times New Roman" w:hAnsi="Times New Roman" w:cs="Times New Roman"/>
          <w:sz w:val="24"/>
          <w:szCs w:val="24"/>
        </w:rPr>
      </w:pPr>
      <w:r w:rsidRPr="006D59BB">
        <w:rPr>
          <w:rFonts w:ascii="Times New Roman" w:hAnsi="Times New Roman" w:cs="Times New Roman"/>
          <w:sz w:val="24"/>
          <w:szCs w:val="24"/>
        </w:rPr>
        <w:t xml:space="preserve">Prawo gospodarcze przyjazne przedsiębiorcom (nowelizacja rozdziału 6 </w:t>
      </w:r>
      <w:proofErr w:type="spellStart"/>
      <w:r w:rsidRPr="006D59BB">
        <w:rPr>
          <w:rFonts w:ascii="Times New Roman" w:hAnsi="Times New Roman" w:cs="Times New Roman"/>
          <w:sz w:val="24"/>
          <w:szCs w:val="24"/>
        </w:rPr>
        <w:t>Pp</w:t>
      </w:r>
      <w:proofErr w:type="spellEnd"/>
      <w:r w:rsidRPr="006D59BB">
        <w:rPr>
          <w:rFonts w:ascii="Times New Roman" w:hAnsi="Times New Roman" w:cs="Times New Roman"/>
          <w:sz w:val="24"/>
          <w:szCs w:val="24"/>
        </w:rPr>
        <w:t>)</w:t>
      </w:r>
      <w:r w:rsidR="00B319E5" w:rsidRPr="006D59BB">
        <w:rPr>
          <w:rFonts w:ascii="Times New Roman" w:hAnsi="Times New Roman" w:cs="Times New Roman"/>
          <w:sz w:val="24"/>
          <w:szCs w:val="24"/>
        </w:rPr>
        <w:t>.</w:t>
      </w:r>
    </w:p>
    <w:p w14:paraId="66C463DF" w14:textId="7D0BF7E8" w:rsidR="003E3BBC" w:rsidRPr="006D59BB" w:rsidRDefault="003E3BBC" w:rsidP="006D59BB">
      <w:pPr>
        <w:spacing w:before="120" w:after="0" w:line="360" w:lineRule="auto"/>
        <w:jc w:val="both"/>
        <w:rPr>
          <w:rFonts w:ascii="Times New Roman" w:eastAsia="Aptos" w:hAnsi="Times New Roman" w:cs="Times New Roman"/>
          <w:sz w:val="24"/>
          <w:szCs w:val="24"/>
        </w:rPr>
      </w:pPr>
      <w:r w:rsidRPr="006D59BB">
        <w:rPr>
          <w:rFonts w:ascii="Times New Roman" w:eastAsia="Aptos" w:hAnsi="Times New Roman" w:cs="Times New Roman"/>
          <w:sz w:val="24"/>
          <w:szCs w:val="24"/>
        </w:rPr>
        <w:t xml:space="preserve">Konieczność nowelizacji </w:t>
      </w:r>
      <w:proofErr w:type="spellStart"/>
      <w:r w:rsidRPr="006D59BB">
        <w:rPr>
          <w:rFonts w:ascii="Times New Roman" w:eastAsia="Aptos" w:hAnsi="Times New Roman" w:cs="Times New Roman"/>
          <w:sz w:val="24"/>
          <w:szCs w:val="24"/>
        </w:rPr>
        <w:t>Pp</w:t>
      </w:r>
      <w:proofErr w:type="spellEnd"/>
      <w:r w:rsidRPr="006D59BB">
        <w:rPr>
          <w:rFonts w:ascii="Times New Roman" w:eastAsia="Aptos" w:hAnsi="Times New Roman" w:cs="Times New Roman"/>
          <w:sz w:val="24"/>
          <w:szCs w:val="24"/>
        </w:rPr>
        <w:t xml:space="preserve"> w zakresie wprowadzenia ogólnych zasad stanowienia prawa przyjaznego przedsiębiorcom wynika z postulatów organizacji przedsiębiorców, z wyników oceny funkcjonowania ustaw pakietu tzw. Konstytucji biznesu, w tym doświadczeń płynących z obowiązywania obecnych przepisów w zakresie dokonywania przeglądu funkcjonowania aktów normatywnych określających zasady podejmowania, wykonywania lub zakończenia działalności gospodarczej. Uzasadnieniem proponowanych zmian są również postulaty ujęte w Dezyderacie nr 1 sejmowej Komisji Gospodarki i</w:t>
      </w:r>
      <w:r w:rsidR="006100AF" w:rsidRPr="006D59BB">
        <w:rPr>
          <w:rFonts w:ascii="Times New Roman" w:eastAsia="Aptos" w:hAnsi="Times New Roman" w:cs="Times New Roman"/>
          <w:sz w:val="24"/>
          <w:szCs w:val="24"/>
        </w:rPr>
        <w:t> </w:t>
      </w:r>
      <w:r w:rsidRPr="006D59BB">
        <w:rPr>
          <w:rFonts w:ascii="Times New Roman" w:eastAsia="Aptos" w:hAnsi="Times New Roman" w:cs="Times New Roman"/>
          <w:sz w:val="24"/>
          <w:szCs w:val="24"/>
        </w:rPr>
        <w:t xml:space="preserve">Rozwoju do </w:t>
      </w:r>
      <w:r w:rsidR="00CD7198" w:rsidRPr="006D59BB">
        <w:rPr>
          <w:rFonts w:ascii="Times New Roman" w:eastAsia="Aptos" w:hAnsi="Times New Roman" w:cs="Times New Roman"/>
          <w:sz w:val="24"/>
          <w:szCs w:val="24"/>
        </w:rPr>
        <w:t xml:space="preserve">Ministra Rozwoju i Technologii </w:t>
      </w:r>
      <w:r w:rsidRPr="006D59BB">
        <w:rPr>
          <w:rFonts w:ascii="Times New Roman" w:eastAsia="Aptos" w:hAnsi="Times New Roman" w:cs="Times New Roman"/>
          <w:sz w:val="24"/>
          <w:szCs w:val="24"/>
        </w:rPr>
        <w:t>w sprawie zmian w systemie stanowienia prawa dotyczącego przedsiębiorców i pracodawców uchwalonego na posiedzeniu w dniu 6 marca 2024 r.</w:t>
      </w:r>
    </w:p>
    <w:p w14:paraId="17385002" w14:textId="77777777" w:rsidR="003E3BBC" w:rsidRPr="006D59BB" w:rsidRDefault="003E3BBC" w:rsidP="006D59BB">
      <w:pPr>
        <w:spacing w:before="120" w:after="0" w:line="360" w:lineRule="auto"/>
        <w:jc w:val="both"/>
        <w:rPr>
          <w:rFonts w:ascii="Times New Roman" w:eastAsia="Aptos" w:hAnsi="Times New Roman" w:cs="Times New Roman"/>
          <w:sz w:val="24"/>
          <w:szCs w:val="24"/>
        </w:rPr>
      </w:pPr>
      <w:r w:rsidRPr="006D59BB">
        <w:rPr>
          <w:rFonts w:ascii="Times New Roman" w:eastAsia="Aptos" w:hAnsi="Times New Roman" w:cs="Times New Roman"/>
          <w:sz w:val="24"/>
          <w:szCs w:val="24"/>
        </w:rPr>
        <w:t xml:space="preserve">Proponowana nowelizacja rozdziału 6 </w:t>
      </w:r>
      <w:proofErr w:type="spellStart"/>
      <w:r w:rsidRPr="006D59BB">
        <w:rPr>
          <w:rFonts w:ascii="Times New Roman" w:eastAsia="Aptos" w:hAnsi="Times New Roman" w:cs="Times New Roman"/>
          <w:sz w:val="24"/>
          <w:szCs w:val="24"/>
        </w:rPr>
        <w:t>Pp</w:t>
      </w:r>
      <w:proofErr w:type="spellEnd"/>
      <w:r w:rsidRPr="006D59BB">
        <w:rPr>
          <w:rFonts w:ascii="Times New Roman" w:eastAsia="Aptos" w:hAnsi="Times New Roman" w:cs="Times New Roman"/>
          <w:sz w:val="24"/>
          <w:szCs w:val="24"/>
        </w:rPr>
        <w:t xml:space="preserve"> przewiduje wprowadzenie: </w:t>
      </w:r>
    </w:p>
    <w:p w14:paraId="66622914" w14:textId="77777777" w:rsidR="003E3BBC" w:rsidRPr="006D59BB" w:rsidRDefault="003E3BBC" w:rsidP="006D59BB">
      <w:pPr>
        <w:numPr>
          <w:ilvl w:val="0"/>
          <w:numId w:val="9"/>
        </w:numPr>
        <w:spacing w:before="120" w:after="0" w:line="360" w:lineRule="auto"/>
        <w:ind w:left="426" w:hanging="426"/>
        <w:contextualSpacing/>
        <w:jc w:val="both"/>
        <w:rPr>
          <w:rFonts w:ascii="Times New Roman" w:eastAsia="Aptos" w:hAnsi="Times New Roman" w:cs="Times New Roman"/>
          <w:sz w:val="24"/>
          <w:szCs w:val="24"/>
        </w:rPr>
      </w:pPr>
      <w:r w:rsidRPr="006D59BB">
        <w:rPr>
          <w:rFonts w:ascii="Times New Roman" w:eastAsia="Aptos" w:hAnsi="Times New Roman" w:cs="Times New Roman"/>
          <w:sz w:val="24"/>
          <w:szCs w:val="24"/>
        </w:rPr>
        <w:t>zasady równoważenia obowiązków administracyjnych (opartej na koncepcji realizowanej w wielu krajach europejskich tzw. „one in, one out”),</w:t>
      </w:r>
    </w:p>
    <w:p w14:paraId="5ECEC1A0" w14:textId="77777777" w:rsidR="003E3BBC" w:rsidRPr="006D59BB" w:rsidRDefault="003E3BBC" w:rsidP="006D59BB">
      <w:pPr>
        <w:numPr>
          <w:ilvl w:val="0"/>
          <w:numId w:val="9"/>
        </w:numPr>
        <w:spacing w:before="120" w:after="0" w:line="360" w:lineRule="auto"/>
        <w:ind w:left="426" w:hanging="426"/>
        <w:contextualSpacing/>
        <w:jc w:val="both"/>
        <w:rPr>
          <w:rFonts w:ascii="Times New Roman" w:eastAsia="Aptos" w:hAnsi="Times New Roman" w:cs="Times New Roman"/>
          <w:color w:val="000000"/>
          <w:sz w:val="24"/>
          <w:szCs w:val="24"/>
        </w:rPr>
      </w:pPr>
      <w:r w:rsidRPr="006D59BB">
        <w:rPr>
          <w:rFonts w:ascii="Times New Roman" w:eastAsia="Aptos" w:hAnsi="Times New Roman" w:cs="Times New Roman"/>
          <w:color w:val="000000"/>
          <w:sz w:val="24"/>
          <w:szCs w:val="24"/>
        </w:rPr>
        <w:lastRenderedPageBreak/>
        <w:t>zasady projektowania oceny funkcjonowania aktu normatywnego (OSR ex post) w stosunku do aktów normatywnych z zakresu prawa gospodarczego,</w:t>
      </w:r>
    </w:p>
    <w:p w14:paraId="3CE6FD67" w14:textId="77777777" w:rsidR="003E3BBC" w:rsidRPr="006D59BB" w:rsidRDefault="003E3BBC" w:rsidP="006D59BB">
      <w:pPr>
        <w:numPr>
          <w:ilvl w:val="0"/>
          <w:numId w:val="9"/>
        </w:numPr>
        <w:spacing w:before="120" w:after="0" w:line="360" w:lineRule="auto"/>
        <w:ind w:left="426" w:hanging="426"/>
        <w:contextualSpacing/>
        <w:jc w:val="both"/>
        <w:rPr>
          <w:rFonts w:ascii="Times New Roman" w:eastAsia="Aptos" w:hAnsi="Times New Roman" w:cs="Times New Roman"/>
          <w:color w:val="000000"/>
          <w:sz w:val="24"/>
          <w:szCs w:val="24"/>
        </w:rPr>
      </w:pPr>
      <w:r w:rsidRPr="006D59BB">
        <w:rPr>
          <w:rFonts w:ascii="Times New Roman" w:eastAsia="Aptos" w:hAnsi="Times New Roman" w:cs="Times New Roman"/>
          <w:color w:val="000000"/>
          <w:sz w:val="24"/>
          <w:szCs w:val="24"/>
        </w:rPr>
        <w:t>zasady oceny projektu pod kątem notyfikacji usługowej,</w:t>
      </w:r>
    </w:p>
    <w:p w14:paraId="04942FF0" w14:textId="77777777" w:rsidR="003E3BBC" w:rsidRPr="006D59BB" w:rsidRDefault="003E3BBC" w:rsidP="006D59BB">
      <w:pPr>
        <w:numPr>
          <w:ilvl w:val="0"/>
          <w:numId w:val="9"/>
        </w:numPr>
        <w:spacing w:before="120" w:after="0" w:line="360" w:lineRule="auto"/>
        <w:ind w:left="426" w:hanging="426"/>
        <w:contextualSpacing/>
        <w:jc w:val="both"/>
        <w:rPr>
          <w:rFonts w:ascii="Times New Roman" w:eastAsia="Aptos" w:hAnsi="Times New Roman" w:cs="Times New Roman"/>
          <w:sz w:val="24"/>
          <w:szCs w:val="24"/>
        </w:rPr>
      </w:pPr>
      <w:r w:rsidRPr="006D59BB">
        <w:rPr>
          <w:rFonts w:ascii="Times New Roman" w:eastAsia="Aptos" w:hAnsi="Times New Roman" w:cs="Times New Roman"/>
          <w:sz w:val="24"/>
          <w:szCs w:val="24"/>
        </w:rPr>
        <w:t>zasady obowiązkowej oceny funkcjonowania aktu normatywnego (OSR ex post) w sytuacji, gdy dany akt normatywny został przyjęty w wyniku procesu legislacyjnego, w którym odstąpiono od przeprowadzenia konsultacji publicznych,</w:t>
      </w:r>
    </w:p>
    <w:p w14:paraId="43FFC3A8" w14:textId="77777777" w:rsidR="003E3BBC" w:rsidRPr="006D59BB" w:rsidRDefault="003E3BBC" w:rsidP="006D59BB">
      <w:pPr>
        <w:numPr>
          <w:ilvl w:val="0"/>
          <w:numId w:val="9"/>
        </w:numPr>
        <w:spacing w:before="120" w:after="0" w:line="360" w:lineRule="auto"/>
        <w:ind w:left="426" w:hanging="426"/>
        <w:contextualSpacing/>
        <w:jc w:val="both"/>
        <w:rPr>
          <w:rFonts w:ascii="Times New Roman" w:eastAsia="Aptos" w:hAnsi="Times New Roman" w:cs="Times New Roman"/>
          <w:sz w:val="24"/>
          <w:szCs w:val="24"/>
        </w:rPr>
      </w:pPr>
      <w:r w:rsidRPr="006D59BB">
        <w:rPr>
          <w:rFonts w:ascii="Times New Roman" w:eastAsia="Aptos" w:hAnsi="Times New Roman" w:cs="Times New Roman"/>
          <w:sz w:val="24"/>
          <w:szCs w:val="24"/>
        </w:rPr>
        <w:t>zasady odpowiedniej vacatio legis projektów ustaw, nie krótszej niż po upływie 6 miesięcy od dnia ogłoszenia,</w:t>
      </w:r>
    </w:p>
    <w:p w14:paraId="4601EA15" w14:textId="77777777" w:rsidR="003E3BBC" w:rsidRPr="006D59BB" w:rsidRDefault="003E3BBC" w:rsidP="006D59BB">
      <w:pPr>
        <w:numPr>
          <w:ilvl w:val="0"/>
          <w:numId w:val="9"/>
        </w:numPr>
        <w:spacing w:before="120" w:after="0" w:line="360" w:lineRule="auto"/>
        <w:ind w:left="426" w:hanging="426"/>
        <w:contextualSpacing/>
        <w:jc w:val="both"/>
        <w:rPr>
          <w:rFonts w:ascii="Times New Roman" w:eastAsia="Aptos" w:hAnsi="Times New Roman" w:cs="Times New Roman"/>
          <w:sz w:val="24"/>
          <w:szCs w:val="24"/>
        </w:rPr>
      </w:pPr>
      <w:r w:rsidRPr="006D59BB">
        <w:rPr>
          <w:rFonts w:ascii="Times New Roman" w:eastAsia="Aptos" w:hAnsi="Times New Roman" w:cs="Times New Roman"/>
          <w:sz w:val="24"/>
          <w:szCs w:val="24"/>
        </w:rPr>
        <w:t>usprawnień w zakresie bieżącego przeglądu prawa gospodarczego,</w:t>
      </w:r>
    </w:p>
    <w:p w14:paraId="527E109A" w14:textId="77777777" w:rsidR="003E3BBC" w:rsidRPr="006D59BB" w:rsidRDefault="003E3BBC" w:rsidP="006D59BB">
      <w:pPr>
        <w:numPr>
          <w:ilvl w:val="0"/>
          <w:numId w:val="9"/>
        </w:numPr>
        <w:spacing w:before="120" w:after="0" w:line="360" w:lineRule="auto"/>
        <w:ind w:left="426" w:hanging="426"/>
        <w:jc w:val="both"/>
        <w:rPr>
          <w:rFonts w:ascii="Times New Roman" w:eastAsia="Aptos" w:hAnsi="Times New Roman" w:cs="Times New Roman"/>
          <w:sz w:val="24"/>
          <w:szCs w:val="24"/>
        </w:rPr>
      </w:pPr>
      <w:r w:rsidRPr="006D59BB">
        <w:rPr>
          <w:rFonts w:ascii="Times New Roman" w:eastAsia="Aptos" w:hAnsi="Times New Roman" w:cs="Times New Roman"/>
          <w:sz w:val="24"/>
          <w:szCs w:val="24"/>
        </w:rPr>
        <w:t>programu regulacyjnego.</w:t>
      </w:r>
    </w:p>
    <w:p w14:paraId="494FD024" w14:textId="77777777" w:rsidR="003E3BBC" w:rsidRPr="006D59BB" w:rsidRDefault="003E3BBC" w:rsidP="006D59BB">
      <w:pPr>
        <w:numPr>
          <w:ilvl w:val="0"/>
          <w:numId w:val="11"/>
        </w:numPr>
        <w:tabs>
          <w:tab w:val="left" w:pos="426"/>
        </w:tabs>
        <w:spacing w:before="120" w:after="0" w:line="360" w:lineRule="auto"/>
        <w:ind w:left="0" w:firstLine="0"/>
        <w:contextualSpacing/>
        <w:jc w:val="both"/>
        <w:rPr>
          <w:rFonts w:ascii="Times New Roman" w:eastAsia="Aptos" w:hAnsi="Times New Roman" w:cs="Times New Roman"/>
          <w:sz w:val="24"/>
          <w:szCs w:val="24"/>
        </w:rPr>
      </w:pPr>
      <w:r w:rsidRPr="006D59BB">
        <w:rPr>
          <w:rFonts w:ascii="Times New Roman" w:eastAsia="Aptos" w:hAnsi="Times New Roman" w:cs="Times New Roman"/>
          <w:sz w:val="24"/>
          <w:szCs w:val="24"/>
        </w:rPr>
        <w:t>zasada równoważenia obowiązków administracyjnych.</w:t>
      </w:r>
    </w:p>
    <w:p w14:paraId="15F0DA02" w14:textId="16BC80B0" w:rsidR="003E3BBC" w:rsidRPr="006D59BB" w:rsidRDefault="003E3BBC" w:rsidP="006D59BB">
      <w:pPr>
        <w:spacing w:before="120" w:after="0" w:line="360" w:lineRule="auto"/>
        <w:jc w:val="both"/>
        <w:rPr>
          <w:rFonts w:ascii="Times New Roman" w:eastAsia="Aptos" w:hAnsi="Times New Roman" w:cs="Times New Roman"/>
          <w:sz w:val="24"/>
          <w:szCs w:val="24"/>
        </w:rPr>
      </w:pPr>
      <w:r w:rsidRPr="006D59BB">
        <w:rPr>
          <w:rFonts w:ascii="Times New Roman" w:eastAsia="Aptos" w:hAnsi="Times New Roman" w:cs="Times New Roman"/>
          <w:sz w:val="24"/>
          <w:szCs w:val="24"/>
        </w:rPr>
        <w:t xml:space="preserve">W art. 67 proponuje się wskazanie konieczności kierowania się zasadą równoważenia obowiązków administracyjnych podczas opracowywania projektów aktów normatywnych określających zasady podejmowania, wykonywania lub zakończenia działalności gospodarczej. </w:t>
      </w:r>
      <w:r w:rsidRPr="006D59BB">
        <w:rPr>
          <w:rFonts w:ascii="Times New Roman" w:eastAsia="Aptos" w:hAnsi="Times New Roman" w:cs="Times New Roman"/>
          <w:color w:val="000000"/>
          <w:sz w:val="24"/>
          <w:szCs w:val="24"/>
        </w:rPr>
        <w:t xml:space="preserve">Zasada równoważenia obowiązków administracyjnych została uwzględniona w projekcie na równi z zasadą proporcjonalności i adekwatności. </w:t>
      </w:r>
      <w:r w:rsidRPr="006D59BB">
        <w:rPr>
          <w:rFonts w:ascii="Times New Roman" w:eastAsia="Aptos" w:hAnsi="Times New Roman" w:cs="Times New Roman"/>
          <w:sz w:val="24"/>
          <w:szCs w:val="24"/>
        </w:rPr>
        <w:t>Zasada ta w proponowanej wersji polega na tym, by projektując nowe obowiązki administracyjne, dążyć do zmniejszenia obciążeń administracyjnych wynikających z uregulowań prawnych już obowiązujących w danej dziedzinie. Proponowana zasada koresponduje z</w:t>
      </w:r>
      <w:r w:rsidR="00D10478" w:rsidRPr="006D59BB">
        <w:rPr>
          <w:rFonts w:ascii="Times New Roman" w:eastAsia="Aptos" w:hAnsi="Times New Roman" w:cs="Times New Roman"/>
          <w:sz w:val="24"/>
          <w:szCs w:val="24"/>
        </w:rPr>
        <w:t> </w:t>
      </w:r>
      <w:r w:rsidRPr="006D59BB">
        <w:rPr>
          <w:rFonts w:ascii="Times New Roman" w:eastAsia="Aptos" w:hAnsi="Times New Roman" w:cs="Times New Roman"/>
          <w:sz w:val="24"/>
          <w:szCs w:val="24"/>
        </w:rPr>
        <w:t xml:space="preserve">obowiązkami wynikającymi z § 1 ust. 2 pkt 1 Zasad Techniki Prawodawczej (stanowiących załącznik do rozporządzenia Prezesa Rady Ministrów z dnia 20 czerwca 2002 r. w sprawie „Zasad techniki prawodawczej”). </w:t>
      </w:r>
      <w:r w:rsidRPr="006D59BB">
        <w:rPr>
          <w:rFonts w:ascii="Times New Roman" w:eastAsia="Aptos" w:hAnsi="Times New Roman" w:cs="Times New Roman"/>
          <w:color w:val="000000"/>
          <w:sz w:val="24"/>
          <w:szCs w:val="24"/>
        </w:rPr>
        <w:t>Ma to być ogólna zasada, jaką projektodawcy powinni kierować się projektując nowe przepisy i pełnić funkcję mobilizującą do poszukiwania jak najmniej obciążających rozwiązań oraz eliminowania przestarzałych i niepotrzebnych obciążeń, przy zapewnieniu standardów prowadzenia działalności gospodarczej oraz ochrony interesu publicznego.</w:t>
      </w:r>
    </w:p>
    <w:p w14:paraId="53E84BE7" w14:textId="77777777" w:rsidR="003E3BBC" w:rsidRPr="006D59BB" w:rsidRDefault="003E3BBC" w:rsidP="006D59BB">
      <w:pPr>
        <w:numPr>
          <w:ilvl w:val="0"/>
          <w:numId w:val="11"/>
        </w:numPr>
        <w:tabs>
          <w:tab w:val="left" w:pos="426"/>
        </w:tabs>
        <w:spacing w:before="120" w:after="0" w:line="360" w:lineRule="auto"/>
        <w:ind w:left="0" w:firstLine="0"/>
        <w:contextualSpacing/>
        <w:jc w:val="both"/>
        <w:rPr>
          <w:rFonts w:ascii="Times New Roman" w:eastAsia="Aptos" w:hAnsi="Times New Roman" w:cs="Times New Roman"/>
          <w:sz w:val="24"/>
          <w:szCs w:val="24"/>
        </w:rPr>
      </w:pPr>
      <w:r w:rsidRPr="006D59BB">
        <w:rPr>
          <w:rFonts w:ascii="Times New Roman" w:eastAsia="Aptos" w:hAnsi="Times New Roman" w:cs="Times New Roman"/>
          <w:sz w:val="24"/>
          <w:szCs w:val="24"/>
        </w:rPr>
        <w:t>zasada projektowania oceny funkcjonowania aktu normatywnego.</w:t>
      </w:r>
    </w:p>
    <w:p w14:paraId="11B4BA35" w14:textId="1B0C07B1" w:rsidR="003E3BBC" w:rsidRPr="006D59BB" w:rsidRDefault="003E3BBC" w:rsidP="006D59BB">
      <w:pPr>
        <w:spacing w:before="120" w:after="0" w:line="360" w:lineRule="auto"/>
        <w:jc w:val="both"/>
        <w:rPr>
          <w:rFonts w:ascii="Times New Roman" w:eastAsia="Aptos" w:hAnsi="Times New Roman" w:cs="Times New Roman"/>
          <w:sz w:val="24"/>
          <w:szCs w:val="24"/>
        </w:rPr>
      </w:pPr>
      <w:r w:rsidRPr="006D59BB">
        <w:rPr>
          <w:rFonts w:ascii="Times New Roman" w:eastAsia="Aptos" w:hAnsi="Times New Roman" w:cs="Times New Roman"/>
          <w:sz w:val="24"/>
          <w:szCs w:val="24"/>
        </w:rPr>
        <w:t xml:space="preserve">Kwestie OSR ex post nie są </w:t>
      </w:r>
      <w:r w:rsidR="00B40C2B" w:rsidRPr="006D59BB">
        <w:rPr>
          <w:rFonts w:ascii="Times New Roman" w:eastAsia="Aptos" w:hAnsi="Times New Roman" w:cs="Times New Roman"/>
          <w:sz w:val="24"/>
          <w:szCs w:val="24"/>
        </w:rPr>
        <w:t>–</w:t>
      </w:r>
      <w:r w:rsidRPr="006D59BB">
        <w:rPr>
          <w:rFonts w:ascii="Times New Roman" w:eastAsia="Aptos" w:hAnsi="Times New Roman" w:cs="Times New Roman"/>
          <w:sz w:val="24"/>
          <w:szCs w:val="24"/>
        </w:rPr>
        <w:t xml:space="preserve"> jak do tej pory </w:t>
      </w:r>
      <w:r w:rsidR="00B40C2B" w:rsidRPr="006D59BB">
        <w:rPr>
          <w:rFonts w:ascii="Times New Roman" w:eastAsia="Aptos" w:hAnsi="Times New Roman" w:cs="Times New Roman"/>
          <w:sz w:val="24"/>
          <w:szCs w:val="24"/>
        </w:rPr>
        <w:t>–</w:t>
      </w:r>
      <w:r w:rsidRPr="006D59BB">
        <w:rPr>
          <w:rFonts w:ascii="Times New Roman" w:eastAsia="Aptos" w:hAnsi="Times New Roman" w:cs="Times New Roman"/>
          <w:sz w:val="24"/>
          <w:szCs w:val="24"/>
        </w:rPr>
        <w:t xml:space="preserve"> regulowane przepisami ustawowymi. Problematyka ewaluacji działań legislacyjnych koresponduje m.in. z regulacjami rozdziału 6 ustawy o finansach publicznych („Kontrola zarządcza oraz koordynacja kontroli zarządczej w jednostkach sektora finansów publicznych”, art. 68 i następne), gdy celem takiej kontroli jest m.in. zapewnienie skuteczności i</w:t>
      </w:r>
      <w:r w:rsidR="00B976D2" w:rsidRPr="006D59BB">
        <w:rPr>
          <w:rFonts w:ascii="Times New Roman" w:eastAsia="Aptos" w:hAnsi="Times New Roman" w:cs="Times New Roman"/>
          <w:sz w:val="24"/>
          <w:szCs w:val="24"/>
        </w:rPr>
        <w:t> </w:t>
      </w:r>
      <w:r w:rsidRPr="006D59BB">
        <w:rPr>
          <w:rFonts w:ascii="Times New Roman" w:eastAsia="Aptos" w:hAnsi="Times New Roman" w:cs="Times New Roman"/>
          <w:sz w:val="24"/>
          <w:szCs w:val="24"/>
        </w:rPr>
        <w:t xml:space="preserve">efektywności działania państwa. W kontekście działań legislacyjnych ewaluacja aktu prawnego byłaby procesem podobnym do ww. kontroli zarządczej. Zaproponowano, by </w:t>
      </w:r>
      <w:r w:rsidR="00CD7198" w:rsidRPr="006D59BB">
        <w:rPr>
          <w:rFonts w:ascii="Times New Roman" w:eastAsia="Aptos" w:hAnsi="Times New Roman" w:cs="Times New Roman"/>
          <w:sz w:val="24"/>
          <w:szCs w:val="24"/>
        </w:rPr>
        <w:t xml:space="preserve">rządowe </w:t>
      </w:r>
      <w:r w:rsidRPr="006D59BB">
        <w:rPr>
          <w:rFonts w:ascii="Times New Roman" w:eastAsia="Aptos" w:hAnsi="Times New Roman" w:cs="Times New Roman"/>
          <w:sz w:val="24"/>
          <w:szCs w:val="24"/>
        </w:rPr>
        <w:t xml:space="preserve">projekty aktów normatywnych, które określają zasady </w:t>
      </w:r>
      <w:r w:rsidRPr="006D59BB">
        <w:rPr>
          <w:rFonts w:ascii="Times New Roman" w:eastAsia="Aptos" w:hAnsi="Times New Roman" w:cs="Times New Roman"/>
          <w:sz w:val="24"/>
          <w:szCs w:val="24"/>
        </w:rPr>
        <w:lastRenderedPageBreak/>
        <w:t xml:space="preserve">podejmowania, wykonywania lub zakończenia działalności gospodarczej zawierały w uzasadnieniu do projektu aktu normatywnego lub w ocenie skutków regulacji, stanowiącej odrębną część uzasadnienia projektu aktu normatywnego, informacje na temat zakresu oceny funkcjonowania projektowanego aktu normatywnego lub jego części, mierników określających stopień realizacji jego celów, oraz terminu przygotowania takiej oceny. Intencją projektodawcy jest, by informacje na temat przyszłej oceny funkcjonowania projektowanego aktu normatywnego były umieszczane przede wszystkim w ramach formularza OSR. Proponowany przepis koresponduje z § 152 ust. 3 uchwały nr 190 Rady Ministrów z dnia 29 października 2013 r. – Regulamin pracy Rady Ministrów, zgodnie z którym OSR ex post może dotyczyć aktu normatywnego lub jego części. Proponowany przepis koresponduje również z ust. 1 pkt 2 wskazanego paragrafu, zgodnie z którym OSR ex post przygotowywany jest, jeżeli wynika to z oceny skutków regulacji projektu aktu normatywnego przyjętego przez Radę Ministrów. W przypadku, w którym zakłada się brak przeprowadzenia ewaluacji aktu normatywnego należy przedstawić informację o braku zasadności przygotowania OSR ex post tego aktu. </w:t>
      </w:r>
    </w:p>
    <w:p w14:paraId="5D583C33" w14:textId="77777777" w:rsidR="003E3BBC" w:rsidRPr="006D59BB" w:rsidRDefault="003E3BBC" w:rsidP="006D59BB">
      <w:pPr>
        <w:numPr>
          <w:ilvl w:val="0"/>
          <w:numId w:val="11"/>
        </w:numPr>
        <w:tabs>
          <w:tab w:val="left" w:pos="426"/>
        </w:tabs>
        <w:spacing w:before="120" w:after="0" w:line="360" w:lineRule="auto"/>
        <w:ind w:left="0" w:firstLine="0"/>
        <w:contextualSpacing/>
        <w:jc w:val="both"/>
        <w:rPr>
          <w:rFonts w:ascii="Times New Roman" w:eastAsia="Aptos" w:hAnsi="Times New Roman" w:cs="Times New Roman"/>
          <w:sz w:val="24"/>
          <w:szCs w:val="24"/>
        </w:rPr>
      </w:pPr>
      <w:r w:rsidRPr="006D59BB">
        <w:rPr>
          <w:rFonts w:ascii="Times New Roman" w:eastAsia="Aptos" w:hAnsi="Times New Roman" w:cs="Times New Roman"/>
          <w:sz w:val="24"/>
          <w:szCs w:val="24"/>
        </w:rPr>
        <w:t>zasada oceny projektu pod kątem notyfikacji usługowej.</w:t>
      </w:r>
    </w:p>
    <w:p w14:paraId="1D0A4C2B" w14:textId="6D21094D" w:rsidR="003E3BBC" w:rsidRPr="006D59BB" w:rsidRDefault="003E3BBC" w:rsidP="006D59BB">
      <w:pPr>
        <w:spacing w:before="120" w:after="0" w:line="360" w:lineRule="auto"/>
        <w:jc w:val="both"/>
        <w:rPr>
          <w:rFonts w:ascii="Times New Roman" w:eastAsia="Aptos" w:hAnsi="Times New Roman" w:cs="Times New Roman"/>
          <w:sz w:val="24"/>
          <w:szCs w:val="24"/>
        </w:rPr>
      </w:pPr>
      <w:r w:rsidRPr="006D59BB">
        <w:rPr>
          <w:rFonts w:ascii="Times New Roman" w:eastAsia="Aptos" w:hAnsi="Times New Roman" w:cs="Times New Roman"/>
          <w:sz w:val="24"/>
          <w:szCs w:val="24"/>
        </w:rPr>
        <w:t xml:space="preserve">Przewidziana w art. 68a ust. 1 pkt 1 </w:t>
      </w:r>
      <w:proofErr w:type="spellStart"/>
      <w:r w:rsidRPr="006D59BB">
        <w:rPr>
          <w:rFonts w:ascii="Times New Roman" w:eastAsia="Aptos" w:hAnsi="Times New Roman" w:cs="Times New Roman"/>
          <w:sz w:val="24"/>
          <w:szCs w:val="24"/>
        </w:rPr>
        <w:t>Pp</w:t>
      </w:r>
      <w:proofErr w:type="spellEnd"/>
      <w:r w:rsidRPr="006D59BB">
        <w:rPr>
          <w:rFonts w:ascii="Times New Roman" w:eastAsia="Aptos" w:hAnsi="Times New Roman" w:cs="Times New Roman"/>
          <w:sz w:val="24"/>
          <w:szCs w:val="24"/>
        </w:rPr>
        <w:t xml:space="preserve"> konieczność ujawnienia oceny wnioskodawcy czy projekt zawiera wymogi nakładane na usługodawców podlegające notyfikacji, ma na celu upowszechnienie notyfikacji usługowych w polskim procesie legislacyjnym. Notyfikacje usługowe są realizowane w</w:t>
      </w:r>
      <w:r w:rsidR="00D10478" w:rsidRPr="006D59BB">
        <w:rPr>
          <w:rFonts w:ascii="Times New Roman" w:eastAsia="Aptos" w:hAnsi="Times New Roman" w:cs="Times New Roman"/>
          <w:sz w:val="24"/>
          <w:szCs w:val="24"/>
        </w:rPr>
        <w:t> </w:t>
      </w:r>
      <w:r w:rsidRPr="006D59BB">
        <w:rPr>
          <w:rFonts w:ascii="Times New Roman" w:eastAsia="Aptos" w:hAnsi="Times New Roman" w:cs="Times New Roman"/>
          <w:sz w:val="24"/>
          <w:szCs w:val="24"/>
        </w:rPr>
        <w:t>Polsce na podstawie procedury przyjętej przez Komitet do Spraw Europejskich Rady Ministrów 10 października 2013 r. Mimo wyznaczenia w ministerstwach i aktualizowania listy ekspertów do spraw notyfikacji, Polska od początku działania systemu IMI</w:t>
      </w:r>
      <w:r w:rsidRPr="006D59BB">
        <w:rPr>
          <w:rFonts w:ascii="Times New Roman" w:eastAsia="Aptos" w:hAnsi="Times New Roman" w:cs="Times New Roman"/>
          <w:sz w:val="24"/>
          <w:szCs w:val="24"/>
          <w:vertAlign w:val="superscript"/>
        </w:rPr>
        <w:footnoteReference w:id="5"/>
      </w:r>
      <w:r w:rsidR="00A70DA6" w:rsidRPr="006D59BB">
        <w:rPr>
          <w:rFonts w:ascii="Times New Roman" w:eastAsia="Aptos" w:hAnsi="Times New Roman" w:cs="Times New Roman"/>
          <w:sz w:val="24"/>
          <w:szCs w:val="24"/>
          <w:vertAlign w:val="superscript"/>
        </w:rPr>
        <w:t>)</w:t>
      </w:r>
      <w:r w:rsidRPr="006D59BB">
        <w:rPr>
          <w:rFonts w:ascii="Times New Roman" w:eastAsia="Aptos" w:hAnsi="Times New Roman" w:cs="Times New Roman"/>
          <w:sz w:val="24"/>
          <w:szCs w:val="24"/>
        </w:rPr>
        <w:t>, czyli od 2013 r., notyfikowała tylko kilkanaście wymogów. Rocznie w systemie pojawia się ok. 80</w:t>
      </w:r>
      <w:r w:rsidR="00B40C2B" w:rsidRPr="006D59BB">
        <w:rPr>
          <w:rFonts w:ascii="Times New Roman" w:eastAsia="Aptos" w:hAnsi="Times New Roman" w:cs="Times New Roman"/>
          <w:sz w:val="24"/>
          <w:szCs w:val="24"/>
        </w:rPr>
        <w:t>–</w:t>
      </w:r>
      <w:r w:rsidRPr="006D59BB">
        <w:rPr>
          <w:rFonts w:ascii="Times New Roman" w:eastAsia="Aptos" w:hAnsi="Times New Roman" w:cs="Times New Roman"/>
          <w:sz w:val="24"/>
          <w:szCs w:val="24"/>
        </w:rPr>
        <w:t>90 notyfikacji z wszystkich państw członkowskich. Należy przy tym zauważyć, że notyfikacja nie wstrzymuje procesu legislacyjnego, a</w:t>
      </w:r>
      <w:r w:rsidR="00D10478" w:rsidRPr="006D59BB">
        <w:rPr>
          <w:rFonts w:ascii="Times New Roman" w:eastAsia="Aptos" w:hAnsi="Times New Roman" w:cs="Times New Roman"/>
          <w:sz w:val="24"/>
          <w:szCs w:val="24"/>
        </w:rPr>
        <w:t> </w:t>
      </w:r>
      <w:r w:rsidRPr="006D59BB">
        <w:rPr>
          <w:rFonts w:ascii="Times New Roman" w:eastAsia="Aptos" w:hAnsi="Times New Roman" w:cs="Times New Roman"/>
          <w:sz w:val="24"/>
          <w:szCs w:val="24"/>
        </w:rPr>
        <w:t>przepisy można notyfikować również po dacie ich wejścia w życie. Kluczowe jest jednak to, by powstał spójny, uniwersalny i jednolity mechanizm normatywny, na podstawie którego będzie możliwe koordynowanie i realizowanie notyfikacji usługowej zarówno w przypadku projektu aktu wykonawczego, jak i projektu ustawy. Temu celowi ma służyć wprowadzenie obowiązku ujawniania oceny związanej z notyfikacją usługową już na etapie przygotowania ww. projektów aktów normatywnych.</w:t>
      </w:r>
      <w:r w:rsidR="00CD7198" w:rsidRPr="006D59BB">
        <w:rPr>
          <w:rFonts w:ascii="Times New Roman" w:eastAsia="Aptos" w:hAnsi="Times New Roman" w:cs="Times New Roman"/>
          <w:sz w:val="24"/>
          <w:szCs w:val="24"/>
        </w:rPr>
        <w:t xml:space="preserve"> I</w:t>
      </w:r>
      <w:r w:rsidRPr="006D59BB">
        <w:rPr>
          <w:rFonts w:ascii="Times New Roman" w:eastAsia="Aptos" w:hAnsi="Times New Roman" w:cs="Times New Roman"/>
          <w:sz w:val="24"/>
          <w:szCs w:val="24"/>
        </w:rPr>
        <w:t>nformacje na temat ocen</w:t>
      </w:r>
      <w:r w:rsidR="00CD7198" w:rsidRPr="006D59BB">
        <w:rPr>
          <w:rFonts w:ascii="Times New Roman" w:eastAsia="Aptos" w:hAnsi="Times New Roman" w:cs="Times New Roman"/>
          <w:sz w:val="24"/>
          <w:szCs w:val="24"/>
        </w:rPr>
        <w:t>y</w:t>
      </w:r>
      <w:r w:rsidRPr="006D59BB">
        <w:rPr>
          <w:rFonts w:ascii="Times New Roman" w:eastAsia="Aptos" w:hAnsi="Times New Roman" w:cs="Times New Roman"/>
          <w:sz w:val="24"/>
          <w:szCs w:val="24"/>
        </w:rPr>
        <w:t xml:space="preserve"> projektu pod kątem notyfikacji usługowej powinn</w:t>
      </w:r>
      <w:r w:rsidR="00CD7198" w:rsidRPr="006D59BB">
        <w:rPr>
          <w:rFonts w:ascii="Times New Roman" w:eastAsia="Aptos" w:hAnsi="Times New Roman" w:cs="Times New Roman"/>
          <w:sz w:val="24"/>
          <w:szCs w:val="24"/>
        </w:rPr>
        <w:t>y</w:t>
      </w:r>
      <w:r w:rsidRPr="006D59BB">
        <w:rPr>
          <w:rFonts w:ascii="Times New Roman" w:eastAsia="Aptos" w:hAnsi="Times New Roman" w:cs="Times New Roman"/>
          <w:sz w:val="24"/>
          <w:szCs w:val="24"/>
        </w:rPr>
        <w:t xml:space="preserve"> znaleźć się </w:t>
      </w:r>
      <w:r w:rsidR="00CD7198" w:rsidRPr="006D59BB">
        <w:rPr>
          <w:rFonts w:ascii="Times New Roman" w:eastAsia="Aptos" w:hAnsi="Times New Roman" w:cs="Times New Roman"/>
          <w:sz w:val="24"/>
          <w:szCs w:val="24"/>
        </w:rPr>
        <w:t xml:space="preserve">w uzasadnieniu lub </w:t>
      </w:r>
      <w:r w:rsidRPr="006D59BB">
        <w:rPr>
          <w:rFonts w:ascii="Times New Roman" w:eastAsia="Aptos" w:hAnsi="Times New Roman" w:cs="Times New Roman"/>
          <w:sz w:val="24"/>
          <w:szCs w:val="24"/>
        </w:rPr>
        <w:t>w ramach formularza OSR.</w:t>
      </w:r>
    </w:p>
    <w:p w14:paraId="2F18C6B8" w14:textId="77777777" w:rsidR="003E3BBC" w:rsidRPr="006D59BB" w:rsidRDefault="003E3BBC" w:rsidP="006D59BB">
      <w:pPr>
        <w:numPr>
          <w:ilvl w:val="0"/>
          <w:numId w:val="11"/>
        </w:numPr>
        <w:tabs>
          <w:tab w:val="left" w:pos="426"/>
        </w:tabs>
        <w:spacing w:before="120" w:after="0" w:line="360" w:lineRule="auto"/>
        <w:ind w:left="0" w:firstLine="0"/>
        <w:contextualSpacing/>
        <w:jc w:val="both"/>
        <w:rPr>
          <w:rFonts w:ascii="Times New Roman" w:eastAsia="Aptos" w:hAnsi="Times New Roman" w:cs="Times New Roman"/>
          <w:sz w:val="24"/>
          <w:szCs w:val="24"/>
        </w:rPr>
      </w:pPr>
      <w:r w:rsidRPr="006D59BB">
        <w:rPr>
          <w:rFonts w:ascii="Times New Roman" w:eastAsia="Aptos" w:hAnsi="Times New Roman" w:cs="Times New Roman"/>
          <w:sz w:val="24"/>
          <w:szCs w:val="24"/>
        </w:rPr>
        <w:t>zasada obowiązkowej oceny funkcjonowania aktu normatywnego (OSR ex post).</w:t>
      </w:r>
    </w:p>
    <w:p w14:paraId="648C440D" w14:textId="77777777" w:rsidR="003E3BBC" w:rsidRPr="006D59BB" w:rsidRDefault="003E3BBC" w:rsidP="006D59BB">
      <w:pPr>
        <w:spacing w:before="120" w:after="0" w:line="360" w:lineRule="auto"/>
        <w:jc w:val="both"/>
        <w:rPr>
          <w:rFonts w:ascii="Times New Roman" w:eastAsia="Aptos" w:hAnsi="Times New Roman" w:cs="Times New Roman"/>
          <w:sz w:val="24"/>
          <w:szCs w:val="24"/>
        </w:rPr>
      </w:pPr>
      <w:r w:rsidRPr="006D59BB">
        <w:rPr>
          <w:rFonts w:ascii="Times New Roman" w:eastAsia="Aptos" w:hAnsi="Times New Roman" w:cs="Times New Roman"/>
          <w:sz w:val="24"/>
          <w:szCs w:val="24"/>
        </w:rPr>
        <w:lastRenderedPageBreak/>
        <w:t>Projekt przewiduje w przypadku odstąpienia od przeprowadzenia konsultacji publicznych dotyczących projektu aktu normatywnego, który określa zasady podejmowania, wykonywania lub zakończenia działalności gospodarczej, obowiązek wskazania terminu przygotowania OSR ex post tego aktu w uzasadnieniu do projektu (w ocenie skutków regulacji) nie dłuższy niż dwa lata od wejścia w życie takiego aktu.</w:t>
      </w:r>
    </w:p>
    <w:p w14:paraId="741BA44D" w14:textId="77777777" w:rsidR="003E3BBC" w:rsidRPr="006D59BB" w:rsidRDefault="003E3BBC" w:rsidP="006D59BB">
      <w:pPr>
        <w:spacing w:before="120" w:after="0" w:line="360" w:lineRule="auto"/>
        <w:jc w:val="both"/>
        <w:rPr>
          <w:rFonts w:ascii="Times New Roman" w:eastAsia="Aptos" w:hAnsi="Times New Roman" w:cs="Times New Roman"/>
          <w:sz w:val="24"/>
          <w:szCs w:val="24"/>
        </w:rPr>
      </w:pPr>
      <w:r w:rsidRPr="006D59BB">
        <w:rPr>
          <w:rFonts w:ascii="Times New Roman" w:eastAsia="Aptos" w:hAnsi="Times New Roman" w:cs="Times New Roman"/>
          <w:sz w:val="24"/>
          <w:szCs w:val="24"/>
        </w:rPr>
        <w:t xml:space="preserve">W przypadku dokonywania oceny funkcjonowania aktu ex post w ramach działań rządu – ocena powinna zostać dokonana zgodnie z Działem V uchwały nr 190 Rady Ministrów z dnia 29 października 2013 r. – Regulamin pracy Rady Ministrów oraz wytycznymi Rady Ministrów lub jej organu pomocniczego, ustalonymi na podstawie § 155b tejże uchwały. Katalog działań możliwych do podjęcia w wyniku takiej oceny jest przedstawiony w „Wytycznych do przeprowadzania oceny wpływu oraz konsultacji publicznych w ramach rządowego procesu legislacyjnego”. Wskazano w nich m.in., że ocena funkcjonowania powinna zostać podsumowana wnioskami, czy w wyniku dokonanej analizy wskazane jest pozostawienie stanu obecnego, czy należy rozpocząć proces analizy, który może doprowadzić do zmiany lub uchylenia ustawy, czy też wskazane jest podjęcie innych działań naprawczych. Co do zasady, można pozostawić sytuację bez zmian tylko jeżeli ustawa funkcjonuje prawidłowo, tzn. realizuje zakładane cele. </w:t>
      </w:r>
    </w:p>
    <w:p w14:paraId="637B084B" w14:textId="77777777" w:rsidR="003E3BBC" w:rsidRPr="006D59BB" w:rsidRDefault="003E3BBC" w:rsidP="006D59BB">
      <w:pPr>
        <w:numPr>
          <w:ilvl w:val="0"/>
          <w:numId w:val="11"/>
        </w:numPr>
        <w:tabs>
          <w:tab w:val="left" w:pos="426"/>
        </w:tabs>
        <w:spacing w:before="120" w:after="0" w:line="360" w:lineRule="auto"/>
        <w:ind w:left="0" w:firstLine="0"/>
        <w:contextualSpacing/>
        <w:jc w:val="both"/>
        <w:rPr>
          <w:rFonts w:ascii="Times New Roman" w:eastAsia="Aptos" w:hAnsi="Times New Roman" w:cs="Times New Roman"/>
          <w:sz w:val="24"/>
          <w:szCs w:val="24"/>
        </w:rPr>
      </w:pPr>
      <w:r w:rsidRPr="006D59BB">
        <w:rPr>
          <w:rFonts w:ascii="Times New Roman" w:eastAsia="Aptos" w:hAnsi="Times New Roman" w:cs="Times New Roman"/>
          <w:sz w:val="24"/>
          <w:szCs w:val="24"/>
        </w:rPr>
        <w:t>zasada odpowiedniej vacatio legis projektów ustaw.</w:t>
      </w:r>
    </w:p>
    <w:p w14:paraId="01FA1BDD" w14:textId="22854C12" w:rsidR="003E3BBC" w:rsidRPr="006D59BB" w:rsidRDefault="003E3BBC" w:rsidP="006D59BB">
      <w:pPr>
        <w:spacing w:before="120" w:after="0" w:line="360" w:lineRule="auto"/>
        <w:jc w:val="both"/>
        <w:rPr>
          <w:rFonts w:ascii="Times New Roman" w:eastAsia="Aptos" w:hAnsi="Times New Roman" w:cs="Times New Roman"/>
          <w:sz w:val="24"/>
          <w:szCs w:val="24"/>
        </w:rPr>
      </w:pPr>
      <w:r w:rsidRPr="006D59BB">
        <w:rPr>
          <w:rFonts w:ascii="Times New Roman" w:eastAsia="Aptos" w:hAnsi="Times New Roman" w:cs="Times New Roman"/>
          <w:sz w:val="24"/>
          <w:szCs w:val="24"/>
        </w:rPr>
        <w:t>W odpowiedzi na postulaty przedsiębiorców dotyczące potrzeby zapewnienia odpowiedniego czasu na dostosowanie się do nowych przepisów, a także wobec Dezyderatu nr 1 Komisji Gospodarki i</w:t>
      </w:r>
      <w:r w:rsidR="00D10478" w:rsidRPr="006D59BB">
        <w:rPr>
          <w:rFonts w:ascii="Times New Roman" w:eastAsia="Aptos" w:hAnsi="Times New Roman" w:cs="Times New Roman"/>
          <w:sz w:val="24"/>
          <w:szCs w:val="24"/>
        </w:rPr>
        <w:t> </w:t>
      </w:r>
      <w:r w:rsidRPr="006D59BB">
        <w:rPr>
          <w:rFonts w:ascii="Times New Roman" w:eastAsia="Aptos" w:hAnsi="Times New Roman" w:cs="Times New Roman"/>
          <w:sz w:val="24"/>
          <w:szCs w:val="24"/>
        </w:rPr>
        <w:t xml:space="preserve">Rozwoju do </w:t>
      </w:r>
      <w:r w:rsidR="00CD7198" w:rsidRPr="006D59BB">
        <w:rPr>
          <w:rFonts w:ascii="Times New Roman" w:eastAsia="Aptos" w:hAnsi="Times New Roman" w:cs="Times New Roman"/>
          <w:sz w:val="24"/>
          <w:szCs w:val="24"/>
        </w:rPr>
        <w:t>Ministra Rozwoju i Technologii</w:t>
      </w:r>
      <w:r w:rsidRPr="006D59BB">
        <w:rPr>
          <w:rFonts w:ascii="Times New Roman" w:eastAsia="Aptos" w:hAnsi="Times New Roman" w:cs="Times New Roman"/>
          <w:sz w:val="24"/>
          <w:szCs w:val="24"/>
        </w:rPr>
        <w:t xml:space="preserve"> w sprawie zmian w systemie stanowienia prawa dotyczącego przedsiębiorców i pracodawców uchwalonego na posiedzeniu w dniu 6 marca 2024 roku, proponuje się wydłużenie vacatio legis w przypadku projektów ustaw, z których wynika zwiększenie obciążeń regulacyjnych dla przedsiębiorców. Przepis miałby zostać wprowadzony w rozdziale 6 </w:t>
      </w:r>
      <w:proofErr w:type="spellStart"/>
      <w:r w:rsidR="006100AF" w:rsidRPr="006D59BB">
        <w:rPr>
          <w:rFonts w:ascii="Times New Roman" w:eastAsia="Aptos" w:hAnsi="Times New Roman" w:cs="Times New Roman"/>
          <w:sz w:val="24"/>
          <w:szCs w:val="24"/>
        </w:rPr>
        <w:t>Pp</w:t>
      </w:r>
      <w:proofErr w:type="spellEnd"/>
      <w:r w:rsidRPr="006D59BB">
        <w:rPr>
          <w:rFonts w:ascii="Times New Roman" w:eastAsia="Aptos" w:hAnsi="Times New Roman" w:cs="Times New Roman"/>
          <w:sz w:val="24"/>
          <w:szCs w:val="24"/>
        </w:rPr>
        <w:t>, który reguluje zasady opracowywania projektów aktów normatywnych z zakresu prawa gospodarczego i</w:t>
      </w:r>
      <w:r w:rsidR="006100AF" w:rsidRPr="006D59BB">
        <w:rPr>
          <w:rFonts w:ascii="Times New Roman" w:eastAsia="Aptos" w:hAnsi="Times New Roman" w:cs="Times New Roman"/>
          <w:sz w:val="24"/>
          <w:szCs w:val="24"/>
        </w:rPr>
        <w:t> </w:t>
      </w:r>
      <w:r w:rsidRPr="006D59BB">
        <w:rPr>
          <w:rFonts w:ascii="Times New Roman" w:eastAsia="Aptos" w:hAnsi="Times New Roman" w:cs="Times New Roman"/>
          <w:sz w:val="24"/>
          <w:szCs w:val="24"/>
        </w:rPr>
        <w:t>miałby on charakter uzupełniający w stosunku do regulacji ustawy z dnia 20 lipca 2000 r. o</w:t>
      </w:r>
      <w:r w:rsidR="006100AF" w:rsidRPr="006D59BB">
        <w:rPr>
          <w:rFonts w:ascii="Times New Roman" w:eastAsia="Aptos" w:hAnsi="Times New Roman" w:cs="Times New Roman"/>
          <w:sz w:val="24"/>
          <w:szCs w:val="24"/>
        </w:rPr>
        <w:t> </w:t>
      </w:r>
      <w:r w:rsidRPr="006D59BB">
        <w:rPr>
          <w:rFonts w:ascii="Times New Roman" w:eastAsia="Aptos" w:hAnsi="Times New Roman" w:cs="Times New Roman"/>
          <w:sz w:val="24"/>
          <w:szCs w:val="24"/>
        </w:rPr>
        <w:t>ogłaszaniu aktów normatywnych i niektórych innych aktów prawnych. Zgodnie z art. 4 ustawy o</w:t>
      </w:r>
      <w:r w:rsidR="006100AF" w:rsidRPr="006D59BB">
        <w:rPr>
          <w:rFonts w:ascii="Times New Roman" w:eastAsia="Aptos" w:hAnsi="Times New Roman" w:cs="Times New Roman"/>
          <w:sz w:val="24"/>
          <w:szCs w:val="24"/>
        </w:rPr>
        <w:t> </w:t>
      </w:r>
      <w:r w:rsidRPr="006D59BB">
        <w:rPr>
          <w:rFonts w:ascii="Times New Roman" w:eastAsia="Aptos" w:hAnsi="Times New Roman" w:cs="Times New Roman"/>
          <w:sz w:val="24"/>
          <w:szCs w:val="24"/>
        </w:rPr>
        <w:t>ogłaszaniu aktów normatywnych, akty normatywne zawierające przepisy powszechnie obowiązujące, ogłaszane w</w:t>
      </w:r>
      <w:r w:rsidR="00B976D2" w:rsidRPr="006D59BB">
        <w:rPr>
          <w:rFonts w:ascii="Times New Roman" w:eastAsia="Aptos" w:hAnsi="Times New Roman" w:cs="Times New Roman"/>
          <w:sz w:val="24"/>
          <w:szCs w:val="24"/>
        </w:rPr>
        <w:t> </w:t>
      </w:r>
      <w:r w:rsidRPr="006D59BB">
        <w:rPr>
          <w:rFonts w:ascii="Times New Roman" w:eastAsia="Aptos" w:hAnsi="Times New Roman" w:cs="Times New Roman"/>
          <w:sz w:val="24"/>
          <w:szCs w:val="24"/>
        </w:rPr>
        <w:t>dziennikach urzędowych, wchodzą w życie co do zasady po upływie 14 dni od dnia ich ogłoszenia, chyba że dany akt normatywny określi termin dłuższy. W uzasadnionych przypadkach akty normatywne mogą wchodzić w życie w terminie krótszym niż czternaście dni, a</w:t>
      </w:r>
      <w:r w:rsidR="00D10478" w:rsidRPr="006D59BB">
        <w:rPr>
          <w:rFonts w:ascii="Times New Roman" w:eastAsia="Aptos" w:hAnsi="Times New Roman" w:cs="Times New Roman"/>
          <w:sz w:val="24"/>
          <w:szCs w:val="24"/>
        </w:rPr>
        <w:t> </w:t>
      </w:r>
      <w:r w:rsidRPr="006D59BB">
        <w:rPr>
          <w:rFonts w:ascii="Times New Roman" w:eastAsia="Aptos" w:hAnsi="Times New Roman" w:cs="Times New Roman"/>
          <w:sz w:val="24"/>
          <w:szCs w:val="24"/>
        </w:rPr>
        <w:t xml:space="preserve">jeżeli ważny interes państwa wymaga natychmiastowego wejścia w życie aktu </w:t>
      </w:r>
      <w:r w:rsidRPr="006D59BB">
        <w:rPr>
          <w:rFonts w:ascii="Times New Roman" w:eastAsia="Aptos" w:hAnsi="Times New Roman" w:cs="Times New Roman"/>
          <w:sz w:val="24"/>
          <w:szCs w:val="24"/>
        </w:rPr>
        <w:lastRenderedPageBreak/>
        <w:t>normatywnego i</w:t>
      </w:r>
      <w:r w:rsidR="00D10478" w:rsidRPr="006D59BB">
        <w:rPr>
          <w:rFonts w:ascii="Times New Roman" w:eastAsia="Aptos" w:hAnsi="Times New Roman" w:cs="Times New Roman"/>
          <w:sz w:val="24"/>
          <w:szCs w:val="24"/>
        </w:rPr>
        <w:t> </w:t>
      </w:r>
      <w:r w:rsidRPr="006D59BB">
        <w:rPr>
          <w:rFonts w:ascii="Times New Roman" w:eastAsia="Aptos" w:hAnsi="Times New Roman" w:cs="Times New Roman"/>
          <w:sz w:val="24"/>
          <w:szCs w:val="24"/>
        </w:rPr>
        <w:t xml:space="preserve">zasady demokratycznego państwa prawnego nie stoją temu na przeszkodzie, dniem wejścia w życie może być dzień ogłoszenia tego aktu w dzienniku urzędowym. </w:t>
      </w:r>
    </w:p>
    <w:p w14:paraId="730B8F00" w14:textId="233CED53" w:rsidR="003E3BBC" w:rsidRPr="006D59BB" w:rsidRDefault="003E3BBC" w:rsidP="006D59BB">
      <w:pPr>
        <w:spacing w:before="120" w:after="0" w:line="360" w:lineRule="auto"/>
        <w:jc w:val="both"/>
        <w:rPr>
          <w:rFonts w:ascii="Times New Roman" w:eastAsia="Aptos" w:hAnsi="Times New Roman" w:cs="Times New Roman"/>
          <w:sz w:val="24"/>
          <w:szCs w:val="24"/>
        </w:rPr>
      </w:pPr>
      <w:r w:rsidRPr="006D59BB">
        <w:rPr>
          <w:rFonts w:ascii="Times New Roman" w:eastAsia="Aptos" w:hAnsi="Times New Roman" w:cs="Times New Roman"/>
          <w:sz w:val="24"/>
          <w:szCs w:val="24"/>
        </w:rPr>
        <w:t xml:space="preserve">Proponowany przepis nakłada na projektodawców ustaw określających zasady prowadzenia działalności gospodarczej, przedkładanych Sejmowi, obowiązek takiego zaprojektowania terminu wejścia w życie ustawy, by nie był on krótszy niż sześć miesięcy od dnia ogłoszenia. Czas potrzebny przedsiębiorcom do przygotowania się do nowych regulacji będzie kluczowy przy wyznaczaniu </w:t>
      </w:r>
      <w:r w:rsidRPr="006D59BB">
        <w:rPr>
          <w:rFonts w:ascii="Times New Roman" w:eastAsia="Aptos" w:hAnsi="Times New Roman" w:cs="Times New Roman"/>
          <w:i/>
          <w:iCs/>
          <w:sz w:val="24"/>
          <w:szCs w:val="24"/>
        </w:rPr>
        <w:t>vacatio legis</w:t>
      </w:r>
      <w:r w:rsidRPr="006D59BB">
        <w:rPr>
          <w:rFonts w:ascii="Times New Roman" w:eastAsia="Aptos" w:hAnsi="Times New Roman" w:cs="Times New Roman"/>
          <w:sz w:val="24"/>
          <w:szCs w:val="24"/>
        </w:rPr>
        <w:t xml:space="preserve">, przy czym nie będzie to jedyna przesłanka. Wnioskodawca będzie obowiązany rozważać również takie aspekty jak np. konieczność sprawnej realizacji zadań publicznych, czy zapewnienie standardów prowadzenia działalności gospodarczej. Jednocześnie przewidziano możliwość wyjątkowego odstąpienia od wyznaczenia w projekcie minimalnej </w:t>
      </w:r>
      <w:r w:rsidRPr="006D59BB">
        <w:rPr>
          <w:rFonts w:ascii="Times New Roman" w:eastAsia="Aptos" w:hAnsi="Times New Roman" w:cs="Times New Roman"/>
          <w:i/>
          <w:iCs/>
          <w:sz w:val="24"/>
          <w:szCs w:val="24"/>
        </w:rPr>
        <w:t>vacatio legis</w:t>
      </w:r>
      <w:r w:rsidRPr="006D59BB">
        <w:rPr>
          <w:rFonts w:ascii="Times New Roman" w:eastAsia="Aptos" w:hAnsi="Times New Roman" w:cs="Times New Roman"/>
          <w:sz w:val="24"/>
          <w:szCs w:val="24"/>
        </w:rPr>
        <w:t>, gdy przemawia za tym ważny interes publiczny lub gdy wynika to</w:t>
      </w:r>
      <w:r w:rsidR="004E5662" w:rsidRPr="006D59BB">
        <w:rPr>
          <w:rFonts w:ascii="Times New Roman" w:eastAsia="Aptos" w:hAnsi="Times New Roman" w:cs="Times New Roman"/>
          <w:sz w:val="24"/>
          <w:szCs w:val="24"/>
        </w:rPr>
        <w:t xml:space="preserve"> z</w:t>
      </w:r>
      <w:r w:rsidRPr="006D59BB">
        <w:rPr>
          <w:rFonts w:ascii="Times New Roman" w:eastAsia="Aptos" w:hAnsi="Times New Roman" w:cs="Times New Roman"/>
          <w:sz w:val="24"/>
          <w:szCs w:val="24"/>
        </w:rPr>
        <w:t xml:space="preserve"> konieczności implementacji lub wykonania przepisów prawa </w:t>
      </w:r>
      <w:r w:rsidR="00912741" w:rsidRPr="006D59BB">
        <w:rPr>
          <w:rFonts w:ascii="Times New Roman" w:eastAsia="Aptos" w:hAnsi="Times New Roman" w:cs="Times New Roman"/>
          <w:sz w:val="24"/>
          <w:szCs w:val="24"/>
        </w:rPr>
        <w:t>UE</w:t>
      </w:r>
      <w:r w:rsidRPr="006D59BB">
        <w:rPr>
          <w:rFonts w:ascii="Times New Roman" w:eastAsia="Aptos" w:hAnsi="Times New Roman" w:cs="Times New Roman"/>
          <w:sz w:val="24"/>
          <w:szCs w:val="24"/>
        </w:rPr>
        <w:t xml:space="preserve">. Odstąpienie od tej zasady będzie mogło mieć zastosowanie w przypadku zmian, które będą korzystne dla przedsiębiorców. W takich przypadkach w uzasadnieniu projektu ustawy wnioskodawca będzie obowiązany przedstawić przyczyny takiego odstąpienia. </w:t>
      </w:r>
    </w:p>
    <w:p w14:paraId="5CBF688F" w14:textId="77777777" w:rsidR="00CD7198" w:rsidRPr="006D59BB" w:rsidRDefault="00CD7198" w:rsidP="006D59BB">
      <w:pPr>
        <w:spacing w:before="120" w:after="0" w:line="360" w:lineRule="auto"/>
        <w:jc w:val="both"/>
        <w:rPr>
          <w:rFonts w:ascii="Times New Roman" w:eastAsia="Aptos" w:hAnsi="Times New Roman" w:cs="Times New Roman"/>
          <w:sz w:val="24"/>
          <w:szCs w:val="24"/>
        </w:rPr>
      </w:pPr>
      <w:r w:rsidRPr="006D59BB">
        <w:rPr>
          <w:rFonts w:ascii="Times New Roman" w:eastAsia="Aptos" w:hAnsi="Times New Roman" w:cs="Times New Roman"/>
          <w:sz w:val="24"/>
          <w:szCs w:val="24"/>
        </w:rPr>
        <w:t>Wejście w życie projektowanego przepisu będzie wymuszało weryfikację uchwały Rady Ministrów z dnia 18 lutego 2014 r. w sprawie zaleceń ujednolicenia terminów wejścia w życie niektórych aktów normatywnych (M.P. poz. 205).</w:t>
      </w:r>
    </w:p>
    <w:p w14:paraId="1D79E92B" w14:textId="77777777" w:rsidR="003E3BBC" w:rsidRPr="006D59BB" w:rsidRDefault="003E3BBC" w:rsidP="006D59BB">
      <w:pPr>
        <w:numPr>
          <w:ilvl w:val="0"/>
          <w:numId w:val="11"/>
        </w:numPr>
        <w:tabs>
          <w:tab w:val="left" w:pos="426"/>
        </w:tabs>
        <w:spacing w:before="120" w:after="0" w:line="360" w:lineRule="auto"/>
        <w:ind w:left="0" w:firstLine="0"/>
        <w:contextualSpacing/>
        <w:jc w:val="both"/>
        <w:rPr>
          <w:rFonts w:ascii="Times New Roman" w:eastAsia="Aptos" w:hAnsi="Times New Roman" w:cs="Times New Roman"/>
          <w:sz w:val="24"/>
          <w:szCs w:val="24"/>
        </w:rPr>
      </w:pPr>
      <w:r w:rsidRPr="006D59BB">
        <w:rPr>
          <w:rFonts w:ascii="Times New Roman" w:eastAsia="Aptos" w:hAnsi="Times New Roman" w:cs="Times New Roman"/>
          <w:sz w:val="24"/>
          <w:szCs w:val="24"/>
        </w:rPr>
        <w:t>usprawnienia w zakresie bieżącego przeglądu prawa gospodarczego.</w:t>
      </w:r>
    </w:p>
    <w:p w14:paraId="68F2CBE5" w14:textId="77777777" w:rsidR="003E3BBC" w:rsidRPr="006D59BB" w:rsidRDefault="003E3BBC" w:rsidP="006D59BB">
      <w:pPr>
        <w:spacing w:before="120" w:after="0" w:line="360" w:lineRule="auto"/>
        <w:jc w:val="both"/>
        <w:rPr>
          <w:rFonts w:ascii="Times New Roman" w:eastAsia="Aptos" w:hAnsi="Times New Roman" w:cs="Times New Roman"/>
          <w:sz w:val="24"/>
          <w:szCs w:val="24"/>
        </w:rPr>
      </w:pPr>
      <w:r w:rsidRPr="006D59BB">
        <w:rPr>
          <w:rFonts w:ascii="Times New Roman" w:eastAsia="Aptos" w:hAnsi="Times New Roman" w:cs="Times New Roman"/>
          <w:sz w:val="24"/>
          <w:szCs w:val="24"/>
        </w:rPr>
        <w:t xml:space="preserve">Zmiana brzmienia art. 70 ma na celu usprawnienie procesu dokonywania bieżących przeglądów prawa gospodarczego. W szczególności wskazano ministra właściwego do spraw gospodarki jako organ, któremu przedkładane są informacje o działaniach podjętych przez ministrów kierujących działami administracji rządowej, oraz określono kategorie informacji przez nich przekazywanych (wskazanie aktów normatywnych, które wpływają na </w:t>
      </w:r>
      <w:proofErr w:type="spellStart"/>
      <w:r w:rsidRPr="006D59BB">
        <w:rPr>
          <w:rFonts w:ascii="Times New Roman" w:eastAsia="Aptos" w:hAnsi="Times New Roman" w:cs="Times New Roman"/>
          <w:sz w:val="24"/>
          <w:szCs w:val="24"/>
        </w:rPr>
        <w:t>mikroprzedsiębiorców</w:t>
      </w:r>
      <w:proofErr w:type="spellEnd"/>
      <w:r w:rsidRPr="006D59BB">
        <w:rPr>
          <w:rFonts w:ascii="Times New Roman" w:eastAsia="Aptos" w:hAnsi="Times New Roman" w:cs="Times New Roman"/>
          <w:sz w:val="24"/>
          <w:szCs w:val="24"/>
        </w:rPr>
        <w:t>, małych i średnich przedsiębiorców oraz wskazanie aktów normatywnych, które nakładają na przedsiębiorców obowiązki administracyjne, w tym obowiązki informacyjne). Informacje takie stanowią również element swoistego programowania pracy Rady Ministrów (wskazanie aktów normatywnych, w stosunku do których zaplanowano przeprowadzenie oceny ich funkcjonowania lub oceny funkcjonowania ich części). Zakres informacji opiera się na i wynika z kilkuletnich doświadczeń związanych z dokonywaniem bieżącego przeglądu prawa gospodarczego.</w:t>
      </w:r>
    </w:p>
    <w:p w14:paraId="4584EFA6" w14:textId="209B9F70" w:rsidR="003E3BBC" w:rsidRPr="006D59BB" w:rsidRDefault="003E3BBC" w:rsidP="006D59BB">
      <w:pPr>
        <w:spacing w:before="120" w:after="0" w:line="360" w:lineRule="auto"/>
        <w:jc w:val="both"/>
        <w:rPr>
          <w:rFonts w:ascii="Times New Roman" w:eastAsia="Aptos" w:hAnsi="Times New Roman" w:cs="Times New Roman"/>
          <w:sz w:val="24"/>
          <w:szCs w:val="24"/>
        </w:rPr>
      </w:pPr>
      <w:r w:rsidRPr="006D59BB">
        <w:rPr>
          <w:rFonts w:ascii="Times New Roman" w:eastAsia="Aptos" w:hAnsi="Times New Roman" w:cs="Times New Roman"/>
          <w:sz w:val="24"/>
          <w:szCs w:val="24"/>
        </w:rPr>
        <w:t xml:space="preserve">Projekt wprowadza rozwiązania pozwalające na elastyczne ustalenie i publikację w BIP wzoru formularza informacji </w:t>
      </w:r>
      <w:r w:rsidR="00CD7198" w:rsidRPr="006D59BB">
        <w:rPr>
          <w:rFonts w:ascii="Times New Roman" w:eastAsia="Aptos" w:hAnsi="Times New Roman" w:cs="Times New Roman"/>
          <w:sz w:val="24"/>
          <w:szCs w:val="24"/>
        </w:rPr>
        <w:t>przez</w:t>
      </w:r>
      <w:r w:rsidRPr="006D59BB">
        <w:rPr>
          <w:rFonts w:ascii="Times New Roman" w:eastAsia="Aptos" w:hAnsi="Times New Roman" w:cs="Times New Roman"/>
          <w:sz w:val="24"/>
          <w:szCs w:val="24"/>
        </w:rPr>
        <w:t xml:space="preserve"> ministra właściwego do spraw gospodarki. Rozwiązanie to </w:t>
      </w:r>
      <w:r w:rsidRPr="006D59BB">
        <w:rPr>
          <w:rFonts w:ascii="Times New Roman" w:eastAsia="Aptos" w:hAnsi="Times New Roman" w:cs="Times New Roman"/>
          <w:sz w:val="24"/>
          <w:szCs w:val="24"/>
        </w:rPr>
        <w:lastRenderedPageBreak/>
        <w:t xml:space="preserve">wzorowane jest na mechanizmie określonym w art. 4 ust. 18 ustawy z dnia 12 marca 2022 r. o pomocy obywatelom Ukrainy w związku z konfliktem zbrojnym na terytorium tego państwa i ma – w założeniu – usprawnić i ustandaryzować proces realizacji obowiązku informacyjnego nałożonego na ministrów kierujących działami administracji rządowej. </w:t>
      </w:r>
    </w:p>
    <w:p w14:paraId="17EA9CE2" w14:textId="7A04EF89" w:rsidR="003E3BBC" w:rsidRPr="006D59BB" w:rsidRDefault="003E3BBC" w:rsidP="006D59BB">
      <w:pPr>
        <w:spacing w:before="120" w:after="0" w:line="360" w:lineRule="auto"/>
        <w:jc w:val="both"/>
        <w:rPr>
          <w:rFonts w:ascii="Times New Roman" w:eastAsia="Aptos" w:hAnsi="Times New Roman" w:cs="Times New Roman"/>
          <w:sz w:val="24"/>
          <w:szCs w:val="24"/>
        </w:rPr>
      </w:pPr>
      <w:r w:rsidRPr="006D59BB">
        <w:rPr>
          <w:rFonts w:ascii="Times New Roman" w:eastAsia="Aptos" w:hAnsi="Times New Roman" w:cs="Times New Roman"/>
          <w:sz w:val="24"/>
          <w:szCs w:val="24"/>
        </w:rPr>
        <w:t>Proponowane zmiany art. 70 dookreślają postępowanie z uzyskanymi w ten sposób informacjami. Przewidziano w szczególności, że informacje o działaniach związanych z bieżącym przeglądem przekazuje się podmiotom, które w systemie prawnym wyposażone są w kompetencje związane z</w:t>
      </w:r>
      <w:r w:rsidR="00D10478" w:rsidRPr="006D59BB">
        <w:rPr>
          <w:rFonts w:ascii="Times New Roman" w:eastAsia="Aptos" w:hAnsi="Times New Roman" w:cs="Times New Roman"/>
          <w:sz w:val="24"/>
          <w:szCs w:val="24"/>
        </w:rPr>
        <w:t> </w:t>
      </w:r>
      <w:r w:rsidRPr="006D59BB">
        <w:rPr>
          <w:rFonts w:ascii="Times New Roman" w:eastAsia="Aptos" w:hAnsi="Times New Roman" w:cs="Times New Roman"/>
          <w:sz w:val="24"/>
          <w:szCs w:val="24"/>
        </w:rPr>
        <w:t xml:space="preserve">oceną praktyki legislacyjnej. Wśród tych podmiotów wskazano: </w:t>
      </w:r>
    </w:p>
    <w:p w14:paraId="1E913AF5" w14:textId="3189E823" w:rsidR="003E3BBC" w:rsidRPr="006D59BB" w:rsidRDefault="003E3BBC" w:rsidP="006D59BB">
      <w:pPr>
        <w:numPr>
          <w:ilvl w:val="0"/>
          <w:numId w:val="10"/>
        </w:numPr>
        <w:spacing w:before="120" w:after="0" w:line="360" w:lineRule="auto"/>
        <w:ind w:left="426" w:hanging="426"/>
        <w:contextualSpacing/>
        <w:jc w:val="both"/>
        <w:rPr>
          <w:rFonts w:ascii="Times New Roman" w:eastAsia="Aptos" w:hAnsi="Times New Roman" w:cs="Times New Roman"/>
          <w:sz w:val="24"/>
          <w:szCs w:val="24"/>
        </w:rPr>
      </w:pPr>
      <w:r w:rsidRPr="006D59BB">
        <w:rPr>
          <w:rFonts w:ascii="Times New Roman" w:eastAsia="Aptos" w:hAnsi="Times New Roman" w:cs="Times New Roman"/>
          <w:sz w:val="24"/>
          <w:szCs w:val="24"/>
        </w:rPr>
        <w:t xml:space="preserve">Radę Dialogu Społecznego, o której mowa w ustawie z dnia 24 lipca 2015 r. o Radzie Dialogu Społecznego i innych instytucjach dialogu społecznego </w:t>
      </w:r>
      <w:r w:rsidR="00B40C2B" w:rsidRPr="006D59BB">
        <w:rPr>
          <w:rFonts w:ascii="Times New Roman" w:eastAsia="Aptos" w:hAnsi="Times New Roman" w:cs="Times New Roman"/>
          <w:sz w:val="24"/>
          <w:szCs w:val="24"/>
        </w:rPr>
        <w:t>–</w:t>
      </w:r>
      <w:r w:rsidRPr="006D59BB">
        <w:rPr>
          <w:rFonts w:ascii="Times New Roman" w:eastAsia="Aptos" w:hAnsi="Times New Roman" w:cs="Times New Roman"/>
          <w:sz w:val="24"/>
          <w:szCs w:val="24"/>
        </w:rPr>
        <w:t xml:space="preserve"> ze względu na rolę forum trójstronnej współpracy i reprezentację osób wykonujących pracę zarobkową, </w:t>
      </w:r>
    </w:p>
    <w:p w14:paraId="448F8CF7" w14:textId="77777777" w:rsidR="003E3BBC" w:rsidRPr="006D59BB" w:rsidRDefault="003E3BBC" w:rsidP="006D59BB">
      <w:pPr>
        <w:numPr>
          <w:ilvl w:val="0"/>
          <w:numId w:val="10"/>
        </w:numPr>
        <w:spacing w:before="120" w:after="0" w:line="360" w:lineRule="auto"/>
        <w:ind w:left="426" w:hanging="426"/>
        <w:contextualSpacing/>
        <w:jc w:val="both"/>
        <w:rPr>
          <w:rFonts w:ascii="Times New Roman" w:eastAsia="Aptos" w:hAnsi="Times New Roman" w:cs="Times New Roman"/>
          <w:sz w:val="24"/>
          <w:szCs w:val="24"/>
        </w:rPr>
      </w:pPr>
      <w:r w:rsidRPr="006D59BB">
        <w:rPr>
          <w:rFonts w:ascii="Times New Roman" w:eastAsia="Aptos" w:hAnsi="Times New Roman" w:cs="Times New Roman"/>
          <w:sz w:val="24"/>
          <w:szCs w:val="24"/>
        </w:rPr>
        <w:t xml:space="preserve">Radę Legislacyjną, o której mowa w ustawie z dnia 8 sierpnia 1996 r. o Radzie Ministrów – ze względu na zadania Rady, polegające w szczególności na dokonywaniu ocen stosowania obowiązującego prawa pod względem jego spójności, skuteczności i właściwego regulowania zjawisk społecznych, </w:t>
      </w:r>
    </w:p>
    <w:p w14:paraId="521FAFE7" w14:textId="6BEB5765" w:rsidR="003E3BBC" w:rsidRPr="006D59BB" w:rsidRDefault="003E3BBC" w:rsidP="006D59BB">
      <w:pPr>
        <w:numPr>
          <w:ilvl w:val="0"/>
          <w:numId w:val="10"/>
        </w:numPr>
        <w:spacing w:before="120" w:after="0" w:line="360" w:lineRule="auto"/>
        <w:ind w:left="426" w:hanging="426"/>
        <w:contextualSpacing/>
        <w:jc w:val="both"/>
        <w:rPr>
          <w:rFonts w:ascii="Times New Roman" w:eastAsia="Aptos" w:hAnsi="Times New Roman" w:cs="Times New Roman"/>
          <w:sz w:val="24"/>
          <w:szCs w:val="24"/>
        </w:rPr>
      </w:pPr>
      <w:r w:rsidRPr="006D59BB">
        <w:rPr>
          <w:rFonts w:ascii="Times New Roman" w:eastAsia="Aptos" w:hAnsi="Times New Roman" w:cs="Times New Roman"/>
          <w:sz w:val="24"/>
          <w:szCs w:val="24"/>
        </w:rPr>
        <w:t xml:space="preserve">Radę </w:t>
      </w:r>
      <w:r w:rsidR="00493CAB" w:rsidRPr="006D59BB">
        <w:rPr>
          <w:rFonts w:ascii="Times New Roman" w:eastAsia="Aptos" w:hAnsi="Times New Roman" w:cs="Times New Roman"/>
          <w:sz w:val="24"/>
          <w:szCs w:val="24"/>
        </w:rPr>
        <w:t xml:space="preserve">Działalności </w:t>
      </w:r>
      <w:r w:rsidRPr="006D59BB">
        <w:rPr>
          <w:rFonts w:ascii="Times New Roman" w:eastAsia="Aptos" w:hAnsi="Times New Roman" w:cs="Times New Roman"/>
          <w:sz w:val="24"/>
          <w:szCs w:val="24"/>
        </w:rPr>
        <w:t>Pożytku Publicznego, o której mowa w ustawie z dnia 24 kwietnia 2003 r. o działalności pożytku publicznego i o wolontariacie – ze względu na zadania Rady polegające na wyrażaniu opinii o projektach aktów prawnych oraz programach rządowych, związanych z funkcjonowaniem organizacji pozarządowych, gdy wiele z takich organizacji prowadzi działalność gospodarczą,</w:t>
      </w:r>
    </w:p>
    <w:p w14:paraId="24AC1865" w14:textId="77777777" w:rsidR="003E3BBC" w:rsidRPr="006D59BB" w:rsidRDefault="003E3BBC" w:rsidP="006D59BB">
      <w:pPr>
        <w:numPr>
          <w:ilvl w:val="0"/>
          <w:numId w:val="10"/>
        </w:numPr>
        <w:spacing w:before="120" w:after="0" w:line="360" w:lineRule="auto"/>
        <w:ind w:left="426" w:hanging="426"/>
        <w:contextualSpacing/>
        <w:jc w:val="both"/>
        <w:rPr>
          <w:rFonts w:ascii="Times New Roman" w:eastAsia="Aptos" w:hAnsi="Times New Roman" w:cs="Times New Roman"/>
          <w:sz w:val="24"/>
          <w:szCs w:val="24"/>
        </w:rPr>
      </w:pPr>
      <w:r w:rsidRPr="006D59BB">
        <w:rPr>
          <w:rFonts w:ascii="Times New Roman" w:eastAsia="Aptos" w:hAnsi="Times New Roman" w:cs="Times New Roman"/>
          <w:sz w:val="24"/>
          <w:szCs w:val="24"/>
        </w:rPr>
        <w:t xml:space="preserve">Rzecznika Małych i Średnich Przedsiębiorców, który – zgodnie z art. 16 ust. 1 </w:t>
      </w:r>
      <w:proofErr w:type="spellStart"/>
      <w:r w:rsidRPr="006D59BB">
        <w:rPr>
          <w:rFonts w:ascii="Times New Roman" w:eastAsia="Aptos" w:hAnsi="Times New Roman" w:cs="Times New Roman"/>
          <w:sz w:val="24"/>
          <w:szCs w:val="24"/>
        </w:rPr>
        <w:t>Pp</w:t>
      </w:r>
      <w:proofErr w:type="spellEnd"/>
      <w:r w:rsidRPr="006D59BB">
        <w:rPr>
          <w:rFonts w:ascii="Times New Roman" w:eastAsia="Aptos" w:hAnsi="Times New Roman" w:cs="Times New Roman"/>
          <w:sz w:val="24"/>
          <w:szCs w:val="24"/>
        </w:rPr>
        <w:t xml:space="preserve"> – stoi na straży praw </w:t>
      </w:r>
      <w:proofErr w:type="spellStart"/>
      <w:r w:rsidRPr="006D59BB">
        <w:rPr>
          <w:rFonts w:ascii="Times New Roman" w:eastAsia="Aptos" w:hAnsi="Times New Roman" w:cs="Times New Roman"/>
          <w:sz w:val="24"/>
          <w:szCs w:val="24"/>
        </w:rPr>
        <w:t>mikroprzedsiębiorców</w:t>
      </w:r>
      <w:proofErr w:type="spellEnd"/>
      <w:r w:rsidRPr="006D59BB">
        <w:rPr>
          <w:rFonts w:ascii="Times New Roman" w:eastAsia="Aptos" w:hAnsi="Times New Roman" w:cs="Times New Roman"/>
          <w:sz w:val="24"/>
          <w:szCs w:val="24"/>
        </w:rPr>
        <w:t xml:space="preserve"> oraz małych i średnich przedsiębiorców, a także dysponuje określonymi kompetencjami w zakresie wnioskowania o przygotowanie oceny funkcjonowania aktów normatywnych z zakresu prawa gospodarczego.</w:t>
      </w:r>
    </w:p>
    <w:p w14:paraId="7930AE9C" w14:textId="77777777" w:rsidR="003E3BBC" w:rsidRPr="006D59BB" w:rsidRDefault="003E3BBC" w:rsidP="006D59BB">
      <w:pPr>
        <w:spacing w:before="120" w:after="0" w:line="360" w:lineRule="auto"/>
        <w:jc w:val="both"/>
        <w:rPr>
          <w:rFonts w:ascii="Times New Roman" w:eastAsia="Aptos" w:hAnsi="Times New Roman" w:cs="Times New Roman"/>
          <w:sz w:val="24"/>
          <w:szCs w:val="24"/>
        </w:rPr>
      </w:pPr>
      <w:r w:rsidRPr="006D59BB">
        <w:rPr>
          <w:rFonts w:ascii="Times New Roman" w:eastAsia="Aptos" w:hAnsi="Times New Roman" w:cs="Times New Roman"/>
          <w:sz w:val="24"/>
          <w:szCs w:val="24"/>
        </w:rPr>
        <w:t>Zakłada się, że informacje przygotowane przez ministrów kierujących działami administracji rządowej, które będą przekazywane ministrowi właściwemu do spraw gospodarki, będą przekazane ww. podmiotom – w celu umożliwienia im wyrażenia stanowiska lub opinii w terminie nie krótszym niż 30 dni. Informacje przedkładane ministrowi właściwemu do spraw gospodarki, a także stanowiska oraz opinie zgłoszone do takich informacji, będą publikowane w Biuletynie Informacji Publicznej tego organu.</w:t>
      </w:r>
    </w:p>
    <w:p w14:paraId="5BA7814B" w14:textId="77777777" w:rsidR="003E3BBC" w:rsidRPr="006D59BB" w:rsidRDefault="003E3BBC" w:rsidP="006D59BB">
      <w:pPr>
        <w:numPr>
          <w:ilvl w:val="0"/>
          <w:numId w:val="11"/>
        </w:numPr>
        <w:tabs>
          <w:tab w:val="left" w:pos="426"/>
        </w:tabs>
        <w:spacing w:before="120" w:after="0" w:line="360" w:lineRule="auto"/>
        <w:ind w:left="0" w:firstLine="0"/>
        <w:contextualSpacing/>
        <w:jc w:val="both"/>
        <w:rPr>
          <w:rFonts w:ascii="Times New Roman" w:eastAsia="Aptos" w:hAnsi="Times New Roman" w:cs="Times New Roman"/>
          <w:sz w:val="24"/>
          <w:szCs w:val="24"/>
        </w:rPr>
      </w:pPr>
      <w:r w:rsidRPr="006D59BB">
        <w:rPr>
          <w:rFonts w:ascii="Times New Roman" w:eastAsia="Aptos" w:hAnsi="Times New Roman" w:cs="Times New Roman"/>
          <w:sz w:val="24"/>
          <w:szCs w:val="24"/>
        </w:rPr>
        <w:t>program regulacyjny.</w:t>
      </w:r>
    </w:p>
    <w:p w14:paraId="4D8B932F" w14:textId="216B6DBB" w:rsidR="00D42CA2" w:rsidRPr="006D59BB" w:rsidRDefault="003E3BBC" w:rsidP="006D59BB">
      <w:pPr>
        <w:spacing w:before="120" w:after="0" w:line="360" w:lineRule="auto"/>
        <w:jc w:val="both"/>
        <w:rPr>
          <w:rFonts w:ascii="Times New Roman" w:eastAsia="Aptos" w:hAnsi="Times New Roman" w:cs="Times New Roman"/>
          <w:sz w:val="24"/>
          <w:szCs w:val="24"/>
        </w:rPr>
      </w:pPr>
      <w:r w:rsidRPr="006D59BB">
        <w:rPr>
          <w:rFonts w:ascii="Times New Roman" w:eastAsia="Aptos" w:hAnsi="Times New Roman" w:cs="Times New Roman"/>
          <w:sz w:val="24"/>
          <w:szCs w:val="24"/>
        </w:rPr>
        <w:t xml:space="preserve">Dodatkowo, w celu zapewnienia ciągłej poprawy jakości regulacji proponuje się wprowadzenie programu regulacyjnego. Przewiduje się uregulowanie programu w nowym rozdziale 6a Pp. </w:t>
      </w:r>
      <w:r w:rsidRPr="006D59BB">
        <w:rPr>
          <w:rFonts w:ascii="Times New Roman" w:eastAsia="Aptos" w:hAnsi="Times New Roman" w:cs="Times New Roman"/>
          <w:sz w:val="24"/>
          <w:szCs w:val="24"/>
        </w:rPr>
        <w:lastRenderedPageBreak/>
        <w:t xml:space="preserve">Program określałby priorytetowe działania w </w:t>
      </w:r>
      <w:r w:rsidR="00CD7198" w:rsidRPr="006D59BB">
        <w:rPr>
          <w:rFonts w:ascii="Times New Roman" w:eastAsia="Aptos" w:hAnsi="Times New Roman" w:cs="Times New Roman"/>
          <w:sz w:val="24"/>
          <w:szCs w:val="24"/>
        </w:rPr>
        <w:t>zakresie</w:t>
      </w:r>
      <w:r w:rsidRPr="006D59BB">
        <w:rPr>
          <w:rFonts w:ascii="Times New Roman" w:eastAsia="Aptos" w:hAnsi="Times New Roman" w:cs="Times New Roman"/>
          <w:sz w:val="24"/>
          <w:szCs w:val="24"/>
        </w:rPr>
        <w:t xml:space="preserve"> kształtowania otoczenia prawnego wykonywania działalności gospodarczej. Program taki powinien uwzględniać wyniki dokonanego przeglądu funkcjonowania aktów normatywnych pozostających w sferze prawa gospodarczego i powinien obejmować planowane działania w zakresie zmniejszania obciążeń regulacyjnych oraz dokonywania oceny funkcjonowania aktów normatywnych.</w:t>
      </w:r>
      <w:r w:rsidR="00D42CA2" w:rsidRPr="006D59BB">
        <w:rPr>
          <w:rFonts w:ascii="Times New Roman" w:eastAsia="Aptos" w:hAnsi="Times New Roman" w:cs="Times New Roman"/>
          <w:sz w:val="24"/>
          <w:szCs w:val="24"/>
        </w:rPr>
        <w:t xml:space="preserve"> Wcześniej omówione rozwiązania w zakresie projektowania oceny funkcjonowania aktu normatywnego oraz obowiązkowej oceny funkcjonowania aktu normatywnego (w przypadku braku konsultacji publicznych), a także uwzględnienie problematyki planowanych ocen funkcjonowania aktów normatywnych w ramach przeglądu prawa gospodarczego (na podstawie art 70 </w:t>
      </w:r>
      <w:proofErr w:type="spellStart"/>
      <w:r w:rsidR="005740F7" w:rsidRPr="006D59BB">
        <w:rPr>
          <w:rFonts w:ascii="Times New Roman" w:eastAsia="Aptos" w:hAnsi="Times New Roman" w:cs="Times New Roman"/>
          <w:sz w:val="24"/>
          <w:szCs w:val="24"/>
        </w:rPr>
        <w:t>Pp</w:t>
      </w:r>
      <w:proofErr w:type="spellEnd"/>
      <w:r w:rsidR="00D42CA2" w:rsidRPr="006D59BB">
        <w:rPr>
          <w:rFonts w:ascii="Times New Roman" w:eastAsia="Aptos" w:hAnsi="Times New Roman" w:cs="Times New Roman"/>
          <w:sz w:val="24"/>
          <w:szCs w:val="24"/>
        </w:rPr>
        <w:t xml:space="preserve">) dotyczą projektowania </w:t>
      </w:r>
      <w:proofErr w:type="spellStart"/>
      <w:r w:rsidR="00D42CA2" w:rsidRPr="006D59BB">
        <w:rPr>
          <w:rFonts w:ascii="Times New Roman" w:eastAsia="Aptos" w:hAnsi="Times New Roman" w:cs="Times New Roman"/>
          <w:sz w:val="24"/>
          <w:szCs w:val="24"/>
        </w:rPr>
        <w:t>OSR</w:t>
      </w:r>
      <w:proofErr w:type="spellEnd"/>
      <w:r w:rsidR="00D42CA2" w:rsidRPr="006D59BB">
        <w:rPr>
          <w:rFonts w:ascii="Times New Roman" w:eastAsia="Aptos" w:hAnsi="Times New Roman" w:cs="Times New Roman"/>
          <w:sz w:val="24"/>
          <w:szCs w:val="24"/>
        </w:rPr>
        <w:t xml:space="preserve"> ex post w odniesieniu do konkretnych, indywidualnie ujętych aktów normatywnych. </w:t>
      </w:r>
      <w:r w:rsidR="00CD7198" w:rsidRPr="006D59BB">
        <w:rPr>
          <w:rFonts w:ascii="Times New Roman" w:eastAsia="Aptos" w:hAnsi="Times New Roman" w:cs="Times New Roman"/>
          <w:sz w:val="24"/>
          <w:szCs w:val="24"/>
        </w:rPr>
        <w:t xml:space="preserve">Założeniem projektowanego przepisu </w:t>
      </w:r>
      <w:r w:rsidR="00D42CA2" w:rsidRPr="006D59BB">
        <w:rPr>
          <w:rFonts w:ascii="Times New Roman" w:eastAsia="Aptos" w:hAnsi="Times New Roman" w:cs="Times New Roman"/>
          <w:sz w:val="24"/>
          <w:szCs w:val="24"/>
        </w:rPr>
        <w:t xml:space="preserve">w zakresie programu regulacyjnego </w:t>
      </w:r>
      <w:r w:rsidR="00CD7198" w:rsidRPr="006D59BB">
        <w:rPr>
          <w:rFonts w:ascii="Times New Roman" w:eastAsia="Aptos" w:hAnsi="Times New Roman" w:cs="Times New Roman"/>
          <w:sz w:val="24"/>
          <w:szCs w:val="24"/>
        </w:rPr>
        <w:t>jest m.in. umożliwienie zaplanowania i przeprowadzenia oceny funkcjonowania aktów normatywnych,</w:t>
      </w:r>
      <w:r w:rsidR="00D42CA2" w:rsidRPr="006D59BB">
        <w:rPr>
          <w:rFonts w:ascii="Times New Roman" w:eastAsia="Aptos" w:hAnsi="Times New Roman" w:cs="Times New Roman"/>
          <w:sz w:val="24"/>
          <w:szCs w:val="24"/>
        </w:rPr>
        <w:t xml:space="preserve"> w stosunku do których nie rozstrzygnięto o ewaluacji, np. ze względu na to, że</w:t>
      </w:r>
      <w:r w:rsidR="00CD7198" w:rsidRPr="006D59BB">
        <w:rPr>
          <w:rFonts w:ascii="Times New Roman" w:eastAsia="Aptos" w:hAnsi="Times New Roman" w:cs="Times New Roman"/>
          <w:sz w:val="24"/>
          <w:szCs w:val="24"/>
        </w:rPr>
        <w:t xml:space="preserve"> zaczęły obowiązywać przed wejściem w życie projektowanych przepisów rozstrzygających o konieczności przeprowadzenia oceny funkcjonowania danego aktu. Założeniem było również to, aby w ramach koordynacji przygotowywania oceny funkcjonowania aktów normatywnych możliwa była konsolidacja oceny funkcjonowania różnych ustaw w ramach określonych grup aktów normatywnych (np. związanych ze sobą funkcjonalnie, regulujących podobne dziedziny życia gospodarczego, itp.). </w:t>
      </w:r>
      <w:r w:rsidR="00D42CA2" w:rsidRPr="006D59BB">
        <w:rPr>
          <w:rFonts w:ascii="Times New Roman" w:eastAsia="Aptos" w:hAnsi="Times New Roman" w:cs="Times New Roman"/>
          <w:sz w:val="24"/>
          <w:szCs w:val="24"/>
        </w:rPr>
        <w:t>Przyjmując program regulacyjny Rada Ministrów może podjąć decyzje o</w:t>
      </w:r>
      <w:r w:rsidR="005D5D55" w:rsidRPr="006D59BB">
        <w:rPr>
          <w:rFonts w:ascii="Times New Roman" w:eastAsia="Aptos" w:hAnsi="Times New Roman" w:cs="Times New Roman"/>
          <w:sz w:val="24"/>
          <w:szCs w:val="24"/>
        </w:rPr>
        <w:t> </w:t>
      </w:r>
      <w:r w:rsidR="00D42CA2" w:rsidRPr="006D59BB">
        <w:rPr>
          <w:rFonts w:ascii="Times New Roman" w:eastAsia="Aptos" w:hAnsi="Times New Roman" w:cs="Times New Roman"/>
          <w:sz w:val="24"/>
          <w:szCs w:val="24"/>
        </w:rPr>
        <w:t xml:space="preserve">konieczności przeprowadzenia OSR ex post w stosunku do aktów normatywnych, wobec których wcześniej nie planowano dokonania takiej oceny, może również zdecydować o warunkach przeprowadzenia oceny danego aktu lub jego części, zmieniając wcześniejsze ustalenia podjęte w takim zakresie. </w:t>
      </w:r>
    </w:p>
    <w:p w14:paraId="68B9221B" w14:textId="150334B6" w:rsidR="003E3BBC" w:rsidRPr="006D59BB" w:rsidRDefault="003E3BBC" w:rsidP="006D59BB">
      <w:pPr>
        <w:spacing w:before="120" w:after="0" w:line="360" w:lineRule="auto"/>
        <w:jc w:val="both"/>
        <w:rPr>
          <w:rFonts w:ascii="Times New Roman" w:eastAsia="Aptos" w:hAnsi="Times New Roman" w:cs="Times New Roman"/>
          <w:sz w:val="24"/>
          <w:szCs w:val="24"/>
        </w:rPr>
      </w:pPr>
      <w:r w:rsidRPr="006D59BB">
        <w:rPr>
          <w:rFonts w:ascii="Times New Roman" w:eastAsia="Aptos" w:hAnsi="Times New Roman" w:cs="Times New Roman"/>
          <w:sz w:val="24"/>
          <w:szCs w:val="24"/>
        </w:rPr>
        <w:t xml:space="preserve">Projektowany program regulacyjny, podobnie jak przyjmowana na podstawie ustawy z dnia 11 września 2019 r. – Prawo zamówień publicznych </w:t>
      </w:r>
      <w:r w:rsidR="00E67D4F" w:rsidRPr="006D59BB">
        <w:rPr>
          <w:rFonts w:ascii="Times New Roman" w:eastAsia="Aptos" w:hAnsi="Times New Roman" w:cs="Times New Roman"/>
          <w:sz w:val="24"/>
          <w:szCs w:val="24"/>
        </w:rPr>
        <w:t xml:space="preserve">(dalej: </w:t>
      </w:r>
      <w:proofErr w:type="spellStart"/>
      <w:r w:rsidR="00E67D4F" w:rsidRPr="006D59BB">
        <w:rPr>
          <w:rFonts w:ascii="Times New Roman" w:eastAsia="Aptos" w:hAnsi="Times New Roman" w:cs="Times New Roman"/>
          <w:sz w:val="24"/>
          <w:szCs w:val="24"/>
        </w:rPr>
        <w:t>Pzp</w:t>
      </w:r>
      <w:proofErr w:type="spellEnd"/>
      <w:r w:rsidR="00E67D4F" w:rsidRPr="006D59BB">
        <w:rPr>
          <w:rFonts w:ascii="Times New Roman" w:eastAsia="Aptos" w:hAnsi="Times New Roman" w:cs="Times New Roman"/>
          <w:sz w:val="24"/>
          <w:szCs w:val="24"/>
        </w:rPr>
        <w:t xml:space="preserve">) </w:t>
      </w:r>
      <w:r w:rsidRPr="006D59BB">
        <w:rPr>
          <w:rFonts w:ascii="Times New Roman" w:eastAsia="Aptos" w:hAnsi="Times New Roman" w:cs="Times New Roman"/>
          <w:sz w:val="24"/>
          <w:szCs w:val="24"/>
        </w:rPr>
        <w:t xml:space="preserve">polityka zakupowa państwa, nie będzie dokumentem wydawanym na podstawie ustawy o zasadach prowadzenia polityki rozwoju. Nie będzie on spełniał przesłanek definicji programów, określonej w art. 15 ust. 4 ustawy z dnia 6 grudnia 2006 r. o zasadach prowadzenia polityki rozwoju. Nie będzie to program operacyjny ani program rozwoju, gdyż nie będzie realizował celów zawartych w strategiach rozwoju, ani nie będzie programem wieloletnim, o którym mowa w przepisach o finansach publicznych. </w:t>
      </w:r>
      <w:r w:rsidR="00682710" w:rsidRPr="006D59BB">
        <w:rPr>
          <w:rFonts w:ascii="Times New Roman" w:eastAsia="Aptos" w:hAnsi="Times New Roman" w:cs="Times New Roman"/>
          <w:sz w:val="24"/>
          <w:szCs w:val="24"/>
        </w:rPr>
        <w:t xml:space="preserve">Planuje się cykliczne opracowywanie Programu, raz na 3 lata. </w:t>
      </w:r>
      <w:r w:rsidR="00682710" w:rsidRPr="006D59BB">
        <w:rPr>
          <w:rFonts w:ascii="Times New Roman" w:hAnsi="Times New Roman" w:cs="Times New Roman"/>
          <w:sz w:val="24"/>
          <w:szCs w:val="24"/>
        </w:rPr>
        <w:t xml:space="preserve">Będzie to dokument przyjęty przez Radę Ministrów, na wniosek ministra właściwego do spraw gospodarki. </w:t>
      </w:r>
      <w:r w:rsidR="00EB57C8" w:rsidRPr="006D59BB">
        <w:rPr>
          <w:rFonts w:ascii="Times New Roman" w:hAnsi="Times New Roman" w:cs="Times New Roman"/>
          <w:sz w:val="24"/>
          <w:szCs w:val="24"/>
        </w:rPr>
        <w:t xml:space="preserve">Zgodnie z propozycją Rady Legislacyjnej, program regulacyjny będzie </w:t>
      </w:r>
      <w:r w:rsidR="00EB57C8" w:rsidRPr="006D59BB">
        <w:rPr>
          <w:rFonts w:ascii="Times New Roman" w:hAnsi="Times New Roman" w:cs="Times New Roman"/>
          <w:sz w:val="24"/>
          <w:szCs w:val="24"/>
        </w:rPr>
        <w:lastRenderedPageBreak/>
        <w:t>przyjmowany w drodze uchwały Rady Ministrów, ogłaszanej na ogólnych zasadach w Dzienniku Urzędowym Rzeczypospolitej Polskiej „Monitor Polski”.</w:t>
      </w:r>
      <w:r w:rsidR="00EB57C8" w:rsidRPr="006D59BB">
        <w:rPr>
          <w:rFonts w:ascii="Times New Roman" w:eastAsia="Aptos" w:hAnsi="Times New Roman" w:cs="Times New Roman"/>
          <w:sz w:val="24"/>
          <w:szCs w:val="24"/>
        </w:rPr>
        <w:t xml:space="preserve"> </w:t>
      </w:r>
      <w:r w:rsidR="00CD7198" w:rsidRPr="006D59BB">
        <w:rPr>
          <w:rFonts w:ascii="Times New Roman" w:eastAsia="Aptos" w:hAnsi="Times New Roman" w:cs="Times New Roman"/>
          <w:sz w:val="24"/>
          <w:szCs w:val="24"/>
        </w:rPr>
        <w:t>D</w:t>
      </w:r>
      <w:r w:rsidRPr="006D59BB">
        <w:rPr>
          <w:rFonts w:ascii="Times New Roman" w:eastAsia="Aptos" w:hAnsi="Times New Roman" w:cs="Times New Roman"/>
          <w:sz w:val="24"/>
          <w:szCs w:val="24"/>
        </w:rPr>
        <w:t>okument będzie przedstawiany Sejmowi i</w:t>
      </w:r>
      <w:r w:rsidR="00B976D2" w:rsidRPr="006D59BB">
        <w:rPr>
          <w:rFonts w:ascii="Times New Roman" w:eastAsia="Aptos" w:hAnsi="Times New Roman" w:cs="Times New Roman"/>
          <w:sz w:val="24"/>
          <w:szCs w:val="24"/>
        </w:rPr>
        <w:t> </w:t>
      </w:r>
      <w:r w:rsidRPr="006D59BB">
        <w:rPr>
          <w:rFonts w:ascii="Times New Roman" w:eastAsia="Aptos" w:hAnsi="Times New Roman" w:cs="Times New Roman"/>
          <w:sz w:val="24"/>
          <w:szCs w:val="24"/>
        </w:rPr>
        <w:t>Senatowi oraz udostępniany na stronie urzędu obsługującego ministra właściwego do spraw gospodarki. Doświadczenia z realizacji bieżącego przeglądu prawa gospodarczego zgodnie z art. 70 ust. 1 i oceny projektowanych rozwiązań zgodnie z art. 68a ust. 1 będą stanowiły podstawę do wypracowania konkretnych działań, w tym o</w:t>
      </w:r>
      <w:r w:rsidR="006100AF" w:rsidRPr="006D59BB">
        <w:rPr>
          <w:rFonts w:ascii="Times New Roman" w:eastAsia="Aptos" w:hAnsi="Times New Roman" w:cs="Times New Roman"/>
          <w:sz w:val="24"/>
          <w:szCs w:val="24"/>
        </w:rPr>
        <w:t> </w:t>
      </w:r>
      <w:r w:rsidRPr="006D59BB">
        <w:rPr>
          <w:rFonts w:ascii="Times New Roman" w:eastAsia="Aptos" w:hAnsi="Times New Roman" w:cs="Times New Roman"/>
          <w:sz w:val="24"/>
          <w:szCs w:val="24"/>
        </w:rPr>
        <w:t xml:space="preserve">charakterze </w:t>
      </w:r>
      <w:proofErr w:type="spellStart"/>
      <w:r w:rsidRPr="006D59BB">
        <w:rPr>
          <w:rFonts w:ascii="Times New Roman" w:eastAsia="Aptos" w:hAnsi="Times New Roman" w:cs="Times New Roman"/>
          <w:sz w:val="24"/>
          <w:szCs w:val="24"/>
        </w:rPr>
        <w:t>pozalegislacyjnym</w:t>
      </w:r>
      <w:proofErr w:type="spellEnd"/>
      <w:r w:rsidRPr="006D59BB">
        <w:rPr>
          <w:rFonts w:ascii="Times New Roman" w:eastAsia="Aptos" w:hAnsi="Times New Roman" w:cs="Times New Roman"/>
          <w:sz w:val="24"/>
          <w:szCs w:val="24"/>
        </w:rPr>
        <w:t>, które znajdą się w programie regulacyjnym. Dokument ten będzie stanowił jednocześnie potwierdzenie wdrażania rekomendacji OECD dot. polityki regulacyjnej i</w:t>
      </w:r>
      <w:r w:rsidR="006100AF" w:rsidRPr="006D59BB">
        <w:rPr>
          <w:rFonts w:ascii="Times New Roman" w:eastAsia="Aptos" w:hAnsi="Times New Roman" w:cs="Times New Roman"/>
          <w:sz w:val="24"/>
          <w:szCs w:val="24"/>
        </w:rPr>
        <w:t> </w:t>
      </w:r>
      <w:r w:rsidRPr="006D59BB">
        <w:rPr>
          <w:rFonts w:ascii="Times New Roman" w:eastAsia="Aptos" w:hAnsi="Times New Roman" w:cs="Times New Roman"/>
          <w:sz w:val="24"/>
          <w:szCs w:val="24"/>
        </w:rPr>
        <w:t>zarządzania, które m.in. zobowiązują do przyjęcia jasnej ogólnej polityki rządu w zakresie jakości regulacji</w:t>
      </w:r>
      <w:r w:rsidRPr="006D59BB">
        <w:rPr>
          <w:rFonts w:ascii="Times New Roman" w:eastAsia="Aptos" w:hAnsi="Times New Roman" w:cs="Times New Roman"/>
          <w:sz w:val="24"/>
          <w:szCs w:val="24"/>
          <w:vertAlign w:val="superscript"/>
        </w:rPr>
        <w:footnoteReference w:id="6"/>
      </w:r>
      <w:r w:rsidR="00A70DA6" w:rsidRPr="006D59BB">
        <w:rPr>
          <w:rFonts w:ascii="Times New Roman" w:eastAsia="Aptos" w:hAnsi="Times New Roman" w:cs="Times New Roman"/>
          <w:sz w:val="24"/>
          <w:szCs w:val="24"/>
          <w:vertAlign w:val="superscript"/>
        </w:rPr>
        <w:t>)</w:t>
      </w:r>
      <w:r w:rsidRPr="006D59BB">
        <w:rPr>
          <w:rFonts w:ascii="Times New Roman" w:eastAsia="Aptos" w:hAnsi="Times New Roman" w:cs="Times New Roman"/>
          <w:sz w:val="24"/>
          <w:szCs w:val="24"/>
        </w:rPr>
        <w:t xml:space="preserve">. </w:t>
      </w:r>
    </w:p>
    <w:p w14:paraId="5B901701" w14:textId="69737B29" w:rsidR="00A45086" w:rsidRPr="006D59BB" w:rsidRDefault="00D42CA2" w:rsidP="006D59BB">
      <w:pPr>
        <w:spacing w:before="120" w:after="0" w:line="360" w:lineRule="auto"/>
        <w:jc w:val="both"/>
        <w:rPr>
          <w:rFonts w:ascii="Times New Roman" w:eastAsia="Aptos" w:hAnsi="Times New Roman" w:cs="Times New Roman"/>
          <w:sz w:val="24"/>
          <w:szCs w:val="24"/>
        </w:rPr>
      </w:pPr>
      <w:r w:rsidRPr="006D59BB">
        <w:rPr>
          <w:rFonts w:ascii="Times New Roman" w:eastAsia="Aptos" w:hAnsi="Times New Roman" w:cs="Times New Roman"/>
          <w:sz w:val="24"/>
          <w:szCs w:val="24"/>
        </w:rPr>
        <w:t xml:space="preserve">Zgodnie z projektem minister właściwy do spraw gospodarki koordynuje realizację programu, co oznacza m.in. konieczność upowszechniania standardów i rekomendacji w zakresie objętym programem, gromadzenia i analizowania informacji związanych z inicjatywami legislacyjnymi, przygotowywanie i przedstawianie informacji w ramach zobowiązań Rzeczypospolitej Polskiej wynikających m.in. z członkostwa Polski w OECD, jak w szczególności w ramach okresowego przedstawiania przez państwa członkowskie informacji w badaniu </w:t>
      </w:r>
      <w:proofErr w:type="spellStart"/>
      <w:r w:rsidRPr="006D59BB">
        <w:rPr>
          <w:rFonts w:ascii="Times New Roman" w:eastAsia="Aptos" w:hAnsi="Times New Roman" w:cs="Times New Roman"/>
          <w:sz w:val="24"/>
          <w:szCs w:val="24"/>
        </w:rPr>
        <w:t>iREG</w:t>
      </w:r>
      <w:proofErr w:type="spellEnd"/>
      <w:r w:rsidRPr="006D59BB">
        <w:rPr>
          <w:rFonts w:ascii="Times New Roman" w:eastAsia="Aptos" w:hAnsi="Times New Roman" w:cs="Times New Roman"/>
          <w:sz w:val="24"/>
          <w:szCs w:val="24"/>
        </w:rPr>
        <w:t>, na podstawie którego opracowywane i publikowane są co trzy lata raporty Regulatory Policy Outlook. Raport podsumowuje działania we wszystkich państwach członkowskich i wskazuje miejsca poszczególnych państw w</w:t>
      </w:r>
      <w:r w:rsidR="005D5D55" w:rsidRPr="006D59BB">
        <w:rPr>
          <w:rFonts w:ascii="Times New Roman" w:eastAsia="Aptos" w:hAnsi="Times New Roman" w:cs="Times New Roman"/>
          <w:sz w:val="24"/>
          <w:szCs w:val="24"/>
        </w:rPr>
        <w:t> </w:t>
      </w:r>
      <w:r w:rsidRPr="006D59BB">
        <w:rPr>
          <w:rFonts w:ascii="Times New Roman" w:eastAsia="Aptos" w:hAnsi="Times New Roman" w:cs="Times New Roman"/>
          <w:sz w:val="24"/>
          <w:szCs w:val="24"/>
        </w:rPr>
        <w:t xml:space="preserve">rankingach. </w:t>
      </w:r>
      <w:r w:rsidR="00A45086" w:rsidRPr="006D59BB">
        <w:rPr>
          <w:rFonts w:ascii="Times New Roman" w:eastAsia="Aptos" w:hAnsi="Times New Roman" w:cs="Times New Roman"/>
          <w:sz w:val="24"/>
          <w:szCs w:val="24"/>
        </w:rPr>
        <w:t>Ze względu na objęcie programem regulacyjnym również problematyki zmniejszania obciążeń regulacyjnych ‒ koordynacja ministra właściwego do spraw gospodarki będzie polegała również na przedstawianiu rekomendacji i standardów w tym zakresie (z uwzględnieniem określonych w programie priorytetów rządu) w toku rządowego procesu legislacyjnego.</w:t>
      </w:r>
    </w:p>
    <w:p w14:paraId="163B8352" w14:textId="75F7361C" w:rsidR="00F02C59" w:rsidRPr="006D59BB" w:rsidRDefault="00F02C59" w:rsidP="006D59BB">
      <w:pPr>
        <w:spacing w:before="120" w:after="0" w:line="360" w:lineRule="auto"/>
        <w:jc w:val="both"/>
        <w:rPr>
          <w:rFonts w:ascii="Times New Roman" w:eastAsia="Aptos" w:hAnsi="Times New Roman" w:cs="Times New Roman"/>
          <w:sz w:val="24"/>
          <w:szCs w:val="24"/>
        </w:rPr>
      </w:pPr>
      <w:r w:rsidRPr="006D59BB" w:rsidDel="0084275E">
        <w:rPr>
          <w:rFonts w:ascii="Times New Roman" w:eastAsia="Aptos" w:hAnsi="Times New Roman" w:cs="Times New Roman"/>
          <w:sz w:val="24"/>
          <w:szCs w:val="24"/>
        </w:rPr>
        <w:t xml:space="preserve">Uregulowanie w </w:t>
      </w:r>
      <w:proofErr w:type="spellStart"/>
      <w:r w:rsidRPr="006D59BB" w:rsidDel="0084275E">
        <w:rPr>
          <w:rFonts w:ascii="Times New Roman" w:eastAsia="Aptos" w:hAnsi="Times New Roman" w:cs="Times New Roman"/>
          <w:sz w:val="24"/>
          <w:szCs w:val="24"/>
        </w:rPr>
        <w:t>Pp</w:t>
      </w:r>
      <w:proofErr w:type="spellEnd"/>
      <w:r w:rsidRPr="006D59BB" w:rsidDel="0084275E">
        <w:rPr>
          <w:rFonts w:ascii="Times New Roman" w:eastAsia="Aptos" w:hAnsi="Times New Roman" w:cs="Times New Roman"/>
          <w:sz w:val="24"/>
          <w:szCs w:val="24"/>
        </w:rPr>
        <w:t xml:space="preserve"> zasad opracowywania i przyjmowania programu ma także na celu spójną prezentację wszystkich działań ukierunkowanych na zapewnienie wysokiej jakości stanowionego prawa gospodarczego w jednym akcie prawnym. </w:t>
      </w:r>
    </w:p>
    <w:p w14:paraId="7586DF5D" w14:textId="2FDA29C3" w:rsidR="004B68BF" w:rsidRPr="006D59BB" w:rsidRDefault="004B68BF" w:rsidP="008836DF">
      <w:pPr>
        <w:pStyle w:val="Styl1"/>
        <w:spacing w:before="120" w:after="0" w:line="360" w:lineRule="auto"/>
        <w:jc w:val="both"/>
        <w:rPr>
          <w:sz w:val="24"/>
          <w:szCs w:val="24"/>
        </w:rPr>
      </w:pPr>
      <w:bookmarkStart w:id="43" w:name="_Toc192358929"/>
      <w:r w:rsidRPr="006D59BB">
        <w:rPr>
          <w:sz w:val="24"/>
          <w:szCs w:val="24"/>
        </w:rPr>
        <w:t>Ustawa z dnia 6 marca 2018 r. o Centralnej Ewidencji i Informacji o Działalności Gospodarczej i Punkcie Informacji dla Przedsiębiorcy</w:t>
      </w:r>
      <w:bookmarkEnd w:id="43"/>
      <w:r w:rsidR="00C656EB">
        <w:rPr>
          <w:sz w:val="24"/>
          <w:szCs w:val="24"/>
        </w:rPr>
        <w:t xml:space="preserve"> </w:t>
      </w:r>
    </w:p>
    <w:p w14:paraId="36D45C4E" w14:textId="30D0EE84" w:rsidR="004B68BF" w:rsidRPr="006D59BB" w:rsidDel="0084275E" w:rsidRDefault="004B68BF" w:rsidP="006D59BB">
      <w:pPr>
        <w:spacing w:before="120" w:after="0" w:line="360" w:lineRule="auto"/>
        <w:jc w:val="both"/>
        <w:rPr>
          <w:rFonts w:ascii="Times New Roman" w:eastAsia="Aptos" w:hAnsi="Times New Roman" w:cs="Times New Roman"/>
          <w:sz w:val="24"/>
          <w:szCs w:val="24"/>
        </w:rPr>
      </w:pPr>
      <w:r w:rsidRPr="006D59BB">
        <w:rPr>
          <w:rFonts w:ascii="Times New Roman" w:hAnsi="Times New Roman" w:cs="Times New Roman"/>
          <w:sz w:val="24"/>
          <w:szCs w:val="24"/>
        </w:rPr>
        <w:t xml:space="preserve">W związku ze zmianą polegającą na dodaniu art. 30a do ustawy z dnia 6 marca 2018 r. – Prawo przedsiębiorców, art. 41 ustawy z dnia 6 marca 2018 r. o Centralnej Ewidencji i Informacji </w:t>
      </w:r>
      <w:r w:rsidRPr="006D59BB">
        <w:rPr>
          <w:rFonts w:ascii="Times New Roman" w:hAnsi="Times New Roman" w:cs="Times New Roman"/>
          <w:sz w:val="24"/>
          <w:szCs w:val="24"/>
        </w:rPr>
        <w:lastRenderedPageBreak/>
        <w:t>o Działalności Gospodarczej i Punkcie Informacji dla Przedsiębiorcy staje się bezprzedmiotowy i powinien zostać uchylony.</w:t>
      </w:r>
    </w:p>
    <w:p w14:paraId="1ECF2F3C" w14:textId="1B21D01F" w:rsidR="006338E8" w:rsidRPr="006D59BB" w:rsidRDefault="006338E8" w:rsidP="006D59BB">
      <w:pPr>
        <w:pStyle w:val="Styl1"/>
        <w:spacing w:before="120" w:after="0" w:line="360" w:lineRule="auto"/>
        <w:rPr>
          <w:sz w:val="24"/>
          <w:szCs w:val="24"/>
        </w:rPr>
      </w:pPr>
      <w:bookmarkStart w:id="44" w:name="_Toc192358930"/>
      <w:r w:rsidRPr="006D59BB">
        <w:rPr>
          <w:sz w:val="24"/>
          <w:szCs w:val="24"/>
        </w:rPr>
        <w:t>Ustawa z dnia 6 marca 2018 r. o Rzeczniku Małych i Średnich Przedsiębiorców</w:t>
      </w:r>
      <w:bookmarkEnd w:id="44"/>
    </w:p>
    <w:p w14:paraId="6D191010" w14:textId="1FEA080C" w:rsidR="00B560BF" w:rsidRPr="006D59BB" w:rsidRDefault="00B560BF"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Zmiana w ww. ustawie jest konieczna dla usunięcia deficytu regulacji prawnych odnoszących się do zasad procesowych uczestnictwa Rzecznika Małych i Średnich Przedsiębiorców – zwanego dalej „Rzecznikiem MŚP”, w postępowaniu w sprawie skargi nadzwyczajnej przed Sądem Najwyższym. W</w:t>
      </w:r>
      <w:r w:rsidR="00D10478" w:rsidRPr="006D59BB">
        <w:rPr>
          <w:rFonts w:ascii="Times New Roman" w:hAnsi="Times New Roman" w:cs="Times New Roman"/>
          <w:sz w:val="24"/>
          <w:szCs w:val="24"/>
        </w:rPr>
        <w:t> </w:t>
      </w:r>
      <w:r w:rsidRPr="006D59BB">
        <w:rPr>
          <w:rFonts w:ascii="Times New Roman" w:hAnsi="Times New Roman" w:cs="Times New Roman"/>
          <w:sz w:val="24"/>
          <w:szCs w:val="24"/>
        </w:rPr>
        <w:t>praktyce funkcjonowania Rzecznika MŚP zarysowały się istotne problemy interpretacyjne dotyczące wymienionego powyżej przepisu prawa skutkujące powstaniem istotnej bariery przy wykonywaniu przez Rzecznika MŚP jego ustawowych uprawnień. Dostrzeżony problem wybrzmiał na kanwie kilku orzeczeń Sądu Najwyższego w przedmiocie kosztów postępowania, zapadłych w identycznych (w tym zakresie) stanach faktycznych</w:t>
      </w:r>
      <w:r w:rsidR="001A7C2E" w:rsidRPr="006D59BB">
        <w:rPr>
          <w:rFonts w:ascii="Times New Roman" w:hAnsi="Times New Roman" w:cs="Times New Roman"/>
          <w:sz w:val="24"/>
          <w:szCs w:val="24"/>
        </w:rPr>
        <w:t>.</w:t>
      </w:r>
    </w:p>
    <w:p w14:paraId="681FBE5E" w14:textId="7679565D" w:rsidR="00A00EC1" w:rsidRPr="006D59BB" w:rsidRDefault="004D44C4"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Podobne rozwiązania przewidziane są już w obecnym systemie prawnym w odniesieniu do innych organów ochrony, w tym Rzecznika Praw Obywatelskich czy Rzecznika Praw Dziecka (zob. art. 398</w:t>
      </w:r>
      <w:r w:rsidRPr="006D59BB">
        <w:rPr>
          <w:rFonts w:ascii="Times New Roman" w:hAnsi="Times New Roman" w:cs="Times New Roman"/>
          <w:sz w:val="24"/>
          <w:szCs w:val="24"/>
          <w:vertAlign w:val="superscript"/>
        </w:rPr>
        <w:t>18</w:t>
      </w:r>
      <w:r w:rsidRPr="006D59BB">
        <w:rPr>
          <w:rFonts w:ascii="Times New Roman" w:hAnsi="Times New Roman" w:cs="Times New Roman"/>
          <w:sz w:val="24"/>
          <w:szCs w:val="24"/>
        </w:rPr>
        <w:t xml:space="preserve"> </w:t>
      </w:r>
      <w:proofErr w:type="spellStart"/>
      <w:r w:rsidRPr="006D59BB">
        <w:rPr>
          <w:rFonts w:ascii="Times New Roman" w:hAnsi="Times New Roman" w:cs="Times New Roman"/>
          <w:sz w:val="24"/>
          <w:szCs w:val="24"/>
        </w:rPr>
        <w:t>Kpc</w:t>
      </w:r>
      <w:proofErr w:type="spellEnd"/>
      <w:r w:rsidRPr="006D59BB">
        <w:rPr>
          <w:rFonts w:ascii="Times New Roman" w:hAnsi="Times New Roman" w:cs="Times New Roman"/>
          <w:sz w:val="24"/>
          <w:szCs w:val="24"/>
        </w:rPr>
        <w:t xml:space="preserve"> oraz art. 95 pkt 1 ustawy z dnia 8 grudnia 2017 r. o Sądzie Najwyższym). Rzecznik MŚP posiada uprawnienie do wnoszenia skargi nadzwyczajnej (zob. art. 9 ust. 1 pkt 6 ustawy z dnia 6 marca 2018 r. o Rzeczniku Małych i Średnich Przedsiębiorców), nie posiada natomiast generalnego umocowania do wnoszenia skargi kasacyjnej – to ostatnie jest jednak możliwe w przypadkach dot. postępowań z zakresu zamówień publicznych </w:t>
      </w:r>
      <w:r w:rsidR="00A00EC1" w:rsidRPr="006D59BB">
        <w:rPr>
          <w:rFonts w:ascii="Times New Roman" w:hAnsi="Times New Roman" w:cs="Times New Roman"/>
          <w:sz w:val="24"/>
          <w:szCs w:val="24"/>
        </w:rPr>
        <w:t>(zob. art. 505 ust. 2 w zw. z art. 590 ust. 1 i 2 ustawy z dnia 11 września 2019 r. ‒ Prawo zamówień publicznych).</w:t>
      </w:r>
    </w:p>
    <w:p w14:paraId="3731F339" w14:textId="5EEC57DF" w:rsidR="006338E8" w:rsidRPr="006D59BB" w:rsidRDefault="006338E8" w:rsidP="006D59BB">
      <w:pPr>
        <w:pStyle w:val="Styl1"/>
        <w:spacing w:before="120" w:after="0" w:line="360" w:lineRule="auto"/>
        <w:rPr>
          <w:sz w:val="24"/>
          <w:szCs w:val="24"/>
        </w:rPr>
      </w:pPr>
      <w:bookmarkStart w:id="45" w:name="_Toc192358931"/>
      <w:bookmarkStart w:id="46" w:name="_Hlk174514487"/>
      <w:r w:rsidRPr="006D59BB">
        <w:rPr>
          <w:sz w:val="24"/>
          <w:szCs w:val="24"/>
        </w:rPr>
        <w:t>Ustawa z dnia 11 września 2019 r. – Prawo zamówień publicznych</w:t>
      </w:r>
      <w:bookmarkEnd w:id="45"/>
    </w:p>
    <w:bookmarkEnd w:id="46"/>
    <w:p w14:paraId="3EF4E066" w14:textId="77777777" w:rsidR="006A0481" w:rsidRPr="006D59BB" w:rsidRDefault="006A0481" w:rsidP="006D59BB">
      <w:pPr>
        <w:pStyle w:val="Akapitzlist"/>
        <w:numPr>
          <w:ilvl w:val="0"/>
          <w:numId w:val="13"/>
        </w:numPr>
        <w:tabs>
          <w:tab w:val="left" w:pos="426"/>
        </w:tabs>
        <w:spacing w:before="120" w:after="0" w:line="360" w:lineRule="auto"/>
        <w:ind w:left="0" w:firstLine="0"/>
        <w:jc w:val="both"/>
        <w:rPr>
          <w:rFonts w:ascii="Times New Roman" w:hAnsi="Times New Roman" w:cs="Times New Roman"/>
          <w:sz w:val="24"/>
          <w:szCs w:val="24"/>
        </w:rPr>
      </w:pPr>
      <w:r w:rsidRPr="006D59BB">
        <w:rPr>
          <w:rFonts w:ascii="Times New Roman" w:hAnsi="Times New Roman" w:cs="Times New Roman"/>
          <w:sz w:val="24"/>
          <w:szCs w:val="24"/>
        </w:rPr>
        <w:t xml:space="preserve">Zmiana art. 11 ust. 1 pkt 8 oraz dodanie pkt </w:t>
      </w:r>
      <w:proofErr w:type="spellStart"/>
      <w:r w:rsidRPr="006D59BB">
        <w:rPr>
          <w:rFonts w:ascii="Times New Roman" w:hAnsi="Times New Roman" w:cs="Times New Roman"/>
          <w:sz w:val="24"/>
          <w:szCs w:val="24"/>
        </w:rPr>
        <w:t>8a</w:t>
      </w:r>
      <w:proofErr w:type="spellEnd"/>
      <w:r w:rsidRPr="006D59BB">
        <w:rPr>
          <w:rFonts w:ascii="Times New Roman" w:hAnsi="Times New Roman" w:cs="Times New Roman"/>
          <w:sz w:val="24"/>
          <w:szCs w:val="24"/>
        </w:rPr>
        <w:t xml:space="preserve"> </w:t>
      </w:r>
      <w:proofErr w:type="spellStart"/>
      <w:r w:rsidRPr="006D59BB">
        <w:rPr>
          <w:rFonts w:ascii="Times New Roman" w:hAnsi="Times New Roman" w:cs="Times New Roman"/>
          <w:sz w:val="24"/>
          <w:szCs w:val="24"/>
        </w:rPr>
        <w:t>Pzp</w:t>
      </w:r>
      <w:proofErr w:type="spellEnd"/>
      <w:r w:rsidRPr="006D59BB">
        <w:rPr>
          <w:rFonts w:ascii="Times New Roman" w:hAnsi="Times New Roman" w:cs="Times New Roman"/>
          <w:sz w:val="24"/>
          <w:szCs w:val="24"/>
        </w:rPr>
        <w:t>.</w:t>
      </w:r>
    </w:p>
    <w:p w14:paraId="5351715C" w14:textId="77777777" w:rsidR="006A0481" w:rsidRPr="006D59BB" w:rsidRDefault="006A0481" w:rsidP="006D59BB">
      <w:pPr>
        <w:spacing w:before="120" w:after="0" w:line="360" w:lineRule="auto"/>
        <w:jc w:val="both"/>
        <w:rPr>
          <w:rFonts w:ascii="Times New Roman" w:eastAsia="Calibri" w:hAnsi="Times New Roman" w:cs="Times New Roman"/>
          <w:kern w:val="0"/>
          <w:sz w:val="24"/>
          <w:szCs w:val="24"/>
          <w14:ligatures w14:val="none"/>
        </w:rPr>
      </w:pPr>
      <w:r w:rsidRPr="006D59BB">
        <w:rPr>
          <w:rFonts w:ascii="Times New Roman" w:eastAsia="Calibri" w:hAnsi="Times New Roman" w:cs="Times New Roman"/>
          <w:kern w:val="0"/>
          <w:sz w:val="24"/>
          <w:szCs w:val="24"/>
          <w14:ligatures w14:val="none"/>
        </w:rPr>
        <w:t xml:space="preserve">Zgodnie z obowiązującym brzmieniem art. 11 ust. 1 pkt 8, spod stosowania </w:t>
      </w:r>
      <w:proofErr w:type="spellStart"/>
      <w:r w:rsidRPr="006D59BB">
        <w:rPr>
          <w:rFonts w:ascii="Times New Roman" w:eastAsia="Calibri" w:hAnsi="Times New Roman" w:cs="Times New Roman"/>
          <w:kern w:val="0"/>
          <w:sz w:val="24"/>
          <w:szCs w:val="24"/>
          <w14:ligatures w14:val="none"/>
        </w:rPr>
        <w:t>Pzp</w:t>
      </w:r>
      <w:proofErr w:type="spellEnd"/>
      <w:r w:rsidRPr="006D59BB">
        <w:rPr>
          <w:rFonts w:ascii="Times New Roman" w:eastAsia="Calibri" w:hAnsi="Times New Roman" w:cs="Times New Roman"/>
          <w:kern w:val="0"/>
          <w:sz w:val="24"/>
          <w:szCs w:val="24"/>
          <w14:ligatures w14:val="none"/>
        </w:rPr>
        <w:t xml:space="preserve"> wyłączone są pożyczki lub kredyty, bez względu na to, czy wiążą się one z emisją, sprzedażą, kupnem lub zbyciem papierów wartościowych lub innych instrumentów finansowych w rozumieniu ustawy z dnia 29 lipca 2005 r. o obrocie instrumentami finansowymi, z wyjątkiem kredytów zaciąganych przez jednostki samorządu terytorialnego w ramach limitów zobowiązań określonych w uchwale budżetowej. Tym samym, w obecnym stanie prawnym, stosowaniem </w:t>
      </w:r>
      <w:proofErr w:type="spellStart"/>
      <w:r w:rsidRPr="006D59BB">
        <w:rPr>
          <w:rFonts w:ascii="Times New Roman" w:eastAsia="Calibri" w:hAnsi="Times New Roman" w:cs="Times New Roman"/>
          <w:kern w:val="0"/>
          <w:sz w:val="24"/>
          <w:szCs w:val="24"/>
          <w14:ligatures w14:val="none"/>
        </w:rPr>
        <w:t>Pzp</w:t>
      </w:r>
      <w:proofErr w:type="spellEnd"/>
      <w:r w:rsidRPr="006D59BB">
        <w:rPr>
          <w:rFonts w:ascii="Times New Roman" w:eastAsia="Calibri" w:hAnsi="Times New Roman" w:cs="Times New Roman"/>
          <w:kern w:val="0"/>
          <w:sz w:val="24"/>
          <w:szCs w:val="24"/>
          <w14:ligatures w14:val="none"/>
        </w:rPr>
        <w:t xml:space="preserve"> objęte są kredyty udzielane przez banki na rzecz jednostek samorządu terytorialnego w ramach limitów zobowiązań określonych w uchwale budżetowej, natomiast stosowaniem tym nie zostały objęte pożyczki zaciągane przez jednostki samorządu terytorialnego, w tym w instytucjach pożyczkowych, finansowane wyłącznie ze środków prywatnych.</w:t>
      </w:r>
    </w:p>
    <w:p w14:paraId="7676BB1F" w14:textId="3E632EEE" w:rsidR="006A0481" w:rsidRPr="006D59BB" w:rsidRDefault="006A0481" w:rsidP="006D59BB">
      <w:pPr>
        <w:spacing w:before="120" w:after="0" w:line="360" w:lineRule="auto"/>
        <w:jc w:val="both"/>
        <w:rPr>
          <w:rFonts w:ascii="Times New Roman" w:eastAsia="Calibri" w:hAnsi="Times New Roman" w:cs="Times New Roman"/>
          <w:kern w:val="0"/>
          <w:sz w:val="24"/>
          <w:szCs w:val="24"/>
          <w14:ligatures w14:val="none"/>
        </w:rPr>
      </w:pPr>
      <w:r w:rsidRPr="006D59BB">
        <w:rPr>
          <w:rFonts w:ascii="Times New Roman" w:eastAsia="Calibri" w:hAnsi="Times New Roman" w:cs="Times New Roman"/>
          <w:kern w:val="0"/>
          <w:sz w:val="24"/>
          <w:szCs w:val="24"/>
          <w14:ligatures w14:val="none"/>
        </w:rPr>
        <w:lastRenderedPageBreak/>
        <w:t xml:space="preserve">Powyższe zróżnicowanie stosowania </w:t>
      </w:r>
      <w:proofErr w:type="spellStart"/>
      <w:r w:rsidRPr="006D59BB">
        <w:rPr>
          <w:rFonts w:ascii="Times New Roman" w:eastAsia="Calibri" w:hAnsi="Times New Roman" w:cs="Times New Roman"/>
          <w:kern w:val="0"/>
          <w:sz w:val="24"/>
          <w:szCs w:val="24"/>
          <w14:ligatures w14:val="none"/>
        </w:rPr>
        <w:t>Pzp</w:t>
      </w:r>
      <w:proofErr w:type="spellEnd"/>
      <w:r w:rsidRPr="006D59BB">
        <w:rPr>
          <w:rFonts w:ascii="Times New Roman" w:eastAsia="Calibri" w:hAnsi="Times New Roman" w:cs="Times New Roman"/>
          <w:kern w:val="0"/>
          <w:sz w:val="24"/>
          <w:szCs w:val="24"/>
          <w14:ligatures w14:val="none"/>
        </w:rPr>
        <w:t xml:space="preserve"> do udzielania kredytu</w:t>
      </w:r>
      <w:r w:rsidR="004762C5" w:rsidRPr="006D59BB">
        <w:rPr>
          <w:rFonts w:ascii="Times New Roman" w:eastAsia="Calibri" w:hAnsi="Times New Roman" w:cs="Times New Roman"/>
          <w:kern w:val="0"/>
          <w:sz w:val="24"/>
          <w:szCs w:val="24"/>
          <w14:ligatures w14:val="none"/>
        </w:rPr>
        <w:t>,</w:t>
      </w:r>
      <w:r w:rsidRPr="006D59BB">
        <w:rPr>
          <w:rFonts w:ascii="Times New Roman" w:eastAsia="Calibri" w:hAnsi="Times New Roman" w:cs="Times New Roman"/>
          <w:kern w:val="0"/>
          <w:sz w:val="24"/>
          <w:szCs w:val="24"/>
          <w14:ligatures w14:val="none"/>
        </w:rPr>
        <w:t xml:space="preserve"> jako czynności </w:t>
      </w:r>
      <w:r w:rsidR="004762C5" w:rsidRPr="006D59BB">
        <w:rPr>
          <w:rFonts w:ascii="Times New Roman" w:eastAsia="Calibri" w:hAnsi="Times New Roman" w:cs="Times New Roman"/>
          <w:kern w:val="0"/>
          <w:sz w:val="24"/>
          <w:szCs w:val="24"/>
          <w14:ligatures w14:val="none"/>
        </w:rPr>
        <w:t xml:space="preserve">przewidzianej </w:t>
      </w:r>
      <w:r w:rsidRPr="006D59BB">
        <w:rPr>
          <w:rFonts w:ascii="Times New Roman" w:eastAsia="Calibri" w:hAnsi="Times New Roman" w:cs="Times New Roman"/>
          <w:kern w:val="0"/>
          <w:sz w:val="24"/>
          <w:szCs w:val="24"/>
          <w14:ligatures w14:val="none"/>
        </w:rPr>
        <w:t xml:space="preserve">wyłącznie dla banku, </w:t>
      </w:r>
      <w:r w:rsidR="004762C5" w:rsidRPr="006D59BB">
        <w:rPr>
          <w:rFonts w:ascii="Times New Roman" w:eastAsia="Calibri" w:hAnsi="Times New Roman" w:cs="Times New Roman"/>
          <w:kern w:val="0"/>
          <w:sz w:val="24"/>
          <w:szCs w:val="24"/>
          <w14:ligatures w14:val="none"/>
        </w:rPr>
        <w:t xml:space="preserve">i zaciągania </w:t>
      </w:r>
      <w:r w:rsidRPr="006D59BB">
        <w:rPr>
          <w:rFonts w:ascii="Times New Roman" w:eastAsia="Calibri" w:hAnsi="Times New Roman" w:cs="Times New Roman"/>
          <w:kern w:val="0"/>
          <w:sz w:val="24"/>
          <w:szCs w:val="24"/>
          <w14:ligatures w14:val="none"/>
        </w:rPr>
        <w:t>pożyczk</w:t>
      </w:r>
      <w:r w:rsidR="004762C5" w:rsidRPr="006D59BB">
        <w:rPr>
          <w:rFonts w:ascii="Times New Roman" w:eastAsia="Calibri" w:hAnsi="Times New Roman" w:cs="Times New Roman"/>
          <w:kern w:val="0"/>
          <w:sz w:val="24"/>
          <w:szCs w:val="24"/>
          <w14:ligatures w14:val="none"/>
        </w:rPr>
        <w:t>i</w:t>
      </w:r>
      <w:r w:rsidRPr="006D59BB">
        <w:rPr>
          <w:rFonts w:ascii="Times New Roman" w:eastAsia="Calibri" w:hAnsi="Times New Roman" w:cs="Times New Roman"/>
          <w:kern w:val="0"/>
          <w:sz w:val="24"/>
          <w:szCs w:val="24"/>
          <w14:ligatures w14:val="none"/>
        </w:rPr>
        <w:t xml:space="preserve">, która może być udzielona zarówno przez bank, inną instytucję finansową, czy nawet osobę fizyczną, nie znajduje uzasadnienia ani w przepisach unijnych ani w regulacjach krajowych. </w:t>
      </w:r>
    </w:p>
    <w:p w14:paraId="43F59942" w14:textId="7C8A7812" w:rsidR="006A0481" w:rsidRPr="006D59BB" w:rsidRDefault="006A0481" w:rsidP="006D59BB">
      <w:pPr>
        <w:spacing w:before="120" w:after="0" w:line="360" w:lineRule="auto"/>
        <w:jc w:val="both"/>
        <w:rPr>
          <w:rFonts w:ascii="Times New Roman" w:eastAsia="Calibri" w:hAnsi="Times New Roman" w:cs="Times New Roman"/>
          <w:kern w:val="0"/>
          <w:sz w:val="24"/>
          <w:szCs w:val="24"/>
          <w14:ligatures w14:val="none"/>
        </w:rPr>
      </w:pPr>
      <w:r w:rsidRPr="006D59BB">
        <w:rPr>
          <w:rFonts w:ascii="Times New Roman" w:eastAsia="Calibri" w:hAnsi="Times New Roman" w:cs="Times New Roman"/>
          <w:kern w:val="0"/>
          <w:sz w:val="24"/>
          <w:szCs w:val="24"/>
          <w14:ligatures w14:val="none"/>
        </w:rPr>
        <w:t xml:space="preserve">Jednocześnie, projekt przewiduje dodanie pkt 8a w art. 11 ust. 1 </w:t>
      </w:r>
      <w:proofErr w:type="spellStart"/>
      <w:r w:rsidRPr="006D59BB">
        <w:rPr>
          <w:rFonts w:ascii="Times New Roman" w:eastAsia="Calibri" w:hAnsi="Times New Roman" w:cs="Times New Roman"/>
          <w:kern w:val="0"/>
          <w:sz w:val="24"/>
          <w:szCs w:val="24"/>
          <w14:ligatures w14:val="none"/>
        </w:rPr>
        <w:t>Pzp</w:t>
      </w:r>
      <w:proofErr w:type="spellEnd"/>
      <w:r w:rsidRPr="006D59BB">
        <w:rPr>
          <w:rFonts w:ascii="Times New Roman" w:eastAsia="Calibri" w:hAnsi="Times New Roman" w:cs="Times New Roman"/>
          <w:kern w:val="0"/>
          <w:sz w:val="24"/>
          <w:szCs w:val="24"/>
          <w14:ligatures w14:val="none"/>
        </w:rPr>
        <w:t xml:space="preserve">, którego celem jest pozostawienie niezmienionego stanu prawnego w zakresie wyłączenia spod stosowania </w:t>
      </w:r>
      <w:proofErr w:type="spellStart"/>
      <w:r w:rsidRPr="006D59BB">
        <w:rPr>
          <w:rFonts w:ascii="Times New Roman" w:eastAsia="Calibri" w:hAnsi="Times New Roman" w:cs="Times New Roman"/>
          <w:kern w:val="0"/>
          <w:sz w:val="24"/>
          <w:szCs w:val="24"/>
          <w14:ligatures w14:val="none"/>
        </w:rPr>
        <w:t>Pzp</w:t>
      </w:r>
      <w:proofErr w:type="spellEnd"/>
      <w:r w:rsidRPr="006D59BB">
        <w:rPr>
          <w:rFonts w:ascii="Times New Roman" w:eastAsia="Calibri" w:hAnsi="Times New Roman" w:cs="Times New Roman"/>
          <w:kern w:val="0"/>
          <w:sz w:val="24"/>
          <w:szCs w:val="24"/>
          <w14:ligatures w14:val="none"/>
        </w:rPr>
        <w:t xml:space="preserve"> w przypadku pożyczek zaciąganych przez jednostki samorządu terytorialnego w ramach limitów zobowiązań określonych w uchwale budżetowej, finansowanych ze środków publicznych, w tym środków europejskich, a także ze środków pochodzących z europejskich lub międzynarodowych instytucji finansujących</w:t>
      </w:r>
      <w:r w:rsidR="00F3454F" w:rsidRPr="006D59BB">
        <w:rPr>
          <w:rFonts w:ascii="Times New Roman" w:eastAsia="Calibri" w:hAnsi="Times New Roman" w:cs="Times New Roman"/>
          <w:kern w:val="0"/>
          <w:sz w:val="24"/>
          <w:szCs w:val="24"/>
          <w14:ligatures w14:val="none"/>
        </w:rPr>
        <w:t xml:space="preserve"> </w:t>
      </w:r>
      <w:r w:rsidRPr="006D59BB">
        <w:rPr>
          <w:rFonts w:ascii="Times New Roman" w:eastAsia="Calibri" w:hAnsi="Times New Roman" w:cs="Times New Roman"/>
          <w:kern w:val="0"/>
          <w:sz w:val="24"/>
          <w:szCs w:val="24"/>
          <w14:ligatures w14:val="none"/>
        </w:rPr>
        <w:t xml:space="preserve">(w tym zaciąganych zgodnie z art. 90 ustawy z dnia 27 sierpnia 2009 r. o finansach publicznych). Wśród zamówień wyłączonych spod stosowania </w:t>
      </w:r>
      <w:proofErr w:type="spellStart"/>
      <w:r w:rsidRPr="006D59BB">
        <w:rPr>
          <w:rFonts w:ascii="Times New Roman" w:eastAsia="Calibri" w:hAnsi="Times New Roman" w:cs="Times New Roman"/>
          <w:kern w:val="0"/>
          <w:sz w:val="24"/>
          <w:szCs w:val="24"/>
          <w14:ligatures w14:val="none"/>
        </w:rPr>
        <w:t>Pzp</w:t>
      </w:r>
      <w:proofErr w:type="spellEnd"/>
      <w:r w:rsidRPr="006D59BB">
        <w:rPr>
          <w:rFonts w:ascii="Times New Roman" w:eastAsia="Calibri" w:hAnsi="Times New Roman" w:cs="Times New Roman"/>
          <w:kern w:val="0"/>
          <w:sz w:val="24"/>
          <w:szCs w:val="24"/>
          <w14:ligatures w14:val="none"/>
        </w:rPr>
        <w:t xml:space="preserve"> wskazano również zamówienia, których przedmiotem są pożyczki finansowane ze środków podmiotów, o których mowa w art. 2 pkt 3 Rozporządzenia Parlamentu Europejskiego i Rady (UE) 2015/1017 z dnia 25 czerwca 2015 r. w sprawie Europejskiego Funduszu na rzecz Inwestycji Strategicznych, Europejskiego Centrum Doradztwa Inwestycyjnego i Europejskiego Portalu Projektów Inwestycyjnych oraz zmieniającego rozporządzenia (UE) nr 1291/2013 i (UE) nr 1316/2013.</w:t>
      </w:r>
    </w:p>
    <w:p w14:paraId="400562B3" w14:textId="7831CC4E" w:rsidR="006A0481" w:rsidRPr="006D59BB" w:rsidRDefault="006A0481" w:rsidP="006D59BB">
      <w:pPr>
        <w:spacing w:before="120" w:after="0" w:line="360" w:lineRule="auto"/>
        <w:jc w:val="both"/>
        <w:rPr>
          <w:rFonts w:ascii="Times New Roman" w:eastAsia="Calibri" w:hAnsi="Times New Roman" w:cs="Times New Roman"/>
          <w:kern w:val="0"/>
          <w:sz w:val="24"/>
          <w:szCs w:val="24"/>
          <w14:ligatures w14:val="none"/>
        </w:rPr>
      </w:pPr>
      <w:r w:rsidRPr="006D59BB">
        <w:rPr>
          <w:rFonts w:ascii="Times New Roman" w:eastAsia="Calibri" w:hAnsi="Times New Roman" w:cs="Times New Roman"/>
          <w:kern w:val="0"/>
          <w:sz w:val="24"/>
          <w:szCs w:val="24"/>
          <w14:ligatures w14:val="none"/>
        </w:rPr>
        <w:t xml:space="preserve">Tym samym, w nowym stanie prawnym </w:t>
      </w:r>
      <w:r w:rsidR="004762C5" w:rsidRPr="006D59BB">
        <w:rPr>
          <w:rFonts w:ascii="Times New Roman" w:eastAsia="Calibri" w:hAnsi="Times New Roman" w:cs="Times New Roman"/>
          <w:kern w:val="0"/>
          <w:sz w:val="24"/>
          <w:szCs w:val="24"/>
          <w14:ligatures w14:val="none"/>
        </w:rPr>
        <w:t xml:space="preserve">wykreowanym zgodnie z nadawanym brzmieniem art. 11 ust. 1 pkt 8, </w:t>
      </w:r>
      <w:proofErr w:type="spellStart"/>
      <w:r w:rsidRPr="006D59BB">
        <w:rPr>
          <w:rFonts w:ascii="Times New Roman" w:eastAsia="Calibri" w:hAnsi="Times New Roman" w:cs="Times New Roman"/>
          <w:kern w:val="0"/>
          <w:sz w:val="24"/>
          <w:szCs w:val="24"/>
          <w14:ligatures w14:val="none"/>
        </w:rPr>
        <w:t>Pzp</w:t>
      </w:r>
      <w:proofErr w:type="spellEnd"/>
      <w:r w:rsidRPr="006D59BB">
        <w:rPr>
          <w:rFonts w:ascii="Times New Roman" w:eastAsia="Calibri" w:hAnsi="Times New Roman" w:cs="Times New Roman"/>
          <w:kern w:val="0"/>
          <w:sz w:val="24"/>
          <w:szCs w:val="24"/>
          <w14:ligatures w14:val="none"/>
        </w:rPr>
        <w:t xml:space="preserve"> będzie miało zastosowanie do udzielania zamówień, których przedmiotem są pożyczki </w:t>
      </w:r>
      <w:r w:rsidR="004762C5" w:rsidRPr="006D59BB">
        <w:rPr>
          <w:rFonts w:ascii="Times New Roman" w:eastAsia="Calibri" w:hAnsi="Times New Roman" w:cs="Times New Roman"/>
          <w:kern w:val="0"/>
          <w:sz w:val="24"/>
          <w:szCs w:val="24"/>
          <w14:ligatures w14:val="none"/>
        </w:rPr>
        <w:t xml:space="preserve">zaciągane przez jednostki samorządu terytorialnego, z wyjątkiem tych pożyczek, które </w:t>
      </w:r>
      <w:r w:rsidRPr="006D59BB">
        <w:rPr>
          <w:rFonts w:ascii="Times New Roman" w:eastAsia="Calibri" w:hAnsi="Times New Roman" w:cs="Times New Roman"/>
          <w:kern w:val="0"/>
          <w:sz w:val="24"/>
          <w:szCs w:val="24"/>
          <w14:ligatures w14:val="none"/>
        </w:rPr>
        <w:t xml:space="preserve">objęte </w:t>
      </w:r>
      <w:r w:rsidR="004762C5" w:rsidRPr="006D59BB">
        <w:rPr>
          <w:rFonts w:ascii="Times New Roman" w:eastAsia="Calibri" w:hAnsi="Times New Roman" w:cs="Times New Roman"/>
          <w:kern w:val="0"/>
          <w:sz w:val="24"/>
          <w:szCs w:val="24"/>
          <w14:ligatures w14:val="none"/>
        </w:rPr>
        <w:t xml:space="preserve">są </w:t>
      </w:r>
      <w:r w:rsidRPr="006D59BB">
        <w:rPr>
          <w:rFonts w:ascii="Times New Roman" w:eastAsia="Calibri" w:hAnsi="Times New Roman" w:cs="Times New Roman"/>
          <w:kern w:val="0"/>
          <w:sz w:val="24"/>
          <w:szCs w:val="24"/>
          <w14:ligatures w14:val="none"/>
        </w:rPr>
        <w:t>zakresem normy uregulowanej w pkt 8a.</w:t>
      </w:r>
    </w:p>
    <w:p w14:paraId="29A8522F" w14:textId="77777777" w:rsidR="006A0481" w:rsidRPr="006D59BB" w:rsidRDefault="006A0481" w:rsidP="006D59BB">
      <w:pPr>
        <w:pStyle w:val="Akapitzlist"/>
        <w:numPr>
          <w:ilvl w:val="0"/>
          <w:numId w:val="13"/>
        </w:numPr>
        <w:tabs>
          <w:tab w:val="left" w:pos="426"/>
        </w:tabs>
        <w:spacing w:before="120" w:after="0" w:line="360" w:lineRule="auto"/>
        <w:ind w:left="0" w:firstLine="0"/>
        <w:jc w:val="both"/>
        <w:rPr>
          <w:rFonts w:ascii="Times New Roman" w:hAnsi="Times New Roman" w:cs="Times New Roman"/>
          <w:sz w:val="24"/>
          <w:szCs w:val="24"/>
        </w:rPr>
      </w:pPr>
      <w:r w:rsidRPr="006D59BB">
        <w:rPr>
          <w:rFonts w:ascii="Times New Roman" w:hAnsi="Times New Roman" w:cs="Times New Roman"/>
          <w:sz w:val="24"/>
          <w:szCs w:val="24"/>
        </w:rPr>
        <w:t>Zmiany w zakresie postępowania przed Krajową Izbą Odwoławczą</w:t>
      </w:r>
    </w:p>
    <w:p w14:paraId="396590CB" w14:textId="77777777" w:rsidR="006A0481" w:rsidRPr="006D59BB" w:rsidRDefault="006A0481"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 xml:space="preserve">Zmiany projektowane w </w:t>
      </w:r>
      <w:proofErr w:type="spellStart"/>
      <w:r w:rsidRPr="006D59BB">
        <w:rPr>
          <w:rFonts w:ascii="Times New Roman" w:hAnsi="Times New Roman" w:cs="Times New Roman"/>
          <w:sz w:val="24"/>
          <w:szCs w:val="24"/>
        </w:rPr>
        <w:t>Pzp</w:t>
      </w:r>
      <w:proofErr w:type="spellEnd"/>
      <w:r w:rsidRPr="006D59BB">
        <w:rPr>
          <w:rFonts w:ascii="Times New Roman" w:hAnsi="Times New Roman" w:cs="Times New Roman"/>
          <w:sz w:val="24"/>
          <w:szCs w:val="24"/>
        </w:rPr>
        <w:t xml:space="preserve">, mają na celu umożliwienie stronom oraz uczestnikom postępowania odwoławczego przed Krajową Izbą Odwoławczą (dalej: „Izba” lub „KIO”) udziału w rozprawach i posiedzeniach za pośrednictwem środków informatycznych pozwalających na komunikowanie się na odległość. Tego typu rozwiązania funkcjonują obecnie na gruncie </w:t>
      </w:r>
      <w:proofErr w:type="spellStart"/>
      <w:r w:rsidRPr="006D59BB">
        <w:rPr>
          <w:rFonts w:ascii="Times New Roman" w:hAnsi="Times New Roman" w:cs="Times New Roman"/>
          <w:sz w:val="24"/>
          <w:szCs w:val="24"/>
        </w:rPr>
        <w:t>Kpc</w:t>
      </w:r>
      <w:proofErr w:type="spellEnd"/>
      <w:r w:rsidRPr="006D59BB">
        <w:rPr>
          <w:rFonts w:ascii="Times New Roman" w:hAnsi="Times New Roman" w:cs="Times New Roman"/>
          <w:sz w:val="24"/>
          <w:szCs w:val="24"/>
        </w:rPr>
        <w:t xml:space="preserve"> i mają zastosowanie m.in. w postępowaniu toczącym się wskutek wniesienia skargi na orzeczenie Izby.</w:t>
      </w:r>
    </w:p>
    <w:p w14:paraId="08708CAC" w14:textId="73AFDC18" w:rsidR="006A0481" w:rsidRPr="006D59BB" w:rsidRDefault="006A0481" w:rsidP="006D59BB">
      <w:pPr>
        <w:pStyle w:val="ARTartustawynprozporzdzenia"/>
        <w:ind w:firstLine="0"/>
        <w:rPr>
          <w:rFonts w:ascii="Times New Roman" w:hAnsi="Times New Roman" w:cs="Times New Roman"/>
          <w:szCs w:val="24"/>
        </w:rPr>
      </w:pPr>
      <w:r w:rsidRPr="006D59BB">
        <w:rPr>
          <w:rFonts w:ascii="Times New Roman" w:hAnsi="Times New Roman" w:cs="Times New Roman"/>
          <w:szCs w:val="24"/>
        </w:rPr>
        <w:t xml:space="preserve">Rozprawy lub posiedzenia będą mogły być przeprowadzane przy użyciu urządzeń technicznych umożliwiających ich przeprowadzenie na odległość (zdalne rozprawy lub zdalne posiedzenia), jeżeli nie będzie stał temu na przeszkodzie wzgląd na charakter czynności, które mają być dokonane na rozprawie lub posiedzeniu oraz nie będą występowały inne okoliczności </w:t>
      </w:r>
      <w:r w:rsidRPr="006D59BB">
        <w:rPr>
          <w:rFonts w:ascii="Times New Roman" w:hAnsi="Times New Roman" w:cs="Times New Roman"/>
          <w:szCs w:val="24"/>
        </w:rPr>
        <w:lastRenderedPageBreak/>
        <w:t xml:space="preserve">utrudniające przeprowadzenie zdalnej rozprawy lub zdalnego posiedzenia i zostanie zagwarantowana pełna ochrona praw procesowych stron i uczestników postępowania odwoławczego jak również prawidłowy tok tego postępowania. Dodanie regulacji art. 508a ust. 1 w ramach przepisów ogólnych </w:t>
      </w:r>
      <w:proofErr w:type="spellStart"/>
      <w:r w:rsidRPr="006D59BB">
        <w:rPr>
          <w:rFonts w:ascii="Times New Roman" w:hAnsi="Times New Roman" w:cs="Times New Roman"/>
          <w:szCs w:val="24"/>
        </w:rPr>
        <w:t>Pzp</w:t>
      </w:r>
      <w:proofErr w:type="spellEnd"/>
      <w:r w:rsidRPr="006D59BB">
        <w:rPr>
          <w:rFonts w:ascii="Times New Roman" w:hAnsi="Times New Roman" w:cs="Times New Roman"/>
          <w:szCs w:val="24"/>
        </w:rPr>
        <w:t xml:space="preserve"> odnoszących się do postępowania odwoławczego (tj. Dział IX Środki ochrony prawnej, Rozdział 2 Postępowanie odwoławcze Oddział 1 Przepisy ogólne) ma na celu wprowadzanie generalnej zasady: jeżeli nie będzie przeszkód do przeprowadzenia zdalnej rozprawy i zdalnego posiedzenia jak np. objęcie informacji klauzulą tajności czy duża liczba uczestników postępowania, rozprawy i posiedzenia będą zdalne.</w:t>
      </w:r>
    </w:p>
    <w:p w14:paraId="60D15C8D" w14:textId="21FEE85C" w:rsidR="006A0481" w:rsidRPr="006D59BB" w:rsidRDefault="006A0481" w:rsidP="006D59BB">
      <w:pPr>
        <w:pStyle w:val="ARTartustawynprozporzdzenia"/>
        <w:ind w:firstLine="0"/>
        <w:rPr>
          <w:rFonts w:ascii="Times New Roman" w:hAnsi="Times New Roman" w:cs="Times New Roman"/>
          <w:szCs w:val="24"/>
        </w:rPr>
      </w:pPr>
      <w:r w:rsidRPr="006D59BB">
        <w:rPr>
          <w:rFonts w:ascii="Times New Roman" w:hAnsi="Times New Roman" w:cs="Times New Roman"/>
          <w:szCs w:val="24"/>
        </w:rPr>
        <w:t xml:space="preserve">Możliwość udziału w rozprawach i posiedzeniach za pośrednictwem środków informatycznych pozwalających na komunikowanie się na odległość będzie dotyczyć: jawnej rozprawy, podczas której Izba rozpoznaje odwołanie (art. 545 ust. 1 </w:t>
      </w:r>
      <w:proofErr w:type="spellStart"/>
      <w:r w:rsidRPr="006D59BB">
        <w:rPr>
          <w:rFonts w:ascii="Times New Roman" w:hAnsi="Times New Roman" w:cs="Times New Roman"/>
          <w:szCs w:val="24"/>
        </w:rPr>
        <w:t>Pzp</w:t>
      </w:r>
      <w:proofErr w:type="spellEnd"/>
      <w:r w:rsidRPr="006D59BB">
        <w:rPr>
          <w:rFonts w:ascii="Times New Roman" w:hAnsi="Times New Roman" w:cs="Times New Roman"/>
          <w:szCs w:val="24"/>
        </w:rPr>
        <w:t xml:space="preserve">), posiedzenia jawnego poprzedzającego jawną rozprawę (projektowana zmiana w art. 545 ust. 1 </w:t>
      </w:r>
      <w:proofErr w:type="spellStart"/>
      <w:r w:rsidRPr="006D59BB">
        <w:rPr>
          <w:rFonts w:ascii="Times New Roman" w:hAnsi="Times New Roman" w:cs="Times New Roman"/>
          <w:szCs w:val="24"/>
        </w:rPr>
        <w:t>Pzp</w:t>
      </w:r>
      <w:proofErr w:type="spellEnd"/>
      <w:r w:rsidRPr="006D59BB">
        <w:rPr>
          <w:rFonts w:ascii="Times New Roman" w:hAnsi="Times New Roman" w:cs="Times New Roman"/>
          <w:szCs w:val="24"/>
        </w:rPr>
        <w:t xml:space="preserve">), a także posiedzenia jawnego podczas którego Izba ogłasza orzeczenie po zamknięciu rozprawy (art. 558 ust. 1 </w:t>
      </w:r>
      <w:proofErr w:type="spellStart"/>
      <w:r w:rsidRPr="006D59BB">
        <w:rPr>
          <w:rFonts w:ascii="Times New Roman" w:hAnsi="Times New Roman" w:cs="Times New Roman"/>
          <w:szCs w:val="24"/>
        </w:rPr>
        <w:t>Pzp</w:t>
      </w:r>
      <w:proofErr w:type="spellEnd"/>
      <w:r w:rsidRPr="006D59BB">
        <w:rPr>
          <w:rFonts w:ascii="Times New Roman" w:hAnsi="Times New Roman" w:cs="Times New Roman"/>
          <w:szCs w:val="24"/>
        </w:rPr>
        <w:t>).</w:t>
      </w:r>
    </w:p>
    <w:p w14:paraId="5AD884A8" w14:textId="3ED19915" w:rsidR="006A0481" w:rsidRPr="006D59BB" w:rsidRDefault="006A0481"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W związku z powyższym niezbędne jest wyposażenie Prezesa KIO w odpowiednie uprawnienie decyzyjne dotyczące wyznaczania rozprawy i posiedzenia jako zdalnych albo jako niemających takiego charakteru. Zgodnie z dodawanym ust. 3a w art. 544 Prezes Izby wyznaczając termin rozpoznania odwołania będzie mógł zarządzić przeprowadzenie zdalnej rozprawy i zdalnego posiedzenia. Prezes Izby będzie z urzędu każdorazowo oceniał, czy nie zachodzą okoliczności, o</w:t>
      </w:r>
      <w:r w:rsidR="004378D7" w:rsidRPr="006D59BB">
        <w:rPr>
          <w:rFonts w:ascii="Times New Roman" w:hAnsi="Times New Roman" w:cs="Times New Roman"/>
          <w:sz w:val="24"/>
          <w:szCs w:val="24"/>
        </w:rPr>
        <w:t xml:space="preserve"> </w:t>
      </w:r>
      <w:r w:rsidRPr="006D59BB">
        <w:rPr>
          <w:rFonts w:ascii="Times New Roman" w:hAnsi="Times New Roman" w:cs="Times New Roman"/>
          <w:sz w:val="24"/>
          <w:szCs w:val="24"/>
        </w:rPr>
        <w:t xml:space="preserve">których mowa w art. 508a ust. 1 </w:t>
      </w:r>
      <w:proofErr w:type="spellStart"/>
      <w:r w:rsidRPr="006D59BB">
        <w:rPr>
          <w:rFonts w:ascii="Times New Roman" w:hAnsi="Times New Roman" w:cs="Times New Roman"/>
          <w:sz w:val="24"/>
          <w:szCs w:val="24"/>
        </w:rPr>
        <w:t>Pzp</w:t>
      </w:r>
      <w:proofErr w:type="spellEnd"/>
      <w:r w:rsidRPr="006D59BB">
        <w:rPr>
          <w:rFonts w:ascii="Times New Roman" w:hAnsi="Times New Roman" w:cs="Times New Roman"/>
          <w:sz w:val="24"/>
          <w:szCs w:val="24"/>
        </w:rPr>
        <w:t>, uniemożliwiające lub utrudniające przeprowadzenie zdalnej rozprawy lub zdalnego posiedzenia, a następnie w</w:t>
      </w:r>
      <w:r w:rsidR="004378D7" w:rsidRPr="006D59BB">
        <w:rPr>
          <w:rFonts w:ascii="Times New Roman" w:hAnsi="Times New Roman" w:cs="Times New Roman"/>
          <w:sz w:val="24"/>
          <w:szCs w:val="24"/>
        </w:rPr>
        <w:t xml:space="preserve"> </w:t>
      </w:r>
      <w:r w:rsidRPr="006D59BB">
        <w:rPr>
          <w:rFonts w:ascii="Times New Roman" w:hAnsi="Times New Roman" w:cs="Times New Roman"/>
          <w:sz w:val="24"/>
          <w:szCs w:val="24"/>
        </w:rPr>
        <w:t>zarządzeniu o wyznaczeniu terminu będzie informował strony i uczestników postępowania odwoławczego o możliwości zdalnego udziału w</w:t>
      </w:r>
      <w:r w:rsidR="004378D7" w:rsidRPr="006D59BB">
        <w:rPr>
          <w:rFonts w:ascii="Times New Roman" w:hAnsi="Times New Roman" w:cs="Times New Roman"/>
          <w:sz w:val="24"/>
          <w:szCs w:val="24"/>
        </w:rPr>
        <w:t xml:space="preserve"> </w:t>
      </w:r>
      <w:r w:rsidRPr="006D59BB">
        <w:rPr>
          <w:rFonts w:ascii="Times New Roman" w:hAnsi="Times New Roman" w:cs="Times New Roman"/>
          <w:sz w:val="24"/>
          <w:szCs w:val="24"/>
        </w:rPr>
        <w:t>jawnej rozprawie lub posiedzeniu jawnym. Strony i uczestnicy postępowania odwoławczego będą uzyskiwały wiedzę o możliwości wzięcia przez nich udziału w zdalnej rozprawie i zdalnym posiedzeniu przed KIO z chwilą zawiadomienia ich o terminie rozprawy. Informacje o standardach technicznych oprogramowania i</w:t>
      </w:r>
      <w:r w:rsidR="00B976D2" w:rsidRPr="006D59BB">
        <w:rPr>
          <w:rFonts w:ascii="Times New Roman" w:hAnsi="Times New Roman" w:cs="Times New Roman"/>
          <w:sz w:val="24"/>
          <w:szCs w:val="24"/>
        </w:rPr>
        <w:t> </w:t>
      </w:r>
      <w:r w:rsidRPr="006D59BB">
        <w:rPr>
          <w:rFonts w:ascii="Times New Roman" w:hAnsi="Times New Roman" w:cs="Times New Roman"/>
          <w:sz w:val="24"/>
          <w:szCs w:val="24"/>
        </w:rPr>
        <w:t>wymaganiach sprzętowych niezbędnych do uczestniczenia w zdalnej rozprawie lub zdalnym posiedzeniu będą podawane w drodze obwieszczenia, na stronie podmiotowej Biuletynu Informacji Publicznej przez Prezesa Urzędu Zamówień Publicznych (proj. art. 508a ust. 3). Rozwiązanie to nawiązuje do ogólnej normy z art. 473 ust.</w:t>
      </w:r>
      <w:r w:rsidRPr="006D59BB">
        <w:rPr>
          <w:rFonts w:ascii="Times New Roman" w:eastAsia="Times New Roman" w:hAnsi="Times New Roman" w:cs="Times New Roman"/>
          <w:color w:val="000000"/>
          <w:sz w:val="24"/>
          <w:szCs w:val="24"/>
          <w:lang w:eastAsia="pl-PL"/>
        </w:rPr>
        <w:t xml:space="preserve"> 2 </w:t>
      </w:r>
      <w:proofErr w:type="spellStart"/>
      <w:r w:rsidRPr="006D59BB">
        <w:rPr>
          <w:rFonts w:ascii="Times New Roman" w:eastAsia="Times New Roman" w:hAnsi="Times New Roman" w:cs="Times New Roman"/>
          <w:color w:val="000000"/>
          <w:sz w:val="24"/>
          <w:szCs w:val="24"/>
          <w:lang w:eastAsia="pl-PL"/>
        </w:rPr>
        <w:t>Pzp</w:t>
      </w:r>
      <w:proofErr w:type="spellEnd"/>
      <w:r w:rsidRPr="006D59BB">
        <w:rPr>
          <w:rFonts w:ascii="Times New Roman" w:eastAsia="Times New Roman" w:hAnsi="Times New Roman" w:cs="Times New Roman"/>
          <w:color w:val="000000"/>
          <w:sz w:val="24"/>
          <w:szCs w:val="24"/>
          <w:lang w:eastAsia="pl-PL"/>
        </w:rPr>
        <w:t xml:space="preserve">, zgodnie z którą obsługę organizacyjno-techniczną oraz księgową Izby zapewnia Urząd Zamówień Publicznych. </w:t>
      </w:r>
      <w:r w:rsidRPr="006D59BB">
        <w:rPr>
          <w:rFonts w:ascii="Times New Roman" w:hAnsi="Times New Roman" w:cs="Times New Roman"/>
          <w:sz w:val="24"/>
          <w:szCs w:val="24"/>
        </w:rPr>
        <w:t xml:space="preserve">Szczegółowe regulacje wykonawcze dotyczące m.in. sposobu potwierdzania zdalnego udziału w jawnej rozprawie lub posiedzeniu jawnym znalazłyby się w znowelizowanych przepisach rozporządzenia Prezesa Rady Ministrów z dnia 30 grudnia 2020 </w:t>
      </w:r>
      <w:r w:rsidRPr="006D59BB">
        <w:rPr>
          <w:rFonts w:ascii="Times New Roman" w:hAnsi="Times New Roman" w:cs="Times New Roman"/>
          <w:sz w:val="24"/>
          <w:szCs w:val="24"/>
        </w:rPr>
        <w:lastRenderedPageBreak/>
        <w:t xml:space="preserve">r. w sprawie postępowania przy rozpoznawaniu </w:t>
      </w:r>
      <w:proofErr w:type="spellStart"/>
      <w:r w:rsidRPr="006D59BB">
        <w:rPr>
          <w:rFonts w:ascii="Times New Roman" w:hAnsi="Times New Roman" w:cs="Times New Roman"/>
          <w:sz w:val="24"/>
          <w:szCs w:val="24"/>
        </w:rPr>
        <w:t>odwołań</w:t>
      </w:r>
      <w:proofErr w:type="spellEnd"/>
      <w:r w:rsidRPr="006D59BB">
        <w:rPr>
          <w:rFonts w:ascii="Times New Roman" w:hAnsi="Times New Roman" w:cs="Times New Roman"/>
          <w:sz w:val="24"/>
          <w:szCs w:val="24"/>
        </w:rPr>
        <w:t xml:space="preserve"> przez Krajową Izbę Odwoławczą (Dz. U. poz. 2453), wydanego na podstawie art. 544 ust. 4 </w:t>
      </w:r>
      <w:proofErr w:type="spellStart"/>
      <w:r w:rsidRPr="006D59BB">
        <w:rPr>
          <w:rFonts w:ascii="Times New Roman" w:hAnsi="Times New Roman" w:cs="Times New Roman"/>
          <w:sz w:val="24"/>
          <w:szCs w:val="24"/>
        </w:rPr>
        <w:t>Pzp</w:t>
      </w:r>
      <w:proofErr w:type="spellEnd"/>
      <w:r w:rsidRPr="006D59BB">
        <w:rPr>
          <w:rFonts w:ascii="Times New Roman" w:hAnsi="Times New Roman" w:cs="Times New Roman"/>
          <w:sz w:val="24"/>
          <w:szCs w:val="24"/>
        </w:rPr>
        <w:t xml:space="preserve">. </w:t>
      </w:r>
    </w:p>
    <w:p w14:paraId="3F660F67" w14:textId="27D6F761" w:rsidR="006A0481" w:rsidRPr="006D59BB" w:rsidRDefault="006A0481" w:rsidP="006D59BB">
      <w:pPr>
        <w:pStyle w:val="ARTartustawynprozporzdzenia"/>
        <w:ind w:firstLine="0"/>
        <w:rPr>
          <w:rFonts w:ascii="Times New Roman" w:hAnsi="Times New Roman" w:cs="Times New Roman"/>
          <w:szCs w:val="24"/>
        </w:rPr>
      </w:pPr>
      <w:r w:rsidRPr="006D59BB">
        <w:rPr>
          <w:rFonts w:ascii="Times New Roman" w:hAnsi="Times New Roman" w:cs="Times New Roman"/>
          <w:szCs w:val="24"/>
        </w:rPr>
        <w:t>Zmienione przepisy regulują organizację zdalnych rozpraw i zdalnych posiedzeń. W</w:t>
      </w:r>
      <w:r w:rsidR="004378D7" w:rsidRPr="006D59BB">
        <w:rPr>
          <w:rFonts w:ascii="Times New Roman" w:hAnsi="Times New Roman" w:cs="Times New Roman"/>
          <w:szCs w:val="24"/>
        </w:rPr>
        <w:t xml:space="preserve"> </w:t>
      </w:r>
      <w:r w:rsidRPr="006D59BB">
        <w:rPr>
          <w:rFonts w:ascii="Times New Roman" w:hAnsi="Times New Roman" w:cs="Times New Roman"/>
          <w:szCs w:val="24"/>
        </w:rPr>
        <w:t>przypadku zdalnej rozprawy lub zdalnego posiedzenia na sali rozpraw musi być obecny skład orzekający i</w:t>
      </w:r>
      <w:r w:rsidR="004378D7" w:rsidRPr="006D59BB">
        <w:rPr>
          <w:rFonts w:ascii="Times New Roman" w:hAnsi="Times New Roman" w:cs="Times New Roman"/>
          <w:szCs w:val="24"/>
        </w:rPr>
        <w:t xml:space="preserve"> </w:t>
      </w:r>
      <w:r w:rsidRPr="006D59BB">
        <w:rPr>
          <w:rFonts w:ascii="Times New Roman" w:hAnsi="Times New Roman" w:cs="Times New Roman"/>
          <w:szCs w:val="24"/>
        </w:rPr>
        <w:t>protokolant, natomiast inne osoby uczestniczące w zdalnej rozprawie lub zdalnym posiedzeniu, w</w:t>
      </w:r>
      <w:r w:rsidR="004378D7" w:rsidRPr="006D59BB">
        <w:rPr>
          <w:rFonts w:ascii="Times New Roman" w:hAnsi="Times New Roman" w:cs="Times New Roman"/>
          <w:szCs w:val="24"/>
        </w:rPr>
        <w:t xml:space="preserve"> </w:t>
      </w:r>
      <w:r w:rsidRPr="006D59BB">
        <w:rPr>
          <w:rFonts w:ascii="Times New Roman" w:hAnsi="Times New Roman" w:cs="Times New Roman"/>
          <w:szCs w:val="24"/>
        </w:rPr>
        <w:t>szczególności strony i uczestnicy postępowania odwoławczego, mogą być obecne na sali rozpraw albo mogą brać udział w rozprawie i posiedzeniu za pośrednictwem środków informatycznych pozwalających na komunikowanie się na odległość (dodawany art. 508a ust. 2 zdanie pierwsze). W</w:t>
      </w:r>
      <w:r w:rsidR="004378D7" w:rsidRPr="006D59BB">
        <w:rPr>
          <w:rFonts w:ascii="Times New Roman" w:hAnsi="Times New Roman" w:cs="Times New Roman"/>
          <w:szCs w:val="24"/>
        </w:rPr>
        <w:t xml:space="preserve"> </w:t>
      </w:r>
      <w:r w:rsidRPr="006D59BB">
        <w:rPr>
          <w:rFonts w:ascii="Times New Roman" w:hAnsi="Times New Roman" w:cs="Times New Roman"/>
          <w:szCs w:val="24"/>
        </w:rPr>
        <w:t>przypadku zdalnej rozprawy lub zdalnego posiedzenia zapis obrazu i dźwięku z czynności procesowych odbywających się na sali rozpraw przekazywany byłby do miejsca przebywania osób, którzy zgłosili zamiar zdalnego udziału w rozprawie lub posiedzeniu, oraz z miejsca przebywania tych osób do sali rozpraw (proj. art. 508a ust. 2 zdanie drugie).</w:t>
      </w:r>
    </w:p>
    <w:p w14:paraId="4969AB3F" w14:textId="226148C4" w:rsidR="006A0481" w:rsidRPr="006D59BB" w:rsidRDefault="006A0481" w:rsidP="006D59BB">
      <w:pPr>
        <w:pStyle w:val="ARTartustawynprozporzdzenia"/>
        <w:ind w:firstLine="0"/>
        <w:rPr>
          <w:rFonts w:ascii="Times New Roman" w:hAnsi="Times New Roman" w:cs="Times New Roman"/>
          <w:szCs w:val="24"/>
        </w:rPr>
      </w:pPr>
      <w:r w:rsidRPr="006D59BB">
        <w:rPr>
          <w:rFonts w:ascii="Times New Roman" w:hAnsi="Times New Roman" w:cs="Times New Roman"/>
          <w:szCs w:val="24"/>
        </w:rPr>
        <w:t xml:space="preserve">Jak wynika z powyższego wprowadzenie instytucji zdalnego udziału w rozpatrywaniu </w:t>
      </w:r>
      <w:proofErr w:type="spellStart"/>
      <w:r w:rsidRPr="006D59BB">
        <w:rPr>
          <w:rFonts w:ascii="Times New Roman" w:hAnsi="Times New Roman" w:cs="Times New Roman"/>
          <w:szCs w:val="24"/>
        </w:rPr>
        <w:t>odwołań</w:t>
      </w:r>
      <w:proofErr w:type="spellEnd"/>
      <w:r w:rsidRPr="006D59BB">
        <w:rPr>
          <w:rFonts w:ascii="Times New Roman" w:hAnsi="Times New Roman" w:cs="Times New Roman"/>
          <w:szCs w:val="24"/>
        </w:rPr>
        <w:t xml:space="preserve"> w praktyce będzie oznaczało, że strona lub uczestnik postępowania odwoławczego będą mieli prawo wyboru: czy uczestniczyć w rozprawie i posiedzeniu za pośrednictwem środków informatycznych pozwalających na komunikowanie się na odległość, czy stawić się na sali rozpraw.</w:t>
      </w:r>
    </w:p>
    <w:p w14:paraId="75DB7F01" w14:textId="26AF56A9" w:rsidR="006A0481" w:rsidRPr="006D59BB" w:rsidRDefault="006A0481"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 xml:space="preserve">Wykorzystanie urządzeń technicznych umożliwiających uczestniczenie w rozprawie lub posiedzeniu na odległość powinno odbywać się w warunkach, które są odpowiednie do sytuacji, w szczególności respektujących powagę Izby i nie stanowiących przeszkody do dokonywania czynności procesowych. Analogiczne wymaganie przewiduje art. 151 § 8 </w:t>
      </w:r>
      <w:proofErr w:type="spellStart"/>
      <w:r w:rsidRPr="006D59BB">
        <w:rPr>
          <w:rFonts w:ascii="Times New Roman" w:hAnsi="Times New Roman" w:cs="Times New Roman"/>
          <w:sz w:val="24"/>
          <w:szCs w:val="24"/>
        </w:rPr>
        <w:t>Kpc</w:t>
      </w:r>
      <w:proofErr w:type="spellEnd"/>
      <w:r w:rsidRPr="006D59BB">
        <w:rPr>
          <w:rFonts w:ascii="Times New Roman" w:hAnsi="Times New Roman" w:cs="Times New Roman"/>
          <w:sz w:val="24"/>
          <w:szCs w:val="24"/>
        </w:rPr>
        <w:t>. Niezapewnienie takich warunków przez osobę uczestniczącą w rozprawie lub posiedzeniu przed KIO na odległość w celu zachowania sprawnego przebiegu rozprawy i posiedzenia powinno spotkać się z odpowiednią sankcją. Jeżeli warunki w</w:t>
      </w:r>
      <w:r w:rsidR="004378D7" w:rsidRPr="006D59BB">
        <w:rPr>
          <w:rFonts w:ascii="Times New Roman" w:hAnsi="Times New Roman" w:cs="Times New Roman"/>
          <w:sz w:val="24"/>
          <w:szCs w:val="24"/>
        </w:rPr>
        <w:t xml:space="preserve"> </w:t>
      </w:r>
      <w:r w:rsidRPr="006D59BB">
        <w:rPr>
          <w:rFonts w:ascii="Times New Roman" w:hAnsi="Times New Roman" w:cs="Times New Roman"/>
          <w:sz w:val="24"/>
          <w:szCs w:val="24"/>
        </w:rPr>
        <w:t>miejscu pobytu osoby biorącej udział w zdalnej rozprawie lub zdalnym posiedzeniu nie będą licowały z powagą Izby lub będą stanowiły przeszkodę do dokonania czynności procesowych lub, jeżeli zachowanie osoby uczestniczącej w rozprawie lub posiedzeniu na odległość będzie budziło uzasadnione wątpliwości co do prawidłowego przebiegu czynności dokonanych zdalnie z jej udziałem, Izba będzie mogła odmówić zdalnego udziału tej osoby w posiedzeniu lub rozprawie (proj. art. 549 ust. 5). W</w:t>
      </w:r>
      <w:r w:rsidR="004378D7" w:rsidRPr="006D59BB">
        <w:rPr>
          <w:rFonts w:ascii="Times New Roman" w:hAnsi="Times New Roman" w:cs="Times New Roman"/>
          <w:sz w:val="24"/>
          <w:szCs w:val="24"/>
        </w:rPr>
        <w:t xml:space="preserve"> </w:t>
      </w:r>
      <w:r w:rsidRPr="006D59BB">
        <w:rPr>
          <w:rFonts w:ascii="Times New Roman" w:hAnsi="Times New Roman" w:cs="Times New Roman"/>
          <w:sz w:val="24"/>
          <w:szCs w:val="24"/>
        </w:rPr>
        <w:t>takim wypadku uznane zostanie, że osoba ta nie stawiła się na zdalnej rozprawie lub zdalnym posiedzeniu.</w:t>
      </w:r>
    </w:p>
    <w:p w14:paraId="00A43185" w14:textId="77777777" w:rsidR="006A0481" w:rsidRPr="006D59BB" w:rsidRDefault="006A0481"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lastRenderedPageBreak/>
        <w:t xml:space="preserve">Dopuszczenie możliwości zdalnego udziału stron lub uczestników w postępowaniu odwoławczym będzie w sposób oczywisty łączyć się z ograniczeniem faktycznej możliwości składania przez te strony i uczestników postępowania pism oraz dokumentów podczas samej rozprawy lub posiedzenia jak również przekazywania w tym czasie pism przez Izbę. W związku z powyższym w celu utrzymania terminowego rozpatrywania </w:t>
      </w:r>
      <w:proofErr w:type="spellStart"/>
      <w:r w:rsidRPr="006D59BB">
        <w:rPr>
          <w:rFonts w:ascii="Times New Roman" w:hAnsi="Times New Roman" w:cs="Times New Roman"/>
          <w:sz w:val="24"/>
          <w:szCs w:val="24"/>
        </w:rPr>
        <w:t>odwołań</w:t>
      </w:r>
      <w:proofErr w:type="spellEnd"/>
      <w:r w:rsidRPr="006D59BB">
        <w:rPr>
          <w:rFonts w:ascii="Times New Roman" w:hAnsi="Times New Roman" w:cs="Times New Roman"/>
          <w:sz w:val="24"/>
          <w:szCs w:val="24"/>
        </w:rPr>
        <w:t>, w projekcie przyjęto rozwiązania sprzyjające uzyskaniu koncentracji materiału procesowego na wcześniejszym niż rozprawa i posiedzenie etapie postępowania odwoławczego. Do najistotniejszych z nich należą:</w:t>
      </w:r>
    </w:p>
    <w:p w14:paraId="360C5B03" w14:textId="77777777" w:rsidR="006A0481" w:rsidRPr="006D59BB" w:rsidRDefault="006A0481" w:rsidP="006D59BB">
      <w:pPr>
        <w:pStyle w:val="Akapitzlist"/>
        <w:numPr>
          <w:ilvl w:val="0"/>
          <w:numId w:val="12"/>
        </w:numPr>
        <w:spacing w:before="120" w:after="0" w:line="360" w:lineRule="auto"/>
        <w:ind w:left="426" w:hanging="426"/>
        <w:jc w:val="both"/>
        <w:rPr>
          <w:rFonts w:ascii="Times New Roman" w:eastAsia="Times New Roman" w:hAnsi="Times New Roman" w:cs="Times New Roman"/>
          <w:sz w:val="24"/>
          <w:szCs w:val="24"/>
        </w:rPr>
      </w:pPr>
      <w:r w:rsidRPr="006D59BB">
        <w:rPr>
          <w:rFonts w:ascii="Times New Roman" w:eastAsia="Times New Roman" w:hAnsi="Times New Roman" w:cs="Times New Roman"/>
          <w:sz w:val="24"/>
          <w:szCs w:val="24"/>
        </w:rPr>
        <w:t>obowiązek wniesienia przez zamawiającego odpowiedzi na odwołanie (proj. art. 521 ust. 1) – w terminie nie krótszym niż 5 dni od otrzymania odwołania, któremu towarzyszy obowiązek wskazania w treści odpowiedzi na odwołanie twierdzeń oraz przedstawienia i dołączenia dowodów na poparcie swoich twierdzeń lub w celu odparcia twierdzeń powołanych w odwołaniu (proj. art. 521 ust. 2);</w:t>
      </w:r>
    </w:p>
    <w:p w14:paraId="130C5590" w14:textId="332C3403" w:rsidR="006A0481" w:rsidRPr="006D59BB" w:rsidRDefault="006A0481" w:rsidP="006D59BB">
      <w:pPr>
        <w:pStyle w:val="Akapitzlist"/>
        <w:numPr>
          <w:ilvl w:val="0"/>
          <w:numId w:val="12"/>
        </w:numPr>
        <w:spacing w:before="120" w:after="0" w:line="360" w:lineRule="auto"/>
        <w:ind w:left="426" w:hanging="426"/>
        <w:jc w:val="both"/>
        <w:rPr>
          <w:rFonts w:ascii="Times New Roman" w:eastAsia="Times New Roman" w:hAnsi="Times New Roman" w:cs="Times New Roman"/>
          <w:sz w:val="24"/>
          <w:szCs w:val="24"/>
        </w:rPr>
      </w:pPr>
      <w:r w:rsidRPr="006D59BB">
        <w:rPr>
          <w:rFonts w:ascii="Times New Roman" w:eastAsia="Times New Roman" w:hAnsi="Times New Roman" w:cs="Times New Roman"/>
          <w:sz w:val="24"/>
          <w:szCs w:val="24"/>
        </w:rPr>
        <w:t>obowiązek przedstawienia przez wykonawcę, który zgłosił przystąpienie do postępowania odwoławczego, twierdzeń oraz dołączenia dowodów na poparcie swoich twierdzeń lub w celu odparcia twierdzeń powołanych w odwołaniu lub odpowiedzi na odwołanie (proj. art.</w:t>
      </w:r>
      <w:r w:rsidR="004378D7" w:rsidRPr="006D59BB">
        <w:rPr>
          <w:rFonts w:ascii="Times New Roman" w:eastAsia="Times New Roman" w:hAnsi="Times New Roman" w:cs="Times New Roman"/>
          <w:sz w:val="24"/>
          <w:szCs w:val="24"/>
        </w:rPr>
        <w:t xml:space="preserve"> </w:t>
      </w:r>
      <w:r w:rsidRPr="006D59BB">
        <w:rPr>
          <w:rFonts w:ascii="Times New Roman" w:eastAsia="Times New Roman" w:hAnsi="Times New Roman" w:cs="Times New Roman"/>
          <w:sz w:val="24"/>
          <w:szCs w:val="24"/>
        </w:rPr>
        <w:t>525 ust.</w:t>
      </w:r>
      <w:r w:rsidR="004378D7" w:rsidRPr="006D59BB">
        <w:rPr>
          <w:rFonts w:ascii="Times New Roman" w:eastAsia="Times New Roman" w:hAnsi="Times New Roman" w:cs="Times New Roman"/>
          <w:sz w:val="24"/>
          <w:szCs w:val="24"/>
        </w:rPr>
        <w:t xml:space="preserve"> </w:t>
      </w:r>
      <w:r w:rsidRPr="006D59BB">
        <w:rPr>
          <w:rFonts w:ascii="Times New Roman" w:eastAsia="Times New Roman" w:hAnsi="Times New Roman" w:cs="Times New Roman"/>
          <w:sz w:val="24"/>
          <w:szCs w:val="24"/>
        </w:rPr>
        <w:t>1);</w:t>
      </w:r>
    </w:p>
    <w:p w14:paraId="5B3B4197" w14:textId="65CE10DF" w:rsidR="006A0481" w:rsidRPr="006D59BB" w:rsidRDefault="006A0481" w:rsidP="006D59BB">
      <w:pPr>
        <w:pStyle w:val="Akapitzlist"/>
        <w:numPr>
          <w:ilvl w:val="0"/>
          <w:numId w:val="12"/>
        </w:numPr>
        <w:spacing w:before="120" w:after="0" w:line="360" w:lineRule="auto"/>
        <w:ind w:left="426" w:hanging="426"/>
        <w:jc w:val="both"/>
        <w:rPr>
          <w:rFonts w:ascii="Times New Roman" w:eastAsia="Times New Roman" w:hAnsi="Times New Roman" w:cs="Times New Roman"/>
          <w:sz w:val="24"/>
          <w:szCs w:val="24"/>
        </w:rPr>
      </w:pPr>
      <w:r w:rsidRPr="006D59BB">
        <w:rPr>
          <w:rFonts w:ascii="Times New Roman" w:eastAsia="Times New Roman" w:hAnsi="Times New Roman" w:cs="Times New Roman"/>
          <w:sz w:val="24"/>
          <w:szCs w:val="24"/>
        </w:rPr>
        <w:t>obowiązek przedstawienia wraz z odwołaniem, odpowiedzią na odwołanie lub wraz z innym pismem wniesionym najpóźniej na dzień przed rozprawą lub posiedzeniem jawnym poprzedzającym rozprawę, dowodów na poparcie swoich twierdzeń lub odparcie twierdzeń strony przeciwnej, pod rygorem utraty prawa powoływania ich w toku postępowania odwoławczego (proj. art. 535 ust. 1). Jednocześnie, w przepisach przewidziany będzie wyjątek dotyczący możliwości przedstawienia dowodów aż do zamknięcia rozprawy, w przypadku gdy wcześniejsze pozyskanie dowodów na poparcie swoich twierdzeń lub odparcie twierdzeń strony przeciwnej nie było możliwe lub konieczność ich powołania wynikła w toku postępowania odwoławczego. Ponadto z projektowanego art. 535 ust. 3 jednoznacznie będzie wynikało, że strony oraz uczestnicy postępowania odwoławczego nie mają obowiązku dołączania dowodów z</w:t>
      </w:r>
      <w:r w:rsidR="00B976D2" w:rsidRPr="006D59BB">
        <w:rPr>
          <w:rFonts w:ascii="Times New Roman" w:eastAsia="Times New Roman" w:hAnsi="Times New Roman" w:cs="Times New Roman"/>
          <w:sz w:val="24"/>
          <w:szCs w:val="24"/>
        </w:rPr>
        <w:t> </w:t>
      </w:r>
      <w:r w:rsidRPr="006D59BB">
        <w:rPr>
          <w:rFonts w:ascii="Times New Roman" w:eastAsia="Times New Roman" w:hAnsi="Times New Roman" w:cs="Times New Roman"/>
          <w:sz w:val="24"/>
          <w:szCs w:val="24"/>
        </w:rPr>
        <w:t>dokumentów, jeżeli dokumenty te znajdują się w aktach sprawy odwoławczej, w tym stanowią dokumentację postępowania o udzielenie zamówienia.</w:t>
      </w:r>
      <w:r w:rsidR="00C10E1A" w:rsidRPr="006D59BB">
        <w:rPr>
          <w:rFonts w:ascii="Times New Roman" w:eastAsia="Times New Roman" w:hAnsi="Times New Roman" w:cs="Times New Roman"/>
          <w:sz w:val="24"/>
          <w:szCs w:val="24"/>
        </w:rPr>
        <w:t xml:space="preserve"> Dodatkowo w projektowanym ust. 1, w zdaniu drugim wyartykułowano wprost, w jaki sposób będzie stosowany art. 509 ust. 2 </w:t>
      </w:r>
      <w:proofErr w:type="spellStart"/>
      <w:r w:rsidR="00C10E1A" w:rsidRPr="006D59BB">
        <w:rPr>
          <w:rFonts w:ascii="Times New Roman" w:eastAsia="Times New Roman" w:hAnsi="Times New Roman" w:cs="Times New Roman"/>
          <w:sz w:val="24"/>
          <w:szCs w:val="24"/>
        </w:rPr>
        <w:t>Pzp</w:t>
      </w:r>
      <w:proofErr w:type="spellEnd"/>
      <w:r w:rsidR="00C10E1A" w:rsidRPr="006D59BB">
        <w:rPr>
          <w:rFonts w:ascii="Times New Roman" w:eastAsia="Times New Roman" w:hAnsi="Times New Roman" w:cs="Times New Roman"/>
          <w:sz w:val="24"/>
          <w:szCs w:val="24"/>
        </w:rPr>
        <w:t xml:space="preserve">. Co do zasady, zgodnie z art. 509 ust. 2 </w:t>
      </w:r>
      <w:proofErr w:type="spellStart"/>
      <w:r w:rsidR="00C10E1A" w:rsidRPr="006D59BB">
        <w:rPr>
          <w:rFonts w:ascii="Times New Roman" w:eastAsia="Times New Roman" w:hAnsi="Times New Roman" w:cs="Times New Roman"/>
          <w:sz w:val="24"/>
          <w:szCs w:val="24"/>
        </w:rPr>
        <w:t>Pzp</w:t>
      </w:r>
      <w:proofErr w:type="spellEnd"/>
      <w:r w:rsidR="00C10E1A" w:rsidRPr="006D59BB">
        <w:rPr>
          <w:rFonts w:ascii="Times New Roman" w:eastAsia="Times New Roman" w:hAnsi="Times New Roman" w:cs="Times New Roman"/>
          <w:sz w:val="24"/>
          <w:szCs w:val="24"/>
        </w:rPr>
        <w:t xml:space="preserve">, jeżeli koniec terminu do wykonania czynności przypada na sobotę lub dzień ustawowo wolny od pracy, termin upływa dnia następnego po dniu lub dniach wolnych od pracy. Natomiast projektowane zdanie drugie </w:t>
      </w:r>
      <w:r w:rsidR="00C10E1A" w:rsidRPr="006D59BB">
        <w:rPr>
          <w:rFonts w:ascii="Times New Roman" w:eastAsia="Times New Roman" w:hAnsi="Times New Roman" w:cs="Times New Roman"/>
          <w:sz w:val="24"/>
          <w:szCs w:val="24"/>
        </w:rPr>
        <w:lastRenderedPageBreak/>
        <w:t>art. 535 ust. 1 wskazuje, że w takim przypadku termin przedstawienia dowodów będzie upływał w dniu rozprawy, lecz przed jej otwarciem.</w:t>
      </w:r>
    </w:p>
    <w:p w14:paraId="0B501440" w14:textId="3644B84A" w:rsidR="006A0481" w:rsidRPr="006D59BB" w:rsidRDefault="006A0481" w:rsidP="006D59BB">
      <w:pPr>
        <w:spacing w:before="120" w:after="0" w:line="360" w:lineRule="auto"/>
        <w:jc w:val="both"/>
        <w:rPr>
          <w:rFonts w:ascii="Times New Roman" w:eastAsia="Times New Roman" w:hAnsi="Times New Roman" w:cs="Times New Roman"/>
          <w:sz w:val="24"/>
          <w:szCs w:val="24"/>
        </w:rPr>
      </w:pPr>
      <w:r w:rsidRPr="006D59BB">
        <w:rPr>
          <w:rFonts w:ascii="Times New Roman" w:eastAsia="Times New Roman" w:hAnsi="Times New Roman" w:cs="Times New Roman"/>
          <w:sz w:val="24"/>
          <w:szCs w:val="24"/>
        </w:rPr>
        <w:t>Proponowane rozwiązania mają na celu ograniczenie powszechnej praktyki składania dowodów i zapoznawania się z nimi podczas rozprawy, co utrudnia ustosunkowanie się do nich przez pozostałe strony i uczestników postępowania odwoławczego. U</w:t>
      </w:r>
      <w:r w:rsidRPr="006D59BB">
        <w:rPr>
          <w:rFonts w:ascii="Times New Roman" w:hAnsi="Times New Roman" w:cs="Times New Roman"/>
          <w:sz w:val="24"/>
          <w:szCs w:val="24"/>
        </w:rPr>
        <w:t xml:space="preserve">możliwią nie tylko zachowanie terminowego rozpatrywania </w:t>
      </w:r>
      <w:proofErr w:type="spellStart"/>
      <w:r w:rsidRPr="006D59BB">
        <w:rPr>
          <w:rFonts w:ascii="Times New Roman" w:hAnsi="Times New Roman" w:cs="Times New Roman"/>
          <w:sz w:val="24"/>
          <w:szCs w:val="24"/>
        </w:rPr>
        <w:t>odwołań</w:t>
      </w:r>
      <w:proofErr w:type="spellEnd"/>
      <w:r w:rsidRPr="006D59BB">
        <w:rPr>
          <w:rFonts w:ascii="Times New Roman" w:hAnsi="Times New Roman" w:cs="Times New Roman"/>
          <w:sz w:val="24"/>
          <w:szCs w:val="24"/>
        </w:rPr>
        <w:t xml:space="preserve"> przez KIO, ale będą również korzystne dla stron i uczestników postępowania odwoławczego przez stworzenie warunków do pełniejszego zapoznania się z twierdzeniami strony przeciwnej oraz dowodami, na które się ona powołuje przed rozprawą i posiedzeniem, a</w:t>
      </w:r>
      <w:r w:rsidR="004378D7" w:rsidRPr="006D59BB">
        <w:rPr>
          <w:rFonts w:ascii="Times New Roman" w:hAnsi="Times New Roman" w:cs="Times New Roman"/>
          <w:sz w:val="24"/>
          <w:szCs w:val="24"/>
        </w:rPr>
        <w:t xml:space="preserve"> </w:t>
      </w:r>
      <w:r w:rsidRPr="006D59BB">
        <w:rPr>
          <w:rFonts w:ascii="Times New Roman" w:hAnsi="Times New Roman" w:cs="Times New Roman"/>
          <w:sz w:val="24"/>
          <w:szCs w:val="24"/>
        </w:rPr>
        <w:t>w rezultacie zapewnią możliwość lepszego przygotowania do odniesienia się do tych twierdzeń, w tym podczas rozprawy i</w:t>
      </w:r>
      <w:r w:rsidR="004378D7" w:rsidRPr="006D59BB">
        <w:rPr>
          <w:rFonts w:ascii="Times New Roman" w:hAnsi="Times New Roman" w:cs="Times New Roman"/>
          <w:sz w:val="24"/>
          <w:szCs w:val="24"/>
        </w:rPr>
        <w:t xml:space="preserve"> </w:t>
      </w:r>
      <w:r w:rsidRPr="006D59BB">
        <w:rPr>
          <w:rFonts w:ascii="Times New Roman" w:hAnsi="Times New Roman" w:cs="Times New Roman"/>
          <w:sz w:val="24"/>
          <w:szCs w:val="24"/>
        </w:rPr>
        <w:t>posiedzenia.</w:t>
      </w:r>
    </w:p>
    <w:p w14:paraId="1A259F4A" w14:textId="78ABC7B7" w:rsidR="006A0481" w:rsidRPr="006D59BB" w:rsidRDefault="006A0481"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 xml:space="preserve">Termin na wniesienie odpowiedzi na odwołanie będzie wyznaczany przez Prezesa Izby (projektowany art. 521 ust. 1), przy czym termin ten nie będzie mógł być krótszy niż 5 dni. Wykonawca, który zgłosił przystąpienie do postępowania odwoławczego, będzie </w:t>
      </w:r>
      <w:r w:rsidRPr="006D59BB">
        <w:rPr>
          <w:rFonts w:ascii="Times New Roman" w:eastAsia="Times New Roman" w:hAnsi="Times New Roman" w:cs="Times New Roman"/>
          <w:sz w:val="24"/>
          <w:szCs w:val="24"/>
        </w:rPr>
        <w:t xml:space="preserve">przedstawiał twierdzenia oraz dołączał dowody na ich poparcie lub w celu odparcia twierdzeń powołanych w odwołaniu lub odpowiedzi na odwołanie </w:t>
      </w:r>
      <w:r w:rsidRPr="006D59BB">
        <w:rPr>
          <w:rFonts w:ascii="Times New Roman" w:hAnsi="Times New Roman" w:cs="Times New Roman"/>
          <w:sz w:val="24"/>
          <w:szCs w:val="24"/>
        </w:rPr>
        <w:t>(projektowany art. 525 ust. 1). Uchybienie temu obowiązkowi, o ile dowody te nie zostaną przedstawione wraz z innym pismem wniesionym najpóźniej na dzień przed rozprawą lub posiedzeniem jawnym poprzedzającym rozprawę, może prowadzić do utraty możliwości przedstawienia dowodów (projektowany art. 535 ust. 1). W takich okolicznościach uwzględnienie dowodów przedstawionych później będzie mogło nastąpić jedynie w przypadku, gdy wcześniejsze pozyskanie dowodów na poparcie swoich twierdzeń lub odparcie twierdzeń strony przeciwnej nie było możliwe lub konieczność ich powołania wynikła w toku postępowania odwoławczego (projektowany art. 535 ust. 2) albo, gdy znajdują się w dokumentacji postępowania o udzielenie zamówienia lub aktach sprawy odwoławczej (projektowany art. 535 ust. 3). Te same reguły mają zastosowane do dowodów niepodniesionych w</w:t>
      </w:r>
      <w:r w:rsidR="00B976D2" w:rsidRPr="006D59BB">
        <w:rPr>
          <w:rFonts w:ascii="Times New Roman" w:hAnsi="Times New Roman" w:cs="Times New Roman"/>
          <w:sz w:val="24"/>
          <w:szCs w:val="24"/>
        </w:rPr>
        <w:t> </w:t>
      </w:r>
      <w:r w:rsidRPr="006D59BB">
        <w:rPr>
          <w:rFonts w:ascii="Times New Roman" w:hAnsi="Times New Roman" w:cs="Times New Roman"/>
          <w:sz w:val="24"/>
          <w:szCs w:val="24"/>
        </w:rPr>
        <w:t>odwołaniu. Izba będzie odmawiała przeprowadzenia spóźnionych dowodów (projektowany art. 541).</w:t>
      </w:r>
    </w:p>
    <w:p w14:paraId="305C8AAA" w14:textId="5A36882C" w:rsidR="006A0481" w:rsidRPr="006D59BB" w:rsidRDefault="006A0481"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 xml:space="preserve">W konsekwencji, w celu sprawnego przebiegu postępowania odwoławczego uwzględniającego nowe rozwiązania w zakresie koncentracji materiału procesowego zostały wprowadzone reguły dotyczące wskazywania dowodów przez strony i uczestników postępowania odwoławczego (art. 534 </w:t>
      </w:r>
      <w:proofErr w:type="spellStart"/>
      <w:r w:rsidRPr="006D59BB">
        <w:rPr>
          <w:rFonts w:ascii="Times New Roman" w:hAnsi="Times New Roman" w:cs="Times New Roman"/>
          <w:sz w:val="24"/>
          <w:szCs w:val="24"/>
        </w:rPr>
        <w:t>Pzp</w:t>
      </w:r>
      <w:proofErr w:type="spellEnd"/>
      <w:r w:rsidRPr="006D59BB">
        <w:rPr>
          <w:rFonts w:ascii="Times New Roman" w:hAnsi="Times New Roman" w:cs="Times New Roman"/>
          <w:sz w:val="24"/>
          <w:szCs w:val="24"/>
        </w:rPr>
        <w:t>). W szczególności we wniosku o</w:t>
      </w:r>
      <w:r w:rsidR="004378D7" w:rsidRPr="006D59BB">
        <w:rPr>
          <w:rFonts w:ascii="Times New Roman" w:hAnsi="Times New Roman" w:cs="Times New Roman"/>
          <w:sz w:val="24"/>
          <w:szCs w:val="24"/>
        </w:rPr>
        <w:t xml:space="preserve"> </w:t>
      </w:r>
      <w:r w:rsidRPr="006D59BB">
        <w:rPr>
          <w:rFonts w:ascii="Times New Roman" w:hAnsi="Times New Roman" w:cs="Times New Roman"/>
          <w:sz w:val="24"/>
          <w:szCs w:val="24"/>
        </w:rPr>
        <w:t>przeprowadzenie dowodu powinien zostać oznaczony dowód w sposób umożliwiający przeprowadzenie go oraz powinny zostać wyszczególnione fakty, które mają zostać wykazane tym dowodem (projektowany art. 534 ust. 1a).</w:t>
      </w:r>
    </w:p>
    <w:p w14:paraId="694058BF" w14:textId="715B6C12" w:rsidR="006A0481" w:rsidRPr="006D59BB" w:rsidRDefault="006A0481"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lastRenderedPageBreak/>
        <w:t>Obok przepisów dyscyplinujących strony oraz uczestników postępowania odwoławczego do wskazywania twierdzeń i dowodów na możliwie wczesnym etapie postępowania odwoławczego, środkiem realizującym zasadę koncentracji materiału procesowego jest przewidziane w</w:t>
      </w:r>
      <w:r w:rsidR="004378D7" w:rsidRPr="006D59BB">
        <w:rPr>
          <w:rFonts w:ascii="Times New Roman" w:hAnsi="Times New Roman" w:cs="Times New Roman"/>
          <w:sz w:val="24"/>
          <w:szCs w:val="24"/>
        </w:rPr>
        <w:t xml:space="preserve"> </w:t>
      </w:r>
      <w:r w:rsidRPr="006D59BB">
        <w:rPr>
          <w:rFonts w:ascii="Times New Roman" w:hAnsi="Times New Roman" w:cs="Times New Roman"/>
          <w:sz w:val="24"/>
          <w:szCs w:val="24"/>
        </w:rPr>
        <w:t>projektowanym art. 507 wzajemne bezpośrednie doręczanie pism między stronami i</w:t>
      </w:r>
      <w:r w:rsidR="004378D7" w:rsidRPr="006D59BB">
        <w:rPr>
          <w:rFonts w:ascii="Times New Roman" w:hAnsi="Times New Roman" w:cs="Times New Roman"/>
          <w:sz w:val="24"/>
          <w:szCs w:val="24"/>
        </w:rPr>
        <w:t xml:space="preserve"> </w:t>
      </w:r>
      <w:r w:rsidRPr="006D59BB">
        <w:rPr>
          <w:rFonts w:ascii="Times New Roman" w:hAnsi="Times New Roman" w:cs="Times New Roman"/>
          <w:sz w:val="24"/>
          <w:szCs w:val="24"/>
        </w:rPr>
        <w:t>uczestnikami postępowania odwoławczego. Wzajemne doręczenia nie dotyczą pism składanych w</w:t>
      </w:r>
      <w:r w:rsidR="004378D7" w:rsidRPr="006D59BB">
        <w:rPr>
          <w:rFonts w:ascii="Times New Roman" w:hAnsi="Times New Roman" w:cs="Times New Roman"/>
          <w:sz w:val="24"/>
          <w:szCs w:val="24"/>
        </w:rPr>
        <w:t xml:space="preserve"> </w:t>
      </w:r>
      <w:r w:rsidRPr="006D59BB">
        <w:rPr>
          <w:rFonts w:ascii="Times New Roman" w:hAnsi="Times New Roman" w:cs="Times New Roman"/>
          <w:sz w:val="24"/>
          <w:szCs w:val="24"/>
        </w:rPr>
        <w:t>toku rozprawy lub posiedzenia (projektowany art. 508 ust. 3 i 4), a także wniesienia odwołania oraz zgłoszenia przystąpienia do postępowania odwoławczego, do których stosuje się przepisy szczególne.</w:t>
      </w:r>
    </w:p>
    <w:p w14:paraId="6499920B" w14:textId="77777777" w:rsidR="006A0481" w:rsidRPr="006D59BB" w:rsidRDefault="006A0481"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Aby zapewnić sprawny przebieg zdalnej rozprawy i zdalnego posiedzenia dopuszczona została również możliwość udzielenia pełnomocnictwa w drodze ustnego i wciągniętego do protokołu oświadczenia strony (projektowany art. 511 ust. 1a).</w:t>
      </w:r>
    </w:p>
    <w:p w14:paraId="66F5F593" w14:textId="77777777" w:rsidR="003E1991" w:rsidRPr="006D59BB" w:rsidRDefault="003E1991" w:rsidP="006D59BB">
      <w:pPr>
        <w:pStyle w:val="Styl1"/>
        <w:spacing w:before="120" w:after="0" w:line="360" w:lineRule="auto"/>
        <w:rPr>
          <w:sz w:val="24"/>
          <w:szCs w:val="24"/>
        </w:rPr>
      </w:pPr>
      <w:bookmarkStart w:id="47" w:name="_Toc184638866"/>
      <w:bookmarkStart w:id="48" w:name="_Toc192358932"/>
      <w:r w:rsidRPr="006D59BB">
        <w:rPr>
          <w:sz w:val="24"/>
          <w:szCs w:val="24"/>
        </w:rPr>
        <w:t>Ustawa z dnia 16 lipca 2020 r. o udzielaniu pomocy publicznej w celu ratowania lub restrukturyzacji przedsiębiorców</w:t>
      </w:r>
      <w:bookmarkEnd w:id="47"/>
      <w:bookmarkEnd w:id="48"/>
    </w:p>
    <w:p w14:paraId="04DAFA86" w14:textId="2A61C708" w:rsidR="003E1991" w:rsidRPr="006D59BB" w:rsidRDefault="003E1991"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System pomocy dla przedsiębiorców w trudnej sytuacji ekonomicznej został zawarty w programie rządowym pn. Polityka Nowej Szansy, przyjętym uchwałą Rady Ministrów z dnia 22</w:t>
      </w:r>
      <w:r w:rsidR="004378D7" w:rsidRPr="006D59BB">
        <w:rPr>
          <w:rFonts w:ascii="Times New Roman" w:hAnsi="Times New Roman" w:cs="Times New Roman"/>
          <w:sz w:val="24"/>
          <w:szCs w:val="24"/>
        </w:rPr>
        <w:t xml:space="preserve"> </w:t>
      </w:r>
      <w:r w:rsidRPr="006D59BB">
        <w:rPr>
          <w:rFonts w:ascii="Times New Roman" w:hAnsi="Times New Roman" w:cs="Times New Roman"/>
          <w:sz w:val="24"/>
          <w:szCs w:val="24"/>
        </w:rPr>
        <w:t>lipca 2014 r. Program obejmuje szereg instrumentów wsparcia głównie dla małych i średnich przedsiębiorców, w</w:t>
      </w:r>
      <w:r w:rsidR="005D5D55" w:rsidRPr="006D59BB">
        <w:rPr>
          <w:rFonts w:ascii="Times New Roman" w:hAnsi="Times New Roman" w:cs="Times New Roman"/>
          <w:sz w:val="24"/>
          <w:szCs w:val="24"/>
        </w:rPr>
        <w:t> </w:t>
      </w:r>
      <w:r w:rsidRPr="006D59BB">
        <w:rPr>
          <w:rFonts w:ascii="Times New Roman" w:hAnsi="Times New Roman" w:cs="Times New Roman"/>
          <w:sz w:val="24"/>
          <w:szCs w:val="24"/>
        </w:rPr>
        <w:t>zależności od stopnia trudności i perspektyw na poprawę sytuacji danego przedsiębiorcy w celu zminimalizowania zagrożenia powstałego kryzysu. Zgodnie z ideą Polityki Nowej Szansy, system wsparcia dla przedsiębiorców w trudnej sytuacji ekonomicznej powinien umożliwić wsparcie ich bieżącej płynności finansowej lub działań restrukturyzacyjnych – w tych przypadkach, w których jest to jedyna możliwość ich przetrwania na rynku, z</w:t>
      </w:r>
      <w:r w:rsidR="004378D7" w:rsidRPr="006D59BB">
        <w:rPr>
          <w:rFonts w:ascii="Times New Roman" w:hAnsi="Times New Roman" w:cs="Times New Roman"/>
          <w:sz w:val="24"/>
          <w:szCs w:val="24"/>
        </w:rPr>
        <w:t xml:space="preserve"> </w:t>
      </w:r>
      <w:r w:rsidRPr="006D59BB">
        <w:rPr>
          <w:rFonts w:ascii="Times New Roman" w:hAnsi="Times New Roman" w:cs="Times New Roman"/>
          <w:sz w:val="24"/>
          <w:szCs w:val="24"/>
        </w:rPr>
        <w:t>uwzględnieniem racjonalności i gospodarności wydatkowania środków publicznych. Takie podejście daje szansę na utrzymanie perspektywicznych przedsiębiorstw oraz zachowanie dotychczasowych miejsc pracy.</w:t>
      </w:r>
    </w:p>
    <w:p w14:paraId="5FC98C4B" w14:textId="0654447D" w:rsidR="003E1991" w:rsidRPr="006D59BB" w:rsidRDefault="003E1991"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W konsekwencji powyższego, ustawodawca przyjął ustawę z dnia 16 lipca 2020 r. o udzielaniu pomocy publicznej w celu ratowania lub restrukturyzacji przedsiębiorców (dalej: ustawa o udzielaniu pomocy).</w:t>
      </w:r>
    </w:p>
    <w:p w14:paraId="5217FA21" w14:textId="3C117F7A" w:rsidR="003E1991" w:rsidRPr="006D59BB" w:rsidRDefault="003E1991"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Celem regulacji było umożliwienie wsparcia finansowego podmiotom znajdującym się w trudnej sytuacji ekonomicznej, przez zapewnienie płynności finansowej na czas opracowania działań naprawczych, jak również sfinansowanie w znacznej części działa</w:t>
      </w:r>
      <w:r w:rsidR="00506D0D" w:rsidRPr="006D59BB">
        <w:rPr>
          <w:rFonts w:ascii="Times New Roman" w:hAnsi="Times New Roman" w:cs="Times New Roman"/>
          <w:sz w:val="24"/>
          <w:szCs w:val="24"/>
        </w:rPr>
        <w:t>ń</w:t>
      </w:r>
      <w:r w:rsidRPr="006D59BB">
        <w:rPr>
          <w:rFonts w:ascii="Times New Roman" w:hAnsi="Times New Roman" w:cs="Times New Roman"/>
          <w:sz w:val="24"/>
          <w:szCs w:val="24"/>
        </w:rPr>
        <w:t xml:space="preserve"> w ramach przygotowanego planu restrukturyzacyjnego i jego późniejszej realizacji. Instrumenty wsparcia </w:t>
      </w:r>
      <w:r w:rsidRPr="006D59BB">
        <w:rPr>
          <w:rFonts w:ascii="Times New Roman" w:hAnsi="Times New Roman" w:cs="Times New Roman"/>
          <w:sz w:val="24"/>
          <w:szCs w:val="24"/>
        </w:rPr>
        <w:lastRenderedPageBreak/>
        <w:t>regulowane ustawą zmienianą to pomoc na ratowanie (6 miesięcy), tymczasowe wsparcie restrukturyzacyjne (18 miesięcy) oraz pomoc na restrukturyzację (120 miesięcy).</w:t>
      </w:r>
    </w:p>
    <w:p w14:paraId="7CE39881" w14:textId="08ECB1DA" w:rsidR="003E1991" w:rsidRPr="006D59BB" w:rsidRDefault="003E1991"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Nadrzędnym celem ustawy o udzielaniu pomocy było zwiększenie możliwości przetrwania przedsiębiorstw, które są narażone na sytuacje kryzysowe. Aby było to realnie możliwe, kluczowe jest sprawne rozpatrywanie wniosków o udzielenie pomocy publicznej, które to na gruncie dotychczasowych przepisów rozpatrywane są w ramach reżimu formalistycznego postępowania administracyjnego (z pewnymi modyfikacjami wynikającymi z przepisów ustawy o udzielaniu pomocy).</w:t>
      </w:r>
    </w:p>
    <w:p w14:paraId="425E88DF" w14:textId="08D157DD" w:rsidR="003E1991" w:rsidRPr="006D59BB" w:rsidRDefault="003E1991"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Na mocy art. 13 ust. 3 tej ustawy realizacja zadania została powierzona Agencji Rozwoju Przemysłu S.A. (dalej „ARP S.A.”). Zadnie jest realizowane przez ARP S.A. w oparciu o treść umowy powierzenia udzielania pomocy w</w:t>
      </w:r>
      <w:r w:rsidR="004378D7" w:rsidRPr="006D59BB">
        <w:rPr>
          <w:rFonts w:ascii="Times New Roman" w:hAnsi="Times New Roman" w:cs="Times New Roman"/>
          <w:sz w:val="24"/>
          <w:szCs w:val="24"/>
        </w:rPr>
        <w:t xml:space="preserve"> </w:t>
      </w:r>
      <w:r w:rsidRPr="006D59BB">
        <w:rPr>
          <w:rFonts w:ascii="Times New Roman" w:hAnsi="Times New Roman" w:cs="Times New Roman"/>
          <w:sz w:val="24"/>
          <w:szCs w:val="24"/>
        </w:rPr>
        <w:t>celu ratowania i restrukturyzacji przedsiębiorców z</w:t>
      </w:r>
      <w:r w:rsidR="004378D7" w:rsidRPr="006D59BB">
        <w:rPr>
          <w:rFonts w:ascii="Times New Roman" w:hAnsi="Times New Roman" w:cs="Times New Roman"/>
          <w:sz w:val="24"/>
          <w:szCs w:val="24"/>
        </w:rPr>
        <w:t xml:space="preserve"> </w:t>
      </w:r>
      <w:r w:rsidRPr="006D59BB">
        <w:rPr>
          <w:rFonts w:ascii="Times New Roman" w:hAnsi="Times New Roman" w:cs="Times New Roman"/>
          <w:sz w:val="24"/>
          <w:szCs w:val="24"/>
        </w:rPr>
        <w:t>dnia</w:t>
      </w:r>
      <w:r w:rsidR="004378D7" w:rsidRPr="006D59BB">
        <w:rPr>
          <w:rFonts w:ascii="Times New Roman" w:hAnsi="Times New Roman" w:cs="Times New Roman"/>
          <w:sz w:val="24"/>
          <w:szCs w:val="24"/>
        </w:rPr>
        <w:t xml:space="preserve"> </w:t>
      </w:r>
      <w:r w:rsidRPr="006D59BB">
        <w:rPr>
          <w:rFonts w:ascii="Times New Roman" w:hAnsi="Times New Roman" w:cs="Times New Roman"/>
          <w:sz w:val="24"/>
          <w:szCs w:val="24"/>
        </w:rPr>
        <w:t>24</w:t>
      </w:r>
      <w:r w:rsidR="004378D7" w:rsidRPr="006D59BB">
        <w:rPr>
          <w:rFonts w:ascii="Times New Roman" w:hAnsi="Times New Roman" w:cs="Times New Roman"/>
          <w:sz w:val="24"/>
          <w:szCs w:val="24"/>
        </w:rPr>
        <w:t xml:space="preserve"> </w:t>
      </w:r>
      <w:r w:rsidRPr="006D59BB">
        <w:rPr>
          <w:rFonts w:ascii="Times New Roman" w:hAnsi="Times New Roman" w:cs="Times New Roman"/>
          <w:sz w:val="24"/>
          <w:szCs w:val="24"/>
        </w:rPr>
        <w:t>września 2020 r. (dalej: umowa powierzenia), zawartej przez ministra właściwego d</w:t>
      </w:r>
      <w:r w:rsidR="004378D7" w:rsidRPr="006D59BB">
        <w:rPr>
          <w:rFonts w:ascii="Times New Roman" w:hAnsi="Times New Roman" w:cs="Times New Roman"/>
          <w:sz w:val="24"/>
          <w:szCs w:val="24"/>
        </w:rPr>
        <w:t xml:space="preserve">o spraw </w:t>
      </w:r>
      <w:r w:rsidRPr="006D59BB">
        <w:rPr>
          <w:rFonts w:ascii="Times New Roman" w:hAnsi="Times New Roman" w:cs="Times New Roman"/>
          <w:sz w:val="24"/>
          <w:szCs w:val="24"/>
        </w:rPr>
        <w:t xml:space="preserve">gospodarki (dalej: </w:t>
      </w:r>
      <w:proofErr w:type="spellStart"/>
      <w:r w:rsidRPr="006D59BB">
        <w:rPr>
          <w:rFonts w:ascii="Times New Roman" w:hAnsi="Times New Roman" w:cs="Times New Roman"/>
          <w:sz w:val="24"/>
          <w:szCs w:val="24"/>
        </w:rPr>
        <w:t>MRiT</w:t>
      </w:r>
      <w:proofErr w:type="spellEnd"/>
      <w:r w:rsidRPr="006D59BB">
        <w:rPr>
          <w:rFonts w:ascii="Times New Roman" w:hAnsi="Times New Roman" w:cs="Times New Roman"/>
          <w:sz w:val="24"/>
          <w:szCs w:val="24"/>
        </w:rPr>
        <w:t>) i ARP S.A. Zgodnie z zawartą umową powierzenia ARP S.A. wykonuje zadania dotyczące w</w:t>
      </w:r>
      <w:r w:rsidR="005D5D55" w:rsidRPr="006D59BB">
        <w:rPr>
          <w:rFonts w:ascii="Times New Roman" w:hAnsi="Times New Roman" w:cs="Times New Roman"/>
          <w:sz w:val="24"/>
          <w:szCs w:val="24"/>
        </w:rPr>
        <w:t> </w:t>
      </w:r>
      <w:r w:rsidRPr="006D59BB">
        <w:rPr>
          <w:rFonts w:ascii="Times New Roman" w:hAnsi="Times New Roman" w:cs="Times New Roman"/>
          <w:sz w:val="24"/>
          <w:szCs w:val="24"/>
        </w:rPr>
        <w:t>szczególności rozpatrywania spraw o</w:t>
      </w:r>
      <w:r w:rsidR="004378D7" w:rsidRPr="006D59BB">
        <w:rPr>
          <w:rFonts w:ascii="Times New Roman" w:hAnsi="Times New Roman" w:cs="Times New Roman"/>
          <w:sz w:val="24"/>
          <w:szCs w:val="24"/>
        </w:rPr>
        <w:t xml:space="preserve"> </w:t>
      </w:r>
      <w:r w:rsidRPr="006D59BB">
        <w:rPr>
          <w:rFonts w:ascii="Times New Roman" w:hAnsi="Times New Roman" w:cs="Times New Roman"/>
          <w:sz w:val="24"/>
          <w:szCs w:val="24"/>
        </w:rPr>
        <w:t>udzielenie pomocy publicznej, jako organ pierwszej instancji, zgodnie z przepisami ustawy o udzielaniu pomocy oraz przepisami kodeksu postępowania administracyjnego.</w:t>
      </w:r>
    </w:p>
    <w:p w14:paraId="3FB59E2A" w14:textId="4B7C9281" w:rsidR="003E1991" w:rsidRPr="006D59BB" w:rsidRDefault="003E1991"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Sposób finansowania kosztów realizacji zadań został wskazany w art. 52 ust.</w:t>
      </w:r>
      <w:r w:rsidR="00C05BE5" w:rsidRPr="006D59BB">
        <w:rPr>
          <w:rFonts w:ascii="Times New Roman" w:hAnsi="Times New Roman" w:cs="Times New Roman"/>
          <w:sz w:val="24"/>
          <w:szCs w:val="24"/>
        </w:rPr>
        <w:t xml:space="preserve"> </w:t>
      </w:r>
      <w:r w:rsidRPr="006D59BB">
        <w:rPr>
          <w:rFonts w:ascii="Times New Roman" w:hAnsi="Times New Roman" w:cs="Times New Roman"/>
          <w:sz w:val="24"/>
          <w:szCs w:val="24"/>
        </w:rPr>
        <w:t>2 ustawy o udzielaniu pomocy jako maksymalnie 2</w:t>
      </w:r>
      <w:r w:rsidR="00C656EB">
        <w:rPr>
          <w:rFonts w:ascii="Times New Roman" w:hAnsi="Times New Roman" w:cs="Times New Roman"/>
          <w:sz w:val="24"/>
          <w:szCs w:val="24"/>
        </w:rPr>
        <w:t xml:space="preserve"> </w:t>
      </w:r>
      <w:r w:rsidRPr="006D59BB">
        <w:rPr>
          <w:rFonts w:ascii="Times New Roman" w:hAnsi="Times New Roman" w:cs="Times New Roman"/>
          <w:sz w:val="24"/>
          <w:szCs w:val="24"/>
        </w:rPr>
        <w:t>% od środków przeznaczonych w budżecie państwa na udzielanie pomocy na podstawie tej ustawy w danym roku budżetowym.</w:t>
      </w:r>
    </w:p>
    <w:p w14:paraId="35819237" w14:textId="51CB63B0" w:rsidR="003E1991" w:rsidRPr="006D59BB" w:rsidRDefault="003E1991"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Należy wskazać, że w praktyce problematycznym stały się wskazane powyżej przepisy ustawy o</w:t>
      </w:r>
      <w:r w:rsidR="005D5D55" w:rsidRPr="006D59BB">
        <w:rPr>
          <w:rFonts w:ascii="Times New Roman" w:hAnsi="Times New Roman" w:cs="Times New Roman"/>
          <w:sz w:val="24"/>
          <w:szCs w:val="24"/>
        </w:rPr>
        <w:t> </w:t>
      </w:r>
      <w:r w:rsidRPr="006D59BB">
        <w:rPr>
          <w:rFonts w:ascii="Times New Roman" w:hAnsi="Times New Roman" w:cs="Times New Roman"/>
          <w:sz w:val="24"/>
          <w:szCs w:val="24"/>
        </w:rPr>
        <w:t>udzielaniu pomocy, które miały gwarantować możliwość finansowania realizacji zadania udzielania pomocy publicznej. Sytuacja budżetowa państwa oraz zmniejszanie w kolejnych latach puli środków na udzielanie pomocy publicznej doprowadziły do sytuacji, w której przekazana w</w:t>
      </w:r>
      <w:r w:rsidR="004378D7" w:rsidRPr="006D59BB">
        <w:rPr>
          <w:rFonts w:ascii="Times New Roman" w:hAnsi="Times New Roman" w:cs="Times New Roman"/>
          <w:sz w:val="24"/>
          <w:szCs w:val="24"/>
        </w:rPr>
        <w:t xml:space="preserve"> </w:t>
      </w:r>
      <w:r w:rsidRPr="006D59BB">
        <w:rPr>
          <w:rFonts w:ascii="Times New Roman" w:hAnsi="Times New Roman" w:cs="Times New Roman"/>
          <w:sz w:val="24"/>
          <w:szCs w:val="24"/>
        </w:rPr>
        <w:t>roku 2024 kwota została zmniejszona o 30</w:t>
      </w:r>
      <w:r w:rsidR="00C656EB">
        <w:rPr>
          <w:rFonts w:ascii="Times New Roman" w:hAnsi="Times New Roman" w:cs="Times New Roman"/>
          <w:sz w:val="24"/>
          <w:szCs w:val="24"/>
        </w:rPr>
        <w:t xml:space="preserve"> </w:t>
      </w:r>
      <w:r w:rsidRPr="006D59BB">
        <w:rPr>
          <w:rFonts w:ascii="Times New Roman" w:hAnsi="Times New Roman" w:cs="Times New Roman"/>
          <w:sz w:val="24"/>
          <w:szCs w:val="24"/>
        </w:rPr>
        <w:t>% (z maksymalnej kwoty dopuszczonej w ustawie o udzielaniu pomocy 120 000 000,00 zł, w tym 2 400 000,00 zł na koszty udzielania pomocy do 80 000 000,00 zł, w tym 1 600 000,00 zł na koszty udzielania pomocy), zaś zabezpieczone przez Ministra Finansów w rezerwie celowej na rok 2025</w:t>
      </w:r>
      <w:r w:rsidR="004378D7" w:rsidRPr="006D59BB">
        <w:rPr>
          <w:rFonts w:ascii="Times New Roman" w:hAnsi="Times New Roman" w:cs="Times New Roman"/>
          <w:sz w:val="24"/>
          <w:szCs w:val="24"/>
        </w:rPr>
        <w:t xml:space="preserve"> </w:t>
      </w:r>
      <w:r w:rsidRPr="006D59BB">
        <w:rPr>
          <w:rFonts w:ascii="Times New Roman" w:hAnsi="Times New Roman" w:cs="Times New Roman"/>
          <w:sz w:val="24"/>
          <w:szCs w:val="24"/>
        </w:rPr>
        <w:t xml:space="preserve">środki dla </w:t>
      </w:r>
      <w:proofErr w:type="spellStart"/>
      <w:r w:rsidRPr="006D59BB">
        <w:rPr>
          <w:rFonts w:ascii="Times New Roman" w:hAnsi="Times New Roman" w:cs="Times New Roman"/>
          <w:sz w:val="24"/>
          <w:szCs w:val="24"/>
        </w:rPr>
        <w:t>MRiT</w:t>
      </w:r>
      <w:proofErr w:type="spellEnd"/>
      <w:r w:rsidRPr="006D59BB">
        <w:rPr>
          <w:rFonts w:ascii="Times New Roman" w:hAnsi="Times New Roman" w:cs="Times New Roman"/>
          <w:sz w:val="24"/>
          <w:szCs w:val="24"/>
        </w:rPr>
        <w:t xml:space="preserve"> na</w:t>
      </w:r>
      <w:r w:rsidR="004378D7" w:rsidRPr="006D59BB">
        <w:rPr>
          <w:rFonts w:ascii="Times New Roman" w:hAnsi="Times New Roman" w:cs="Times New Roman"/>
          <w:sz w:val="24"/>
          <w:szCs w:val="24"/>
        </w:rPr>
        <w:t xml:space="preserve"> </w:t>
      </w:r>
      <w:r w:rsidRPr="006D59BB">
        <w:rPr>
          <w:rFonts w:ascii="Times New Roman" w:hAnsi="Times New Roman" w:cs="Times New Roman"/>
          <w:sz w:val="24"/>
          <w:szCs w:val="24"/>
        </w:rPr>
        <w:t xml:space="preserve">realizację zadania pn. Sfinansowanie zadań nałożonych ustawą </w:t>
      </w:r>
      <w:r w:rsidR="00C05BE5" w:rsidRPr="006D59BB">
        <w:rPr>
          <w:rFonts w:ascii="Times New Roman" w:hAnsi="Times New Roman" w:cs="Times New Roman"/>
          <w:sz w:val="24"/>
          <w:szCs w:val="24"/>
        </w:rPr>
        <w:t>o udzieleniu pomocy w kwocie 63 104 000,00 zł oznaczają</w:t>
      </w:r>
      <w:r w:rsidRPr="006D59BB">
        <w:rPr>
          <w:rFonts w:ascii="Times New Roman" w:hAnsi="Times New Roman" w:cs="Times New Roman"/>
          <w:sz w:val="24"/>
          <w:szCs w:val="24"/>
        </w:rPr>
        <w:t>, że prognozowana kwota przeznaczona na pokrycie kosztów funkcjonowania programu w wysokości 1 262 080,00 zł na rok 2025 nie zapewnia możliwości wykonania zadania przez podmiot, któremu powierzono jego realizację (ARP S.A.), bowiem estymowana kwota środków na rok 2025 stanowi niewiele ponad 50</w:t>
      </w:r>
      <w:r w:rsidR="00705D32">
        <w:rPr>
          <w:rFonts w:ascii="Times New Roman" w:hAnsi="Times New Roman" w:cs="Times New Roman"/>
          <w:sz w:val="24"/>
          <w:szCs w:val="24"/>
        </w:rPr>
        <w:t xml:space="preserve"> </w:t>
      </w:r>
      <w:r w:rsidRPr="006D59BB">
        <w:rPr>
          <w:rFonts w:ascii="Times New Roman" w:hAnsi="Times New Roman" w:cs="Times New Roman"/>
          <w:sz w:val="24"/>
          <w:szCs w:val="24"/>
        </w:rPr>
        <w:t xml:space="preserve">% pierwotnie zakładanego budżetu. Tym samym występuje realne zagrożenie braku możliwości </w:t>
      </w:r>
      <w:r w:rsidRPr="006D59BB">
        <w:rPr>
          <w:rFonts w:ascii="Times New Roman" w:hAnsi="Times New Roman" w:cs="Times New Roman"/>
          <w:sz w:val="24"/>
          <w:szCs w:val="24"/>
        </w:rPr>
        <w:lastRenderedPageBreak/>
        <w:t>realizacji zadania udzielania pomocy publicznej przez ARP S.A. w roku 2025 i w latach kolejnych.</w:t>
      </w:r>
    </w:p>
    <w:p w14:paraId="46D32378" w14:textId="20DAD51E" w:rsidR="003E1991" w:rsidRPr="006D59BB" w:rsidRDefault="003E1991"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 xml:space="preserve">Należy wskazać, </w:t>
      </w:r>
      <w:r w:rsidR="00C05BE5" w:rsidRPr="006D59BB">
        <w:rPr>
          <w:rFonts w:ascii="Times New Roman" w:hAnsi="Times New Roman" w:cs="Times New Roman"/>
          <w:sz w:val="24"/>
          <w:szCs w:val="24"/>
        </w:rPr>
        <w:t>że</w:t>
      </w:r>
      <w:r w:rsidRPr="006D59BB">
        <w:rPr>
          <w:rFonts w:ascii="Times New Roman" w:hAnsi="Times New Roman" w:cs="Times New Roman"/>
          <w:sz w:val="24"/>
          <w:szCs w:val="24"/>
        </w:rPr>
        <w:t xml:space="preserve"> do zadań podmiotu realizującego zadanie należą nie tylko czynności związane z</w:t>
      </w:r>
      <w:r w:rsidR="005D5D55" w:rsidRPr="006D59BB">
        <w:rPr>
          <w:rFonts w:ascii="Times New Roman" w:hAnsi="Times New Roman" w:cs="Times New Roman"/>
          <w:sz w:val="24"/>
          <w:szCs w:val="24"/>
        </w:rPr>
        <w:t> </w:t>
      </w:r>
      <w:r w:rsidRPr="006D59BB">
        <w:rPr>
          <w:rFonts w:ascii="Times New Roman" w:hAnsi="Times New Roman" w:cs="Times New Roman"/>
          <w:sz w:val="24"/>
          <w:szCs w:val="24"/>
        </w:rPr>
        <w:t>rozpatrywaniem wniosków, lecz także czynności związane z:</w:t>
      </w:r>
    </w:p>
    <w:p w14:paraId="2D04841E" w14:textId="4742743B" w:rsidR="003E1991" w:rsidRPr="006D59BB" w:rsidRDefault="003E1991" w:rsidP="006D59BB">
      <w:pPr>
        <w:pStyle w:val="Akapitzlist"/>
        <w:numPr>
          <w:ilvl w:val="0"/>
          <w:numId w:val="20"/>
        </w:numPr>
        <w:spacing w:before="120" w:after="0" w:line="360" w:lineRule="auto"/>
        <w:ind w:left="426" w:hanging="437"/>
        <w:jc w:val="both"/>
        <w:rPr>
          <w:rFonts w:ascii="Times New Roman" w:hAnsi="Times New Roman" w:cs="Times New Roman"/>
          <w:sz w:val="24"/>
          <w:szCs w:val="24"/>
        </w:rPr>
      </w:pPr>
      <w:r w:rsidRPr="006D59BB">
        <w:rPr>
          <w:rFonts w:ascii="Times New Roman" w:hAnsi="Times New Roman" w:cs="Times New Roman"/>
          <w:sz w:val="24"/>
          <w:szCs w:val="24"/>
        </w:rPr>
        <w:t>przyjmowaniem i zatwierdzaniem sprawozdań, o których mowa w art. 33 i art. 44 ustawy o</w:t>
      </w:r>
      <w:r w:rsidR="005D5D55" w:rsidRPr="006D59BB">
        <w:rPr>
          <w:rFonts w:ascii="Times New Roman" w:hAnsi="Times New Roman" w:cs="Times New Roman"/>
          <w:sz w:val="24"/>
          <w:szCs w:val="24"/>
        </w:rPr>
        <w:t> </w:t>
      </w:r>
      <w:r w:rsidRPr="006D59BB">
        <w:rPr>
          <w:rFonts w:ascii="Times New Roman" w:hAnsi="Times New Roman" w:cs="Times New Roman"/>
          <w:sz w:val="24"/>
          <w:szCs w:val="24"/>
        </w:rPr>
        <w:t>udzielaniu pomocy (aktualnie 15 beneficjentów</w:t>
      </w:r>
      <w:r w:rsidR="00C05BE5" w:rsidRPr="006D59BB">
        <w:rPr>
          <w:rFonts w:ascii="Times New Roman" w:hAnsi="Times New Roman" w:cs="Times New Roman"/>
          <w:sz w:val="24"/>
          <w:szCs w:val="24"/>
        </w:rPr>
        <w:t>,</w:t>
      </w:r>
      <w:r w:rsidRPr="006D59BB">
        <w:rPr>
          <w:rFonts w:ascii="Times New Roman" w:hAnsi="Times New Roman" w:cs="Times New Roman"/>
          <w:sz w:val="24"/>
          <w:szCs w:val="24"/>
        </w:rPr>
        <w:t xml:space="preserve"> tj. 60 sprawozdań rocznie);</w:t>
      </w:r>
    </w:p>
    <w:p w14:paraId="214D3E5A" w14:textId="438508C7" w:rsidR="003E1991" w:rsidRPr="006D59BB" w:rsidRDefault="003E1991" w:rsidP="006D59BB">
      <w:pPr>
        <w:pStyle w:val="Akapitzlist"/>
        <w:numPr>
          <w:ilvl w:val="0"/>
          <w:numId w:val="20"/>
        </w:numPr>
        <w:spacing w:before="120" w:after="0" w:line="360" w:lineRule="auto"/>
        <w:ind w:left="426" w:hanging="437"/>
        <w:jc w:val="both"/>
        <w:rPr>
          <w:rFonts w:ascii="Times New Roman" w:hAnsi="Times New Roman" w:cs="Times New Roman"/>
          <w:sz w:val="24"/>
          <w:szCs w:val="24"/>
        </w:rPr>
      </w:pPr>
      <w:r w:rsidRPr="006D59BB">
        <w:rPr>
          <w:rFonts w:ascii="Times New Roman" w:hAnsi="Times New Roman" w:cs="Times New Roman"/>
          <w:sz w:val="24"/>
          <w:szCs w:val="24"/>
        </w:rPr>
        <w:t>przeprowadzaniem kontroli u beneficjentów na zasadach przewidzianych dla przedsiębiorców w</w:t>
      </w:r>
      <w:r w:rsidR="005D5D55" w:rsidRPr="006D59BB">
        <w:rPr>
          <w:rFonts w:ascii="Times New Roman" w:hAnsi="Times New Roman" w:cs="Times New Roman"/>
          <w:sz w:val="24"/>
          <w:szCs w:val="24"/>
        </w:rPr>
        <w:t> </w:t>
      </w:r>
      <w:r w:rsidRPr="006D59BB">
        <w:rPr>
          <w:rFonts w:ascii="Times New Roman" w:hAnsi="Times New Roman" w:cs="Times New Roman"/>
          <w:sz w:val="24"/>
          <w:szCs w:val="24"/>
        </w:rPr>
        <w:t>zakresie wykorzystania pomocy publicznej, zgodnie z jej przeznaczeniem (do dnia sporządzenia niniejszego uzasadnienia przeprowadzono 10 kontroli);</w:t>
      </w:r>
    </w:p>
    <w:p w14:paraId="74202AF1" w14:textId="4F645870" w:rsidR="00C05BE5" w:rsidRPr="006D59BB" w:rsidRDefault="00C05BE5" w:rsidP="006D59BB">
      <w:pPr>
        <w:pStyle w:val="Akapitzlist"/>
        <w:numPr>
          <w:ilvl w:val="0"/>
          <w:numId w:val="20"/>
        </w:numPr>
        <w:spacing w:before="120" w:after="0" w:line="360" w:lineRule="auto"/>
        <w:ind w:left="426" w:hanging="437"/>
        <w:jc w:val="both"/>
        <w:rPr>
          <w:rFonts w:ascii="Times New Roman" w:hAnsi="Times New Roman" w:cs="Times New Roman"/>
          <w:sz w:val="24"/>
          <w:szCs w:val="24"/>
        </w:rPr>
      </w:pPr>
      <w:r w:rsidRPr="006D59BB">
        <w:rPr>
          <w:rFonts w:ascii="Times New Roman" w:hAnsi="Times New Roman" w:cs="Times New Roman"/>
          <w:sz w:val="24"/>
          <w:szCs w:val="24"/>
        </w:rPr>
        <w:t>weryfikacją spełnienia przez beneficjentów pomocy warunków, o których mowa w art. 10 ustawy o</w:t>
      </w:r>
      <w:r w:rsidR="005D5D55" w:rsidRPr="006D59BB">
        <w:rPr>
          <w:rFonts w:ascii="Times New Roman" w:hAnsi="Times New Roman" w:cs="Times New Roman"/>
          <w:sz w:val="24"/>
          <w:szCs w:val="24"/>
        </w:rPr>
        <w:t> </w:t>
      </w:r>
      <w:r w:rsidRPr="006D59BB">
        <w:rPr>
          <w:rFonts w:ascii="Times New Roman" w:hAnsi="Times New Roman" w:cs="Times New Roman"/>
          <w:sz w:val="24"/>
          <w:szCs w:val="24"/>
        </w:rPr>
        <w:t>udzielaniu pomocy.</w:t>
      </w:r>
    </w:p>
    <w:p w14:paraId="4A60EB43" w14:textId="2E5DA2A6" w:rsidR="003E1991" w:rsidRPr="006D59BB" w:rsidRDefault="003E1991"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Zmiana dopuszczonego ustawą o udzielaniu pomocy limitu środków przeznaczanych na koszty realizacji zadania z 2</w:t>
      </w:r>
      <w:r w:rsidR="00143F9C" w:rsidRPr="006D59BB">
        <w:rPr>
          <w:rFonts w:ascii="Times New Roman" w:hAnsi="Times New Roman" w:cs="Times New Roman"/>
          <w:sz w:val="24"/>
          <w:szCs w:val="24"/>
        </w:rPr>
        <w:t xml:space="preserve"> </w:t>
      </w:r>
      <w:r w:rsidRPr="006D59BB">
        <w:rPr>
          <w:rFonts w:ascii="Times New Roman" w:hAnsi="Times New Roman" w:cs="Times New Roman"/>
          <w:sz w:val="24"/>
          <w:szCs w:val="24"/>
        </w:rPr>
        <w:t>% do 5</w:t>
      </w:r>
      <w:r w:rsidR="00143F9C" w:rsidRPr="006D59BB">
        <w:rPr>
          <w:rFonts w:ascii="Times New Roman" w:hAnsi="Times New Roman" w:cs="Times New Roman"/>
          <w:sz w:val="24"/>
          <w:szCs w:val="24"/>
        </w:rPr>
        <w:t xml:space="preserve"> </w:t>
      </w:r>
      <w:r w:rsidRPr="006D59BB">
        <w:rPr>
          <w:rFonts w:ascii="Times New Roman" w:hAnsi="Times New Roman" w:cs="Times New Roman"/>
          <w:sz w:val="24"/>
          <w:szCs w:val="24"/>
        </w:rPr>
        <w:t>% pozwoli zabezpieczyć ciągłość realizacji programy w roku 2025 przez udost</w:t>
      </w:r>
      <w:r w:rsidR="00C05BE5" w:rsidRPr="006D59BB">
        <w:rPr>
          <w:rFonts w:ascii="Times New Roman" w:hAnsi="Times New Roman" w:cs="Times New Roman"/>
          <w:sz w:val="24"/>
          <w:szCs w:val="24"/>
        </w:rPr>
        <w:t>ę</w:t>
      </w:r>
      <w:r w:rsidRPr="006D59BB">
        <w:rPr>
          <w:rFonts w:ascii="Times New Roman" w:hAnsi="Times New Roman" w:cs="Times New Roman"/>
          <w:sz w:val="24"/>
          <w:szCs w:val="24"/>
        </w:rPr>
        <w:t xml:space="preserve">pnienie środków w wysokości 3 155 200,00 zł oraz prawdopodobnie w latach kolejnych. Jednocześnie nie generując konieczności zwiększania puli środków w budżecie państwa przeznaczonych dla </w:t>
      </w:r>
      <w:proofErr w:type="spellStart"/>
      <w:r w:rsidRPr="006D59BB">
        <w:rPr>
          <w:rFonts w:ascii="Times New Roman" w:hAnsi="Times New Roman" w:cs="Times New Roman"/>
          <w:sz w:val="24"/>
          <w:szCs w:val="24"/>
        </w:rPr>
        <w:t>MRiT</w:t>
      </w:r>
      <w:proofErr w:type="spellEnd"/>
      <w:r w:rsidRPr="006D59BB">
        <w:rPr>
          <w:rFonts w:ascii="Times New Roman" w:hAnsi="Times New Roman" w:cs="Times New Roman"/>
          <w:sz w:val="24"/>
          <w:szCs w:val="24"/>
        </w:rPr>
        <w:t xml:space="preserve"> na normalizację programu. Należy wskazać, że ograniczenie puli środków przeznaczonych na udzielenie pomocy w formach, o których mowa w art. 39 ust. 1 pkt 2 i 3 ustawy z poziomu 29</w:t>
      </w:r>
      <w:r w:rsidR="00143F9C" w:rsidRPr="006D59BB">
        <w:rPr>
          <w:rFonts w:ascii="Times New Roman" w:hAnsi="Times New Roman" w:cs="Times New Roman"/>
          <w:sz w:val="24"/>
          <w:szCs w:val="24"/>
        </w:rPr>
        <w:t xml:space="preserve"> </w:t>
      </w:r>
      <w:r w:rsidRPr="006D59BB">
        <w:rPr>
          <w:rFonts w:ascii="Times New Roman" w:hAnsi="Times New Roman" w:cs="Times New Roman"/>
          <w:sz w:val="24"/>
          <w:szCs w:val="24"/>
        </w:rPr>
        <w:t>% do 26</w:t>
      </w:r>
      <w:r w:rsidR="00143F9C" w:rsidRPr="006D59BB">
        <w:rPr>
          <w:rFonts w:ascii="Times New Roman" w:hAnsi="Times New Roman" w:cs="Times New Roman"/>
          <w:sz w:val="24"/>
          <w:szCs w:val="24"/>
        </w:rPr>
        <w:t xml:space="preserve"> </w:t>
      </w:r>
      <w:r w:rsidRPr="006D59BB">
        <w:rPr>
          <w:rFonts w:ascii="Times New Roman" w:hAnsi="Times New Roman" w:cs="Times New Roman"/>
          <w:sz w:val="24"/>
          <w:szCs w:val="24"/>
        </w:rPr>
        <w:t>% środków przeznaczonych na realizację programu w budżecie państwa nie wpłynie negatywnie na poziom wykorzystania środków pomocowych przez udzieleni</w:t>
      </w:r>
      <w:r w:rsidR="00912741" w:rsidRPr="006D59BB">
        <w:rPr>
          <w:rFonts w:ascii="Times New Roman" w:hAnsi="Times New Roman" w:cs="Times New Roman"/>
          <w:sz w:val="24"/>
          <w:szCs w:val="24"/>
        </w:rPr>
        <w:t>e</w:t>
      </w:r>
      <w:r w:rsidRPr="006D59BB">
        <w:rPr>
          <w:rFonts w:ascii="Times New Roman" w:hAnsi="Times New Roman" w:cs="Times New Roman"/>
          <w:sz w:val="24"/>
          <w:szCs w:val="24"/>
        </w:rPr>
        <w:t xml:space="preserve"> pomocy w formie: objęcia akcji lub udziałów w podwyższonym kapitale zakładowym albo udziału w podwyższonym kapitale zakładowym przez podwyższenie wartości nominalnej dotychczasowych udziałów lub akcji (art. 31 ust.</w:t>
      </w:r>
      <w:r w:rsidR="00C05BE5" w:rsidRPr="006D59BB">
        <w:rPr>
          <w:rFonts w:ascii="Times New Roman" w:hAnsi="Times New Roman" w:cs="Times New Roman"/>
          <w:sz w:val="24"/>
          <w:szCs w:val="24"/>
        </w:rPr>
        <w:t xml:space="preserve"> </w:t>
      </w:r>
      <w:r w:rsidRPr="006D59BB">
        <w:rPr>
          <w:rFonts w:ascii="Times New Roman" w:hAnsi="Times New Roman" w:cs="Times New Roman"/>
          <w:sz w:val="24"/>
          <w:szCs w:val="24"/>
        </w:rPr>
        <w:t>1 pkt 2) lub objęcia obligacji (art. 31 ust.</w:t>
      </w:r>
      <w:r w:rsidR="00506D0D" w:rsidRPr="006D59BB">
        <w:rPr>
          <w:rFonts w:ascii="Times New Roman" w:hAnsi="Times New Roman" w:cs="Times New Roman"/>
          <w:sz w:val="24"/>
          <w:szCs w:val="24"/>
        </w:rPr>
        <w:t xml:space="preserve"> </w:t>
      </w:r>
      <w:r w:rsidRPr="006D59BB">
        <w:rPr>
          <w:rFonts w:ascii="Times New Roman" w:hAnsi="Times New Roman" w:cs="Times New Roman"/>
          <w:sz w:val="24"/>
          <w:szCs w:val="24"/>
        </w:rPr>
        <w:t>1 pkt 3), ponieważ w trakcie ponad 4-letniego okresu funkcjonowania programu wskazane formy pomocy nie są rzadko wybierane przez przedsiębiorców, m.in. że względu na dodatkowe ograniczenia wynikające z ustawy o udzielaniu pomocy, a w całym okresie funkcjonowania programu poziom wykorzystania tych form pomocy nie zbliżał się do limitu wynikającego z ustawy.</w:t>
      </w:r>
    </w:p>
    <w:p w14:paraId="032E3C5D" w14:textId="2C0363E1" w:rsidR="003E1991" w:rsidRPr="006D59BB" w:rsidRDefault="003E1991"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Zmiana zapewni stabilność procesu, jednolitość zespołu dedykowanego do obsługi programu, a co za tym idzie ograniczenie narażenia na uszczerbek budżetu państwa oraz konieczności wdrażania i</w:t>
      </w:r>
      <w:r w:rsidR="005D5D55" w:rsidRPr="006D59BB">
        <w:rPr>
          <w:rFonts w:ascii="Times New Roman" w:hAnsi="Times New Roman" w:cs="Times New Roman"/>
          <w:sz w:val="24"/>
          <w:szCs w:val="24"/>
        </w:rPr>
        <w:t> </w:t>
      </w:r>
      <w:r w:rsidRPr="006D59BB">
        <w:rPr>
          <w:rFonts w:ascii="Times New Roman" w:hAnsi="Times New Roman" w:cs="Times New Roman"/>
          <w:sz w:val="24"/>
          <w:szCs w:val="24"/>
        </w:rPr>
        <w:t>przeszkalania nowej kadry.</w:t>
      </w:r>
      <w:r w:rsidR="00C656EB">
        <w:rPr>
          <w:rFonts w:ascii="Times New Roman" w:hAnsi="Times New Roman" w:cs="Times New Roman"/>
          <w:sz w:val="24"/>
          <w:szCs w:val="24"/>
        </w:rPr>
        <w:t xml:space="preserve"> </w:t>
      </w:r>
    </w:p>
    <w:p w14:paraId="10446808" w14:textId="2C801B27" w:rsidR="003E1991" w:rsidRPr="006D59BB" w:rsidRDefault="003E1991"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lastRenderedPageBreak/>
        <w:t>Konsekwencją braku zmiany poziomu środków na pokrycie kosztów realizacji programu na rok 2025 będzie brak możliwości zagwarantowania ciągłości realizacji zadania wsparcia przedsiębiorców w</w:t>
      </w:r>
      <w:r w:rsidR="005D5D55" w:rsidRPr="006D59BB">
        <w:rPr>
          <w:rFonts w:ascii="Times New Roman" w:hAnsi="Times New Roman" w:cs="Times New Roman"/>
          <w:sz w:val="24"/>
          <w:szCs w:val="24"/>
        </w:rPr>
        <w:t> </w:t>
      </w:r>
      <w:r w:rsidRPr="006D59BB">
        <w:rPr>
          <w:rFonts w:ascii="Times New Roman" w:hAnsi="Times New Roman" w:cs="Times New Roman"/>
          <w:sz w:val="24"/>
          <w:szCs w:val="24"/>
        </w:rPr>
        <w:t>trudnej sytuacji ekonomicznej.</w:t>
      </w:r>
    </w:p>
    <w:p w14:paraId="0F2E2943" w14:textId="629BDB99" w:rsidR="004C5765" w:rsidRPr="006D59BB" w:rsidRDefault="004C5765" w:rsidP="006D59BB">
      <w:pPr>
        <w:pStyle w:val="Styl1"/>
        <w:spacing w:before="120" w:after="0" w:line="360" w:lineRule="auto"/>
        <w:rPr>
          <w:sz w:val="24"/>
          <w:szCs w:val="24"/>
        </w:rPr>
      </w:pPr>
      <w:bookmarkStart w:id="49" w:name="_Toc192358933"/>
      <w:r w:rsidRPr="006D59BB">
        <w:rPr>
          <w:sz w:val="24"/>
          <w:szCs w:val="24"/>
        </w:rPr>
        <w:t>Ustawa z dnia 2 grudnia 2021 r. o wyrobach winiarskich</w:t>
      </w:r>
      <w:bookmarkEnd w:id="49"/>
      <w:r w:rsidRPr="006D59BB">
        <w:rPr>
          <w:sz w:val="24"/>
          <w:szCs w:val="24"/>
        </w:rPr>
        <w:t xml:space="preserve"> </w:t>
      </w:r>
    </w:p>
    <w:p w14:paraId="4FE40643" w14:textId="5E133A90" w:rsidR="004C5765" w:rsidRPr="006D59BB" w:rsidRDefault="004C5765"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Zmiana przepisów ustawy o wyrobach winiarskich ma na celu ujednolicenie przepisów w zakresie wykreślenia przedsiębiorcy z rejestru na jego wniosek analogicznie do zawartych w art. 7c ustawy z</w:t>
      </w:r>
      <w:r w:rsidR="005D5D55" w:rsidRPr="006D59BB">
        <w:rPr>
          <w:rFonts w:ascii="Times New Roman" w:hAnsi="Times New Roman" w:cs="Times New Roman"/>
          <w:sz w:val="24"/>
          <w:szCs w:val="24"/>
        </w:rPr>
        <w:t> </w:t>
      </w:r>
      <w:r w:rsidRPr="006D59BB">
        <w:rPr>
          <w:rFonts w:ascii="Times New Roman" w:hAnsi="Times New Roman" w:cs="Times New Roman"/>
          <w:sz w:val="24"/>
          <w:szCs w:val="24"/>
        </w:rPr>
        <w:t xml:space="preserve">dnia 2 marca 2001 r. o wyrobie alkoholu etylowego oraz wytwarzaniu wyrobów tytoniowych jak i art. 9a ustawy z dnia 18 października 2006 r. o wyrobie napojów spirytusowych. </w:t>
      </w:r>
    </w:p>
    <w:p w14:paraId="5C394BD5" w14:textId="77777777" w:rsidR="001C0D5D" w:rsidRPr="006D59BB" w:rsidRDefault="001C0D5D" w:rsidP="006D59BB">
      <w:pPr>
        <w:pStyle w:val="Nagwek1"/>
        <w:numPr>
          <w:ilvl w:val="0"/>
          <w:numId w:val="3"/>
        </w:numPr>
        <w:tabs>
          <w:tab w:val="left" w:pos="426"/>
        </w:tabs>
        <w:spacing w:before="120" w:after="0" w:line="360" w:lineRule="auto"/>
        <w:ind w:left="0" w:firstLine="0"/>
        <w:jc w:val="both"/>
        <w:rPr>
          <w:rFonts w:ascii="Times New Roman" w:hAnsi="Times New Roman" w:cs="Times New Roman"/>
          <w:b/>
          <w:bCs/>
          <w:color w:val="auto"/>
          <w:sz w:val="24"/>
          <w:szCs w:val="24"/>
        </w:rPr>
      </w:pPr>
      <w:bookmarkStart w:id="50" w:name="_Toc184641305"/>
      <w:bookmarkStart w:id="51" w:name="_Toc192358934"/>
      <w:r w:rsidRPr="006D59BB">
        <w:rPr>
          <w:rFonts w:ascii="Times New Roman" w:hAnsi="Times New Roman" w:cs="Times New Roman"/>
          <w:b/>
          <w:bCs/>
          <w:color w:val="auto"/>
          <w:sz w:val="24"/>
          <w:szCs w:val="24"/>
        </w:rPr>
        <w:t>Przepisy przejściowe i końcowe</w:t>
      </w:r>
      <w:bookmarkEnd w:id="50"/>
      <w:bookmarkEnd w:id="51"/>
    </w:p>
    <w:p w14:paraId="1D1F00D9" w14:textId="5DD3CE32" w:rsidR="001C0D5D" w:rsidRPr="006D59BB" w:rsidRDefault="001C0D5D"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 xml:space="preserve">Proponuje się aby do </w:t>
      </w:r>
      <w:r w:rsidR="008C05C4" w:rsidRPr="006D59BB">
        <w:rPr>
          <w:rFonts w:ascii="Times New Roman" w:hAnsi="Times New Roman" w:cs="Times New Roman"/>
          <w:sz w:val="24"/>
          <w:szCs w:val="24"/>
        </w:rPr>
        <w:t>spraw,</w:t>
      </w:r>
      <w:r w:rsidRPr="006D59BB">
        <w:rPr>
          <w:rFonts w:ascii="Times New Roman" w:hAnsi="Times New Roman" w:cs="Times New Roman"/>
          <w:sz w:val="24"/>
          <w:szCs w:val="24"/>
        </w:rPr>
        <w:t xml:space="preserve"> o których mowa w art. 1 wszczętych i niezakończonych przed dniem wejścia w życie niniejszej ustawy stosować przepisy Kpa w brzmieniu dotychczasowym.</w:t>
      </w:r>
      <w:r w:rsidR="008C05C4" w:rsidRPr="006D59BB">
        <w:rPr>
          <w:rFonts w:ascii="Times New Roman" w:hAnsi="Times New Roman" w:cs="Times New Roman"/>
          <w:sz w:val="24"/>
          <w:szCs w:val="24"/>
        </w:rPr>
        <w:t xml:space="preserve"> Będzie to dotyczyć zatem m.in. mediacji w toku postępowania administracyjnego, czy zmian w obszarze administracyjnych kar pieniężnych.</w:t>
      </w:r>
    </w:p>
    <w:p w14:paraId="62EB1F28" w14:textId="327166E4" w:rsidR="00276AB1" w:rsidRPr="006D59BB" w:rsidRDefault="00276AB1"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Dodatkowo</w:t>
      </w:r>
      <w:r w:rsidR="004378D7" w:rsidRPr="006D59BB">
        <w:rPr>
          <w:rFonts w:ascii="Times New Roman" w:hAnsi="Times New Roman" w:cs="Times New Roman"/>
          <w:sz w:val="24"/>
          <w:szCs w:val="24"/>
        </w:rPr>
        <w:t>,</w:t>
      </w:r>
      <w:r w:rsidRPr="006D59BB">
        <w:rPr>
          <w:rFonts w:ascii="Times New Roman" w:hAnsi="Times New Roman" w:cs="Times New Roman"/>
          <w:sz w:val="24"/>
          <w:szCs w:val="24"/>
        </w:rPr>
        <w:t xml:space="preserve"> p</w:t>
      </w:r>
      <w:r w:rsidR="00533FB0" w:rsidRPr="006D59BB">
        <w:rPr>
          <w:rFonts w:ascii="Times New Roman" w:hAnsi="Times New Roman" w:cs="Times New Roman"/>
          <w:sz w:val="24"/>
          <w:szCs w:val="24"/>
        </w:rPr>
        <w:t>roponuje się</w:t>
      </w:r>
      <w:r w:rsidRPr="006D59BB">
        <w:rPr>
          <w:rFonts w:ascii="Times New Roman" w:hAnsi="Times New Roman" w:cs="Times New Roman"/>
          <w:sz w:val="24"/>
          <w:szCs w:val="24"/>
        </w:rPr>
        <w:t>,</w:t>
      </w:r>
      <w:r w:rsidR="00533FB0" w:rsidRPr="006D59BB">
        <w:rPr>
          <w:rFonts w:ascii="Times New Roman" w:hAnsi="Times New Roman" w:cs="Times New Roman"/>
          <w:sz w:val="24"/>
          <w:szCs w:val="24"/>
        </w:rPr>
        <w:t xml:space="preserve"> aby do postępowań</w:t>
      </w:r>
      <w:r w:rsidRPr="006D59BB">
        <w:rPr>
          <w:rFonts w:ascii="Times New Roman" w:hAnsi="Times New Roman" w:cs="Times New Roman"/>
          <w:sz w:val="24"/>
          <w:szCs w:val="24"/>
        </w:rPr>
        <w:t xml:space="preserve"> wszczętych i niezakończonych przed dniem wejścia w</w:t>
      </w:r>
      <w:r w:rsidR="004378D7" w:rsidRPr="006D59BB">
        <w:rPr>
          <w:rFonts w:ascii="Times New Roman" w:hAnsi="Times New Roman" w:cs="Times New Roman"/>
          <w:sz w:val="24"/>
          <w:szCs w:val="24"/>
        </w:rPr>
        <w:t> </w:t>
      </w:r>
      <w:r w:rsidRPr="006D59BB">
        <w:rPr>
          <w:rFonts w:ascii="Times New Roman" w:hAnsi="Times New Roman" w:cs="Times New Roman"/>
          <w:sz w:val="24"/>
          <w:szCs w:val="24"/>
        </w:rPr>
        <w:t>życie niniejszej ustawy postępowań, o których mowa w:</w:t>
      </w:r>
    </w:p>
    <w:p w14:paraId="71173884" w14:textId="6E8F6F66" w:rsidR="00276AB1" w:rsidRPr="006D59BB" w:rsidRDefault="00276AB1" w:rsidP="006D59BB">
      <w:pPr>
        <w:spacing w:before="120" w:after="0" w:line="360" w:lineRule="auto"/>
        <w:ind w:left="426" w:hanging="426"/>
        <w:jc w:val="both"/>
        <w:rPr>
          <w:rFonts w:ascii="Times New Roman" w:hAnsi="Times New Roman" w:cs="Times New Roman"/>
          <w:sz w:val="24"/>
          <w:szCs w:val="24"/>
        </w:rPr>
      </w:pPr>
      <w:r w:rsidRPr="006D59BB">
        <w:rPr>
          <w:rFonts w:ascii="Times New Roman" w:hAnsi="Times New Roman" w:cs="Times New Roman"/>
          <w:sz w:val="24"/>
          <w:szCs w:val="24"/>
        </w:rPr>
        <w:t>1)</w:t>
      </w:r>
      <w:r w:rsidRPr="006D59BB">
        <w:rPr>
          <w:rFonts w:ascii="Times New Roman" w:hAnsi="Times New Roman" w:cs="Times New Roman"/>
          <w:sz w:val="24"/>
          <w:szCs w:val="24"/>
        </w:rPr>
        <w:tab/>
        <w:t>ustawie zmienianej w art. 3 ‒ stosowało się przepisy tej ustawy w brzmieniu dotychczasowym;</w:t>
      </w:r>
    </w:p>
    <w:p w14:paraId="22E00AE1" w14:textId="485565C9" w:rsidR="00276AB1" w:rsidRPr="006D59BB" w:rsidRDefault="00276AB1" w:rsidP="006D59BB">
      <w:pPr>
        <w:spacing w:before="120" w:after="0" w:line="360" w:lineRule="auto"/>
        <w:ind w:left="426" w:hanging="426"/>
        <w:jc w:val="both"/>
        <w:rPr>
          <w:rFonts w:ascii="Times New Roman" w:hAnsi="Times New Roman" w:cs="Times New Roman"/>
          <w:sz w:val="24"/>
          <w:szCs w:val="24"/>
        </w:rPr>
      </w:pPr>
      <w:r w:rsidRPr="006D59BB">
        <w:rPr>
          <w:rFonts w:ascii="Times New Roman" w:hAnsi="Times New Roman" w:cs="Times New Roman"/>
          <w:sz w:val="24"/>
          <w:szCs w:val="24"/>
        </w:rPr>
        <w:t>2)</w:t>
      </w:r>
      <w:r w:rsidRPr="006D59BB">
        <w:rPr>
          <w:rFonts w:ascii="Times New Roman" w:hAnsi="Times New Roman" w:cs="Times New Roman"/>
          <w:sz w:val="24"/>
          <w:szCs w:val="24"/>
        </w:rPr>
        <w:tab/>
        <w:t>ustawie zmienianej w art. 7 ‒ stosowało się przepisy tej ustawy w brzmieniu dotychczasowym;</w:t>
      </w:r>
    </w:p>
    <w:p w14:paraId="080E1503" w14:textId="0CAA296D" w:rsidR="00276AB1" w:rsidRPr="006D59BB" w:rsidRDefault="00276AB1" w:rsidP="006D59BB">
      <w:pPr>
        <w:spacing w:before="120" w:after="0" w:line="360" w:lineRule="auto"/>
        <w:ind w:left="426" w:hanging="426"/>
        <w:jc w:val="both"/>
        <w:rPr>
          <w:rFonts w:ascii="Times New Roman" w:hAnsi="Times New Roman" w:cs="Times New Roman"/>
          <w:sz w:val="24"/>
          <w:szCs w:val="24"/>
        </w:rPr>
      </w:pPr>
      <w:r w:rsidRPr="006D59BB">
        <w:rPr>
          <w:rFonts w:ascii="Times New Roman" w:hAnsi="Times New Roman" w:cs="Times New Roman"/>
          <w:sz w:val="24"/>
          <w:szCs w:val="24"/>
        </w:rPr>
        <w:t>3)</w:t>
      </w:r>
      <w:r w:rsidRPr="006D59BB">
        <w:rPr>
          <w:rFonts w:ascii="Times New Roman" w:hAnsi="Times New Roman" w:cs="Times New Roman"/>
          <w:sz w:val="24"/>
          <w:szCs w:val="24"/>
        </w:rPr>
        <w:tab/>
        <w:t>ustawie zmienianej w art. 11 ‒ stosowało się przepisy tej ustawy w brzmieniu dotychczasowym;</w:t>
      </w:r>
    </w:p>
    <w:p w14:paraId="1F48BB34" w14:textId="5BF144C7" w:rsidR="00276AB1" w:rsidRPr="006D59BB" w:rsidRDefault="00276AB1" w:rsidP="006D59BB">
      <w:pPr>
        <w:spacing w:before="120" w:after="0" w:line="360" w:lineRule="auto"/>
        <w:ind w:left="426" w:hanging="426"/>
        <w:jc w:val="both"/>
        <w:rPr>
          <w:rFonts w:ascii="Times New Roman" w:hAnsi="Times New Roman" w:cs="Times New Roman"/>
          <w:sz w:val="24"/>
          <w:szCs w:val="24"/>
        </w:rPr>
      </w:pPr>
      <w:r w:rsidRPr="006D59BB">
        <w:rPr>
          <w:rFonts w:ascii="Times New Roman" w:hAnsi="Times New Roman" w:cs="Times New Roman"/>
          <w:sz w:val="24"/>
          <w:szCs w:val="24"/>
        </w:rPr>
        <w:t>4)</w:t>
      </w:r>
      <w:r w:rsidRPr="006D59BB">
        <w:rPr>
          <w:rFonts w:ascii="Times New Roman" w:hAnsi="Times New Roman" w:cs="Times New Roman"/>
          <w:sz w:val="24"/>
          <w:szCs w:val="24"/>
        </w:rPr>
        <w:tab/>
        <w:t>ustawie zmienianej w art. 12 ‒ stosowało się przepisy tej ustawy w brzmieniu dotychczasowym;</w:t>
      </w:r>
    </w:p>
    <w:p w14:paraId="44428CB0" w14:textId="5D016FE6" w:rsidR="00276AB1" w:rsidRPr="006D59BB" w:rsidRDefault="00276AB1" w:rsidP="006D59BB">
      <w:pPr>
        <w:spacing w:before="120" w:after="0" w:line="360" w:lineRule="auto"/>
        <w:ind w:left="426" w:hanging="426"/>
        <w:jc w:val="both"/>
        <w:rPr>
          <w:rFonts w:ascii="Times New Roman" w:hAnsi="Times New Roman" w:cs="Times New Roman"/>
          <w:sz w:val="24"/>
          <w:szCs w:val="24"/>
        </w:rPr>
      </w:pPr>
      <w:r w:rsidRPr="006D59BB">
        <w:rPr>
          <w:rFonts w:ascii="Times New Roman" w:hAnsi="Times New Roman" w:cs="Times New Roman"/>
          <w:sz w:val="24"/>
          <w:szCs w:val="24"/>
        </w:rPr>
        <w:t>5)</w:t>
      </w:r>
      <w:r w:rsidRPr="006D59BB">
        <w:rPr>
          <w:rFonts w:ascii="Times New Roman" w:hAnsi="Times New Roman" w:cs="Times New Roman"/>
          <w:sz w:val="24"/>
          <w:szCs w:val="24"/>
        </w:rPr>
        <w:tab/>
        <w:t>ustawie zmienianej w art. 13 ‒ stosowało się przepisy tej ustawy w brzmieniu dotychczasowym;</w:t>
      </w:r>
    </w:p>
    <w:p w14:paraId="481C0AC3" w14:textId="690EF539" w:rsidR="00276AB1" w:rsidRPr="006D59BB" w:rsidRDefault="00276AB1" w:rsidP="006D59BB">
      <w:pPr>
        <w:spacing w:before="120" w:after="0" w:line="360" w:lineRule="auto"/>
        <w:ind w:left="426" w:hanging="426"/>
        <w:jc w:val="both"/>
        <w:rPr>
          <w:rFonts w:ascii="Times New Roman" w:hAnsi="Times New Roman" w:cs="Times New Roman"/>
          <w:sz w:val="24"/>
          <w:szCs w:val="24"/>
        </w:rPr>
      </w:pPr>
      <w:r w:rsidRPr="006D59BB">
        <w:rPr>
          <w:rFonts w:ascii="Times New Roman" w:hAnsi="Times New Roman" w:cs="Times New Roman"/>
          <w:sz w:val="24"/>
          <w:szCs w:val="24"/>
        </w:rPr>
        <w:t>6)</w:t>
      </w:r>
      <w:r w:rsidRPr="006D59BB">
        <w:rPr>
          <w:rFonts w:ascii="Times New Roman" w:hAnsi="Times New Roman" w:cs="Times New Roman"/>
          <w:sz w:val="24"/>
          <w:szCs w:val="24"/>
        </w:rPr>
        <w:tab/>
        <w:t>ustawie zmienianej w art. 14 – stosowało się przepisy tej ustawy w brzmieniu dotychczasowym;</w:t>
      </w:r>
    </w:p>
    <w:p w14:paraId="76D5B7F9" w14:textId="71E2B794" w:rsidR="00276AB1" w:rsidRPr="006D59BB" w:rsidRDefault="00276AB1" w:rsidP="006D59BB">
      <w:pPr>
        <w:spacing w:before="120" w:after="0" w:line="360" w:lineRule="auto"/>
        <w:ind w:left="426" w:hanging="426"/>
        <w:jc w:val="both"/>
        <w:rPr>
          <w:rFonts w:ascii="Times New Roman" w:hAnsi="Times New Roman" w:cs="Times New Roman"/>
          <w:sz w:val="24"/>
          <w:szCs w:val="24"/>
        </w:rPr>
      </w:pPr>
      <w:r w:rsidRPr="006D59BB">
        <w:rPr>
          <w:rFonts w:ascii="Times New Roman" w:hAnsi="Times New Roman" w:cs="Times New Roman"/>
          <w:sz w:val="24"/>
          <w:szCs w:val="24"/>
        </w:rPr>
        <w:t>7)</w:t>
      </w:r>
      <w:r w:rsidRPr="006D59BB">
        <w:rPr>
          <w:rFonts w:ascii="Times New Roman" w:hAnsi="Times New Roman" w:cs="Times New Roman"/>
          <w:sz w:val="24"/>
          <w:szCs w:val="24"/>
        </w:rPr>
        <w:tab/>
        <w:t>ustawie zmienianej w art. 16 ‒ stosowało się przepisy tej ustawy w brzmieniu dotychczasowym;</w:t>
      </w:r>
    </w:p>
    <w:p w14:paraId="7FFFC330" w14:textId="050900BE" w:rsidR="00276AB1" w:rsidRPr="006D59BB" w:rsidRDefault="00276AB1" w:rsidP="006D59BB">
      <w:pPr>
        <w:spacing w:before="120" w:after="0" w:line="360" w:lineRule="auto"/>
        <w:ind w:left="426" w:hanging="426"/>
        <w:jc w:val="both"/>
        <w:rPr>
          <w:rFonts w:ascii="Times New Roman" w:hAnsi="Times New Roman" w:cs="Times New Roman"/>
          <w:sz w:val="24"/>
          <w:szCs w:val="24"/>
        </w:rPr>
      </w:pPr>
      <w:r w:rsidRPr="006D59BB">
        <w:rPr>
          <w:rFonts w:ascii="Times New Roman" w:hAnsi="Times New Roman" w:cs="Times New Roman"/>
          <w:sz w:val="24"/>
          <w:szCs w:val="24"/>
        </w:rPr>
        <w:lastRenderedPageBreak/>
        <w:t>8)</w:t>
      </w:r>
      <w:r w:rsidRPr="006D59BB">
        <w:rPr>
          <w:rFonts w:ascii="Times New Roman" w:hAnsi="Times New Roman" w:cs="Times New Roman"/>
          <w:sz w:val="24"/>
          <w:szCs w:val="24"/>
        </w:rPr>
        <w:tab/>
        <w:t>ustawie zmienianej w art. 18 – stosowało się przepisy tej ustawy w brzmieniu dotychczasowym;</w:t>
      </w:r>
    </w:p>
    <w:p w14:paraId="0EB71C1B" w14:textId="0480C3B0" w:rsidR="0054643B" w:rsidRPr="006D59BB" w:rsidRDefault="00276AB1" w:rsidP="006D59BB">
      <w:pPr>
        <w:spacing w:before="120" w:after="0" w:line="360" w:lineRule="auto"/>
        <w:ind w:left="426" w:hanging="426"/>
        <w:jc w:val="both"/>
        <w:rPr>
          <w:rFonts w:ascii="Times New Roman" w:hAnsi="Times New Roman" w:cs="Times New Roman"/>
          <w:sz w:val="24"/>
          <w:szCs w:val="24"/>
        </w:rPr>
      </w:pPr>
      <w:r w:rsidRPr="006D59BB">
        <w:rPr>
          <w:rFonts w:ascii="Times New Roman" w:hAnsi="Times New Roman" w:cs="Times New Roman"/>
          <w:sz w:val="24"/>
          <w:szCs w:val="24"/>
        </w:rPr>
        <w:t>9)</w:t>
      </w:r>
      <w:r w:rsidRPr="006D59BB">
        <w:rPr>
          <w:rFonts w:ascii="Times New Roman" w:hAnsi="Times New Roman" w:cs="Times New Roman"/>
          <w:sz w:val="24"/>
          <w:szCs w:val="24"/>
        </w:rPr>
        <w:tab/>
        <w:t>ustawie zmienianej w art. 2</w:t>
      </w:r>
      <w:r w:rsidR="00750085">
        <w:rPr>
          <w:rFonts w:ascii="Times New Roman" w:hAnsi="Times New Roman" w:cs="Times New Roman"/>
          <w:sz w:val="24"/>
          <w:szCs w:val="24"/>
        </w:rPr>
        <w:t>6</w:t>
      </w:r>
      <w:r w:rsidRPr="006D59BB">
        <w:rPr>
          <w:rFonts w:ascii="Times New Roman" w:hAnsi="Times New Roman" w:cs="Times New Roman"/>
          <w:sz w:val="24"/>
          <w:szCs w:val="24"/>
        </w:rPr>
        <w:t xml:space="preserve"> ‒ stosowało się przepisy tej ustawy w brzmieniu dotychczasowym.</w:t>
      </w:r>
    </w:p>
    <w:p w14:paraId="49704FD6" w14:textId="77777777" w:rsidR="001C0D5D" w:rsidRPr="006D59BB" w:rsidRDefault="001C0D5D"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Proponuje się, by do umów leasingu zawartych przed dniem wejścia życie ustawy zastosowanie znajdywały przepisy dotychczasowe.</w:t>
      </w:r>
    </w:p>
    <w:p w14:paraId="74B397C3" w14:textId="77777777" w:rsidR="001C0D5D" w:rsidRPr="006D59BB" w:rsidRDefault="001C0D5D"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Proponuje się, aby młodociani pracownicy odbywający w dniu wejścia w życie niniejszej nowelizacji przygotowanie zawodowe u pracodawcy, który w rozumieniu dotychczasowych przepisów nie był rzemieślnikiem, a po dniu wejścia w życie nowej definicji stanie się nim, kontynuowali to przygotowanie oraz zdawali egzaminy zgodnie z dotychczasowymi zasadami dotyczącymi młodocianych zatrudnionych u pracodawców niebędących rzemieślnikami.</w:t>
      </w:r>
    </w:p>
    <w:p w14:paraId="28D1F792" w14:textId="77777777" w:rsidR="001C0D5D" w:rsidRPr="006D59BB" w:rsidRDefault="001C0D5D"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Istnieje także potrzeba wprowadzenia przepisu odnoszącego się do sytuacji osób prowadzących działalność nierejestrową w zakresie posługiwania się przez nie NIP albo PESEL w obrocie gospodarczym. Zasadnym jest, by reguły określone zmianą proponowaną w ustawie miały zastosowanie także do tych osób, którym przed dniem wejścia w życie ustawy został nadany identyfikator podatkowy NIP – zapewni to systemową spójność.</w:t>
      </w:r>
    </w:p>
    <w:p w14:paraId="2EF962D1" w14:textId="5E4D861F" w:rsidR="0092536A" w:rsidRPr="006D59BB" w:rsidRDefault="0092536A" w:rsidP="006D59BB">
      <w:pPr>
        <w:spacing w:before="120" w:after="0" w:line="360" w:lineRule="auto"/>
        <w:jc w:val="both"/>
        <w:rPr>
          <w:rFonts w:ascii="Times New Roman" w:hAnsi="Times New Roman" w:cs="Times New Roman"/>
          <w:sz w:val="24"/>
          <w:szCs w:val="24"/>
        </w:rPr>
      </w:pPr>
      <w:bookmarkStart w:id="52" w:name="_Hlk187826016"/>
      <w:r w:rsidRPr="006D59BB">
        <w:rPr>
          <w:rFonts w:ascii="Times New Roman" w:hAnsi="Times New Roman" w:cs="Times New Roman"/>
          <w:sz w:val="24"/>
          <w:szCs w:val="24"/>
        </w:rPr>
        <w:t xml:space="preserve">Proponuje się dodanie przepisu utrzymującego w mocy dotychczasowe rozporządzenie Ministra Finansów z dnia 17 lipca 2019 r. w sprawie wzoru zawiadomienia o zamiarze wszczęcia kontroli podatkowej </w:t>
      </w:r>
      <w:r w:rsidR="00DC27ED" w:rsidRPr="006D59BB">
        <w:rPr>
          <w:rFonts w:ascii="Times New Roman" w:hAnsi="Times New Roman" w:cs="Times New Roman"/>
          <w:sz w:val="24"/>
          <w:szCs w:val="24"/>
        </w:rPr>
        <w:t>w związku z dodaniem w art. 8 pkt 3 ustawy nowych elementów treści zawiadomienia. Dotychczasowe rozporządzenie zachowuje moc do dnia wejścia w życie przepisów wykonawczych wydanych na podstawie 282b § 5 ustawy zmienianej w art. 8, w brzmieniu nadanym niniejszą ustawą, jednak nie dłużej niż do dnia 30 października 2025 r.</w:t>
      </w:r>
    </w:p>
    <w:p w14:paraId="5AE3C454" w14:textId="736C6025" w:rsidR="00A23F9E" w:rsidRPr="006D59BB" w:rsidRDefault="00A23F9E"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W przepisach przejściowych przewidziano, że do praw do ustalania podstawy</w:t>
      </w:r>
      <w:r w:rsidR="00B86B15" w:rsidRPr="006D59BB">
        <w:rPr>
          <w:rFonts w:ascii="Times New Roman" w:hAnsi="Times New Roman" w:cs="Times New Roman"/>
          <w:sz w:val="24"/>
          <w:szCs w:val="24"/>
        </w:rPr>
        <w:t xml:space="preserve"> </w:t>
      </w:r>
      <w:r w:rsidRPr="006D59BB">
        <w:rPr>
          <w:rFonts w:ascii="Times New Roman" w:hAnsi="Times New Roman" w:cs="Times New Roman"/>
          <w:sz w:val="24"/>
          <w:szCs w:val="24"/>
        </w:rPr>
        <w:t xml:space="preserve">wymiaru składek </w:t>
      </w:r>
      <w:r w:rsidR="00B86B15" w:rsidRPr="006D59BB">
        <w:rPr>
          <w:rFonts w:ascii="Times New Roman" w:hAnsi="Times New Roman" w:cs="Times New Roman"/>
          <w:sz w:val="24"/>
          <w:szCs w:val="24"/>
        </w:rPr>
        <w:t>w</w:t>
      </w:r>
      <w:r w:rsidR="005E7E00" w:rsidRPr="006D59BB">
        <w:rPr>
          <w:rFonts w:ascii="Times New Roman" w:hAnsi="Times New Roman" w:cs="Times New Roman"/>
          <w:sz w:val="24"/>
          <w:szCs w:val="24"/>
        </w:rPr>
        <w:t> </w:t>
      </w:r>
      <w:r w:rsidR="00B86B15" w:rsidRPr="006D59BB">
        <w:rPr>
          <w:rFonts w:ascii="Times New Roman" w:hAnsi="Times New Roman" w:cs="Times New Roman"/>
          <w:sz w:val="24"/>
          <w:szCs w:val="24"/>
        </w:rPr>
        <w:t>2023</w:t>
      </w:r>
      <w:r w:rsidR="00597418" w:rsidRPr="006D59BB">
        <w:rPr>
          <w:rFonts w:ascii="Times New Roman" w:hAnsi="Times New Roman" w:cs="Times New Roman"/>
          <w:sz w:val="24"/>
          <w:szCs w:val="24"/>
        </w:rPr>
        <w:t> </w:t>
      </w:r>
      <w:r w:rsidR="00B86B15" w:rsidRPr="006D59BB">
        <w:rPr>
          <w:rFonts w:ascii="Times New Roman" w:hAnsi="Times New Roman" w:cs="Times New Roman"/>
          <w:sz w:val="24"/>
          <w:szCs w:val="24"/>
        </w:rPr>
        <w:t xml:space="preserve">r. </w:t>
      </w:r>
      <w:r w:rsidRPr="006D59BB">
        <w:rPr>
          <w:rFonts w:ascii="Times New Roman" w:hAnsi="Times New Roman" w:cs="Times New Roman"/>
          <w:sz w:val="24"/>
          <w:szCs w:val="24"/>
        </w:rPr>
        <w:t>zgodnie z art. 112</w:t>
      </w:r>
      <w:r w:rsidR="00B86B15" w:rsidRPr="006D59BB">
        <w:rPr>
          <w:rFonts w:ascii="Times New Roman" w:hAnsi="Times New Roman" w:cs="Times New Roman"/>
          <w:sz w:val="24"/>
          <w:szCs w:val="24"/>
        </w:rPr>
        <w:t>a</w:t>
      </w:r>
      <w:r w:rsidRPr="006D59BB">
        <w:rPr>
          <w:rFonts w:ascii="Times New Roman" w:hAnsi="Times New Roman" w:cs="Times New Roman"/>
          <w:sz w:val="24"/>
          <w:szCs w:val="24"/>
        </w:rPr>
        <w:t xml:space="preserve"> ustawy z dnia </w:t>
      </w:r>
      <w:r w:rsidR="00B86B15" w:rsidRPr="006D59BB">
        <w:rPr>
          <w:rFonts w:ascii="Times New Roman" w:hAnsi="Times New Roman" w:cs="Times New Roman"/>
          <w:sz w:val="24"/>
          <w:szCs w:val="24"/>
        </w:rPr>
        <w:t xml:space="preserve">13 października 1998 r. </w:t>
      </w:r>
      <w:r w:rsidRPr="006D59BB">
        <w:rPr>
          <w:rFonts w:ascii="Times New Roman" w:hAnsi="Times New Roman" w:cs="Times New Roman"/>
          <w:sz w:val="24"/>
          <w:szCs w:val="24"/>
        </w:rPr>
        <w:t xml:space="preserve">o systemie ubezpieczeń społecznych stosuje się </w:t>
      </w:r>
      <w:r w:rsidR="00B86B15" w:rsidRPr="006D59BB">
        <w:rPr>
          <w:rFonts w:ascii="Times New Roman" w:hAnsi="Times New Roman" w:cs="Times New Roman"/>
          <w:sz w:val="24"/>
          <w:szCs w:val="24"/>
        </w:rPr>
        <w:t xml:space="preserve">przepis art. 18c ust. 11 pkt 6 tej ustawy przewidujący, że przepisy o Małym ZUS </w:t>
      </w:r>
      <w:r w:rsidR="00BE2E22" w:rsidRPr="006D59BB">
        <w:rPr>
          <w:rFonts w:ascii="Times New Roman" w:hAnsi="Times New Roman" w:cs="Times New Roman"/>
          <w:sz w:val="24"/>
          <w:szCs w:val="24"/>
        </w:rPr>
        <w:t>Plus</w:t>
      </w:r>
      <w:r w:rsidR="00B86B15" w:rsidRPr="006D59BB">
        <w:rPr>
          <w:rFonts w:ascii="Times New Roman" w:hAnsi="Times New Roman" w:cs="Times New Roman"/>
          <w:sz w:val="24"/>
          <w:szCs w:val="24"/>
        </w:rPr>
        <w:t xml:space="preserve"> nie maj</w:t>
      </w:r>
      <w:r w:rsidR="00BE2E22" w:rsidRPr="006D59BB">
        <w:rPr>
          <w:rFonts w:ascii="Times New Roman" w:hAnsi="Times New Roman" w:cs="Times New Roman"/>
          <w:sz w:val="24"/>
          <w:szCs w:val="24"/>
        </w:rPr>
        <w:t>ą</w:t>
      </w:r>
      <w:r w:rsidR="00B86B15" w:rsidRPr="006D59BB">
        <w:rPr>
          <w:rFonts w:ascii="Times New Roman" w:hAnsi="Times New Roman" w:cs="Times New Roman"/>
          <w:sz w:val="24"/>
          <w:szCs w:val="24"/>
        </w:rPr>
        <w:t xml:space="preserve"> zastosowania do osób, które ustalały podstawę wymiaru składek na ubezpieczenia emerytalne i</w:t>
      </w:r>
      <w:r w:rsidR="004378D7" w:rsidRPr="006D59BB">
        <w:rPr>
          <w:rFonts w:ascii="Times New Roman" w:hAnsi="Times New Roman" w:cs="Times New Roman"/>
          <w:sz w:val="24"/>
          <w:szCs w:val="24"/>
        </w:rPr>
        <w:t> </w:t>
      </w:r>
      <w:r w:rsidR="00B86B15" w:rsidRPr="006D59BB">
        <w:rPr>
          <w:rFonts w:ascii="Times New Roman" w:hAnsi="Times New Roman" w:cs="Times New Roman"/>
          <w:sz w:val="24"/>
          <w:szCs w:val="24"/>
        </w:rPr>
        <w:t>rentowe zgodnie z niniejszym artykułem przez 36 miesięcy kalendarzowych w ciągu ostatnich 60 miesięcy kalendarzowych prowadzenia pozarolniczej działalności gospodarczej.</w:t>
      </w:r>
    </w:p>
    <w:bookmarkEnd w:id="52"/>
    <w:p w14:paraId="19037466" w14:textId="3E11A131" w:rsidR="007C6CFE" w:rsidRPr="006D59BB" w:rsidRDefault="00DE77BE"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 xml:space="preserve">W celu zapewnienia prawidłowego i niezakłóconego przebiegu trwających w dniu wejścia w życie ustawy kontroli, w regulacji przejściowej przewiduje się, że do kontroli działalności gospodarczej wszczętych i niezakończonych przed tym dniem stosuje się przepisy art. 47 ust. </w:t>
      </w:r>
      <w:r w:rsidRPr="006D59BB">
        <w:rPr>
          <w:rFonts w:ascii="Times New Roman" w:hAnsi="Times New Roman" w:cs="Times New Roman"/>
          <w:sz w:val="24"/>
          <w:szCs w:val="24"/>
        </w:rPr>
        <w:lastRenderedPageBreak/>
        <w:t xml:space="preserve">1 i art. 48 ust. 3 oraz art. 59 ustawy z dnia 6 marca 2018 r. </w:t>
      </w:r>
      <w:r w:rsidR="005E7E00" w:rsidRPr="006D59BB">
        <w:rPr>
          <w:rFonts w:ascii="Times New Roman" w:hAnsi="Times New Roman" w:cs="Times New Roman"/>
          <w:sz w:val="24"/>
          <w:szCs w:val="24"/>
        </w:rPr>
        <w:t>‒</w:t>
      </w:r>
      <w:r w:rsidRPr="006D59BB">
        <w:rPr>
          <w:rFonts w:ascii="Times New Roman" w:hAnsi="Times New Roman" w:cs="Times New Roman"/>
          <w:sz w:val="24"/>
          <w:szCs w:val="24"/>
        </w:rPr>
        <w:t xml:space="preserve"> Prawo przedsiębiorców w brzmieniu dotychczasowym.</w:t>
      </w:r>
    </w:p>
    <w:p w14:paraId="5D3094BE" w14:textId="1DC07743" w:rsidR="0092536A" w:rsidRPr="006D59BB" w:rsidRDefault="0092536A"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W przepisach przejściowych przewidziano, że zmiana limitu środków przeznaczanych na koszty realizacji przez A</w:t>
      </w:r>
      <w:r w:rsidR="00C97EE2" w:rsidRPr="006D59BB">
        <w:rPr>
          <w:rFonts w:ascii="Times New Roman" w:hAnsi="Times New Roman" w:cs="Times New Roman"/>
          <w:sz w:val="24"/>
          <w:szCs w:val="24"/>
        </w:rPr>
        <w:t xml:space="preserve">gencję </w:t>
      </w:r>
      <w:r w:rsidRPr="006D59BB">
        <w:rPr>
          <w:rFonts w:ascii="Times New Roman" w:hAnsi="Times New Roman" w:cs="Times New Roman"/>
          <w:sz w:val="24"/>
          <w:szCs w:val="24"/>
        </w:rPr>
        <w:t>R</w:t>
      </w:r>
      <w:r w:rsidR="00C97EE2" w:rsidRPr="006D59BB">
        <w:rPr>
          <w:rFonts w:ascii="Times New Roman" w:hAnsi="Times New Roman" w:cs="Times New Roman"/>
          <w:sz w:val="24"/>
          <w:szCs w:val="24"/>
        </w:rPr>
        <w:t xml:space="preserve">ozwoju </w:t>
      </w:r>
      <w:r w:rsidRPr="006D59BB">
        <w:rPr>
          <w:rFonts w:ascii="Times New Roman" w:hAnsi="Times New Roman" w:cs="Times New Roman"/>
          <w:sz w:val="24"/>
          <w:szCs w:val="24"/>
        </w:rPr>
        <w:t>P</w:t>
      </w:r>
      <w:r w:rsidR="00C97EE2" w:rsidRPr="006D59BB">
        <w:rPr>
          <w:rFonts w:ascii="Times New Roman" w:hAnsi="Times New Roman" w:cs="Times New Roman"/>
          <w:sz w:val="24"/>
          <w:szCs w:val="24"/>
        </w:rPr>
        <w:t xml:space="preserve">rzemysłu SA </w:t>
      </w:r>
      <w:r w:rsidRPr="006D59BB">
        <w:rPr>
          <w:rFonts w:ascii="Times New Roman" w:hAnsi="Times New Roman" w:cs="Times New Roman"/>
          <w:sz w:val="24"/>
          <w:szCs w:val="24"/>
        </w:rPr>
        <w:t>zadania udzielania pomocy publicznej w postaci wsparcia finansowego dla przedsiębiorców niewypłacalnych lub zagrożonych niewypłacalnością, pozwoli zabezpieczyć ciągłość realizacji programu rządowego pn. Polityka Nowej Szansy w roku 2025 oraz w latach kolejnych.</w:t>
      </w:r>
    </w:p>
    <w:p w14:paraId="764519ED" w14:textId="51023824" w:rsidR="001C0D5D" w:rsidRPr="006D59BB" w:rsidRDefault="001C0D5D"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 xml:space="preserve">Program regulacyjny przewidziany w nowelizacji </w:t>
      </w:r>
      <w:proofErr w:type="spellStart"/>
      <w:r w:rsidRPr="006D59BB">
        <w:rPr>
          <w:rFonts w:ascii="Times New Roman" w:hAnsi="Times New Roman" w:cs="Times New Roman"/>
          <w:sz w:val="24"/>
          <w:szCs w:val="24"/>
        </w:rPr>
        <w:t>Pp</w:t>
      </w:r>
      <w:proofErr w:type="spellEnd"/>
      <w:r w:rsidRPr="006D59BB">
        <w:rPr>
          <w:rFonts w:ascii="Times New Roman" w:hAnsi="Times New Roman" w:cs="Times New Roman"/>
          <w:sz w:val="24"/>
          <w:szCs w:val="24"/>
        </w:rPr>
        <w:t xml:space="preserve"> powinien zostać przygotowany do dnia 31 grudnia 2025 r. Jednocześnie przewidziano, że ze względu na zmianę zakresu informacji przekazywanych przez ministrów kierujących działami administracji rządowej na podstawie art. 70 </w:t>
      </w:r>
      <w:proofErr w:type="spellStart"/>
      <w:r w:rsidRPr="006D59BB">
        <w:rPr>
          <w:rFonts w:ascii="Times New Roman" w:hAnsi="Times New Roman" w:cs="Times New Roman"/>
          <w:sz w:val="24"/>
          <w:szCs w:val="24"/>
        </w:rPr>
        <w:t>Pp</w:t>
      </w:r>
      <w:proofErr w:type="spellEnd"/>
      <w:r w:rsidRPr="006D59BB">
        <w:rPr>
          <w:rFonts w:ascii="Times New Roman" w:hAnsi="Times New Roman" w:cs="Times New Roman"/>
          <w:sz w:val="24"/>
          <w:szCs w:val="24"/>
        </w:rPr>
        <w:t xml:space="preserve"> – informację o wynikach przeglądu przeprowadzonego w 2024 r. należy przedłożyć do dnia 31 sierpnia 2025 r.</w:t>
      </w:r>
    </w:p>
    <w:p w14:paraId="4982F0D7" w14:textId="6BC97A3B" w:rsidR="001C0D5D" w:rsidRPr="006D59BB" w:rsidRDefault="001C0D5D"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 xml:space="preserve">Niezbędnym jest wprowadzenie przepisów odnoszących się do postępowań odwoławczych przed KIO będących w toku w dniu wejścia w życie stosownych przepisów ustawy, a także postępowań odwoławczych przed KIO wszczętych po dniu 31 grudnia 2025 r., lecz dotyczących postępowań o udzielenie zamówienia i konkursów zainicjowanych przed dniem 1 stycznia 2026 r. Proponuje się, aby do powyższych postępowań zastosowanie miały przepisy dotychczasowe. W pozostałych przypadkach stosowane będą przepisy w brzmieniu nadanym ustawą. W art. </w:t>
      </w:r>
      <w:r w:rsidR="009D5A57" w:rsidRPr="006D59BB">
        <w:rPr>
          <w:rFonts w:ascii="Times New Roman" w:hAnsi="Times New Roman" w:cs="Times New Roman"/>
          <w:sz w:val="24"/>
          <w:szCs w:val="24"/>
        </w:rPr>
        <w:t>3</w:t>
      </w:r>
      <w:r w:rsidR="006D59BB">
        <w:rPr>
          <w:rFonts w:ascii="Times New Roman" w:hAnsi="Times New Roman" w:cs="Times New Roman"/>
          <w:sz w:val="24"/>
          <w:szCs w:val="24"/>
        </w:rPr>
        <w:t>9</w:t>
      </w:r>
      <w:r w:rsidRPr="006D59BB">
        <w:rPr>
          <w:rFonts w:ascii="Times New Roman" w:hAnsi="Times New Roman" w:cs="Times New Roman"/>
          <w:sz w:val="24"/>
          <w:szCs w:val="24"/>
        </w:rPr>
        <w:t xml:space="preserve"> określono maksymalny limit wydatków budżetu państwa na lata </w:t>
      </w:r>
      <w:bookmarkStart w:id="53" w:name="_Hlk173945232"/>
      <w:r w:rsidRPr="006D59BB">
        <w:rPr>
          <w:rFonts w:ascii="Times New Roman" w:hAnsi="Times New Roman" w:cs="Times New Roman"/>
          <w:sz w:val="24"/>
          <w:szCs w:val="24"/>
        </w:rPr>
        <w:t>2025–2035</w:t>
      </w:r>
      <w:bookmarkEnd w:id="53"/>
      <w:r w:rsidRPr="006D59BB">
        <w:rPr>
          <w:rFonts w:ascii="Times New Roman" w:hAnsi="Times New Roman" w:cs="Times New Roman"/>
          <w:sz w:val="24"/>
          <w:szCs w:val="24"/>
        </w:rPr>
        <w:t xml:space="preserve"> </w:t>
      </w:r>
      <w:bookmarkStart w:id="54" w:name="_Hlk173945371"/>
      <w:r w:rsidRPr="006D59BB">
        <w:rPr>
          <w:rFonts w:ascii="Times New Roman" w:hAnsi="Times New Roman" w:cs="Times New Roman"/>
          <w:sz w:val="24"/>
          <w:szCs w:val="24"/>
        </w:rPr>
        <w:t xml:space="preserve">przeznaczonych na realizację zadań Prezesa </w:t>
      </w:r>
      <w:bookmarkStart w:id="55" w:name="_Hlk173943158"/>
      <w:r w:rsidRPr="006D59BB">
        <w:rPr>
          <w:rFonts w:ascii="Times New Roman" w:hAnsi="Times New Roman" w:cs="Times New Roman"/>
          <w:sz w:val="24"/>
          <w:szCs w:val="24"/>
        </w:rPr>
        <w:t>Urzędu Zamówień Publicznych</w:t>
      </w:r>
      <w:bookmarkEnd w:id="54"/>
      <w:bookmarkEnd w:id="55"/>
      <w:r w:rsidRPr="006D59BB">
        <w:rPr>
          <w:rFonts w:ascii="Times New Roman" w:hAnsi="Times New Roman" w:cs="Times New Roman"/>
          <w:sz w:val="24"/>
          <w:szCs w:val="24"/>
        </w:rPr>
        <w:t xml:space="preserve"> wynikających z działu IX </w:t>
      </w:r>
      <w:proofErr w:type="spellStart"/>
      <w:r w:rsidRPr="006D59BB">
        <w:rPr>
          <w:rFonts w:ascii="Times New Roman" w:hAnsi="Times New Roman" w:cs="Times New Roman"/>
          <w:sz w:val="24"/>
          <w:szCs w:val="24"/>
        </w:rPr>
        <w:t>Pzp</w:t>
      </w:r>
      <w:proofErr w:type="spellEnd"/>
      <w:r w:rsidRPr="006D59BB">
        <w:rPr>
          <w:rFonts w:ascii="Times New Roman" w:hAnsi="Times New Roman" w:cs="Times New Roman"/>
          <w:sz w:val="24"/>
          <w:szCs w:val="24"/>
        </w:rPr>
        <w:t>.</w:t>
      </w:r>
    </w:p>
    <w:p w14:paraId="62F798E2" w14:textId="50FD2C33" w:rsidR="001C0D5D" w:rsidRPr="006D59BB" w:rsidRDefault="001C0D5D"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Planuje się, że większość zaproponowanych zmian wejdzie w życie z dniem 1 maja 2025 r., z</w:t>
      </w:r>
      <w:r w:rsidR="004378D7" w:rsidRPr="006D59BB">
        <w:rPr>
          <w:rFonts w:ascii="Times New Roman" w:hAnsi="Times New Roman" w:cs="Times New Roman"/>
          <w:sz w:val="24"/>
          <w:szCs w:val="24"/>
        </w:rPr>
        <w:t xml:space="preserve"> </w:t>
      </w:r>
      <w:r w:rsidRPr="006D59BB">
        <w:rPr>
          <w:rFonts w:ascii="Times New Roman" w:hAnsi="Times New Roman" w:cs="Times New Roman"/>
          <w:sz w:val="24"/>
          <w:szCs w:val="24"/>
        </w:rPr>
        <w:t xml:space="preserve">wyjątkiem przepisów odnoszących się do postępowań odwoławczych przed KIO (zgodnie z </w:t>
      </w:r>
      <w:proofErr w:type="spellStart"/>
      <w:r w:rsidRPr="006D59BB">
        <w:rPr>
          <w:rFonts w:ascii="Times New Roman" w:hAnsi="Times New Roman" w:cs="Times New Roman"/>
          <w:sz w:val="24"/>
          <w:szCs w:val="24"/>
        </w:rPr>
        <w:t>Pzp</w:t>
      </w:r>
      <w:proofErr w:type="spellEnd"/>
      <w:r w:rsidRPr="006D59BB">
        <w:rPr>
          <w:rFonts w:ascii="Times New Roman" w:hAnsi="Times New Roman" w:cs="Times New Roman"/>
          <w:sz w:val="24"/>
          <w:szCs w:val="24"/>
        </w:rPr>
        <w:t>), które wejdą w</w:t>
      </w:r>
      <w:r w:rsidR="005D5D55" w:rsidRPr="006D59BB">
        <w:rPr>
          <w:rFonts w:ascii="Times New Roman" w:hAnsi="Times New Roman" w:cs="Times New Roman"/>
          <w:sz w:val="24"/>
          <w:szCs w:val="24"/>
        </w:rPr>
        <w:t> </w:t>
      </w:r>
      <w:r w:rsidRPr="006D59BB">
        <w:rPr>
          <w:rFonts w:ascii="Times New Roman" w:hAnsi="Times New Roman" w:cs="Times New Roman"/>
          <w:sz w:val="24"/>
          <w:szCs w:val="24"/>
        </w:rPr>
        <w:t>życie z dniem 1 stycznia 2026 r.</w:t>
      </w:r>
    </w:p>
    <w:p w14:paraId="4FB11075" w14:textId="72FAE457" w:rsidR="001C0D5D" w:rsidRPr="006D59BB" w:rsidRDefault="001C0D5D" w:rsidP="006D59BB">
      <w:pPr>
        <w:pStyle w:val="Nagwek1"/>
        <w:tabs>
          <w:tab w:val="left" w:pos="426"/>
        </w:tabs>
        <w:spacing w:before="120" w:after="0" w:line="360" w:lineRule="auto"/>
        <w:jc w:val="both"/>
        <w:rPr>
          <w:rFonts w:ascii="Times New Roman" w:hAnsi="Times New Roman" w:cs="Times New Roman"/>
          <w:b/>
          <w:bCs/>
          <w:color w:val="auto"/>
          <w:sz w:val="24"/>
          <w:szCs w:val="24"/>
        </w:rPr>
      </w:pPr>
      <w:bookmarkStart w:id="56" w:name="_Toc192358935"/>
      <w:bookmarkStart w:id="57" w:name="_Toc184641306"/>
      <w:r w:rsidRPr="006D59BB">
        <w:rPr>
          <w:rFonts w:ascii="Times New Roman" w:hAnsi="Times New Roman" w:cs="Times New Roman"/>
          <w:b/>
          <w:bCs/>
          <w:color w:val="auto"/>
          <w:sz w:val="24"/>
          <w:szCs w:val="24"/>
        </w:rPr>
        <w:t>4.</w:t>
      </w:r>
      <w:r w:rsidR="005F1222">
        <w:rPr>
          <w:rFonts w:ascii="Times New Roman" w:hAnsi="Times New Roman" w:cs="Times New Roman"/>
          <w:b/>
          <w:bCs/>
          <w:color w:val="auto"/>
          <w:sz w:val="24"/>
          <w:szCs w:val="24"/>
        </w:rPr>
        <w:tab/>
      </w:r>
      <w:r w:rsidRPr="006D59BB">
        <w:rPr>
          <w:rFonts w:ascii="Times New Roman" w:hAnsi="Times New Roman" w:cs="Times New Roman"/>
          <w:b/>
          <w:bCs/>
          <w:color w:val="auto"/>
          <w:sz w:val="24"/>
          <w:szCs w:val="24"/>
        </w:rPr>
        <w:t xml:space="preserve">Ocena przewidywanego wpływu projektu ustawy na działalność </w:t>
      </w:r>
      <w:proofErr w:type="spellStart"/>
      <w:r w:rsidRPr="006D59BB">
        <w:rPr>
          <w:rFonts w:ascii="Times New Roman" w:hAnsi="Times New Roman" w:cs="Times New Roman"/>
          <w:b/>
          <w:bCs/>
          <w:color w:val="auto"/>
          <w:sz w:val="24"/>
          <w:szCs w:val="24"/>
        </w:rPr>
        <w:t>mikroprzedsiębiorców</w:t>
      </w:r>
      <w:proofErr w:type="spellEnd"/>
      <w:r w:rsidRPr="006D59BB">
        <w:rPr>
          <w:rFonts w:ascii="Times New Roman" w:hAnsi="Times New Roman" w:cs="Times New Roman"/>
          <w:b/>
          <w:bCs/>
          <w:color w:val="auto"/>
          <w:sz w:val="24"/>
          <w:szCs w:val="24"/>
        </w:rPr>
        <w:t xml:space="preserve"> oraz małych i średnich przedsiębiorców</w:t>
      </w:r>
      <w:bookmarkEnd w:id="56"/>
    </w:p>
    <w:p w14:paraId="56D14A18" w14:textId="77777777" w:rsidR="001C0D5D" w:rsidRPr="006D59BB" w:rsidRDefault="001C0D5D" w:rsidP="006D59BB">
      <w:pPr>
        <w:spacing w:before="120" w:after="0" w:line="360" w:lineRule="auto"/>
        <w:jc w:val="both"/>
        <w:rPr>
          <w:rFonts w:ascii="Times New Roman" w:hAnsi="Times New Roman" w:cs="Times New Roman"/>
          <w:sz w:val="24"/>
          <w:szCs w:val="24"/>
        </w:rPr>
      </w:pPr>
      <w:r w:rsidRPr="006D59BB">
        <w:rPr>
          <w:rFonts w:ascii="Times New Roman" w:hAnsi="Times New Roman" w:cs="Times New Roman"/>
          <w:sz w:val="24"/>
          <w:szCs w:val="24"/>
        </w:rPr>
        <w:t xml:space="preserve">Wejście w życie projektowanych przepisów wpłynie korzystnie na rozwój przedsiębiorczości. Na skutek wejścia w życie przepisów dojdzie do zmniejszenia obowiązków administracyjnych, w tym usprawnienia procedur administracyjnych dla przedsiębiorców. Zmiany doprowadzą do zmniejszenia uciążliwości kontroli. Zostanie skrócony maksymalny czas kontroli </w:t>
      </w:r>
      <w:proofErr w:type="spellStart"/>
      <w:r w:rsidRPr="006D59BB">
        <w:rPr>
          <w:rFonts w:ascii="Times New Roman" w:hAnsi="Times New Roman" w:cs="Times New Roman"/>
          <w:sz w:val="24"/>
          <w:szCs w:val="24"/>
        </w:rPr>
        <w:t>mikroprzedsiębiorców</w:t>
      </w:r>
      <w:proofErr w:type="spellEnd"/>
      <w:r w:rsidRPr="006D59BB">
        <w:rPr>
          <w:rFonts w:ascii="Times New Roman" w:hAnsi="Times New Roman" w:cs="Times New Roman"/>
          <w:sz w:val="24"/>
          <w:szCs w:val="24"/>
        </w:rPr>
        <w:t xml:space="preserve">. Wyeliminowanie różnych wątpliwości interpretacyjnych powinno zwiększyć pewność prawną prowadzenia działalności gospodarczej. Ponadto, zmiany </w:t>
      </w:r>
      <w:r w:rsidRPr="006D59BB">
        <w:rPr>
          <w:rFonts w:ascii="Times New Roman" w:hAnsi="Times New Roman" w:cs="Times New Roman"/>
          <w:sz w:val="24"/>
          <w:szCs w:val="24"/>
        </w:rPr>
        <w:lastRenderedPageBreak/>
        <w:t>przyczynią się do usprawnienia współpracy i poprawy relacji między przedsiębiorcami a urzędami oraz szybszego i sprawniejszego uzyskania rozstrzygnięcia sprawy administracyjnej.</w:t>
      </w:r>
    </w:p>
    <w:p w14:paraId="361462A5" w14:textId="1E16DD10" w:rsidR="001C0D5D" w:rsidRPr="006D59BB" w:rsidRDefault="001C0D5D" w:rsidP="006D59BB">
      <w:pPr>
        <w:pStyle w:val="Nagwek1"/>
        <w:tabs>
          <w:tab w:val="left" w:pos="426"/>
        </w:tabs>
        <w:spacing w:before="120" w:after="0" w:line="360" w:lineRule="auto"/>
        <w:jc w:val="both"/>
        <w:rPr>
          <w:rFonts w:ascii="Times New Roman" w:hAnsi="Times New Roman" w:cs="Times New Roman"/>
          <w:b/>
          <w:bCs/>
          <w:color w:val="auto"/>
          <w:sz w:val="24"/>
          <w:szCs w:val="24"/>
        </w:rPr>
      </w:pPr>
      <w:bookmarkStart w:id="58" w:name="_Toc192358936"/>
      <w:r w:rsidRPr="006D59BB">
        <w:rPr>
          <w:rFonts w:ascii="Times New Roman" w:hAnsi="Times New Roman" w:cs="Times New Roman"/>
          <w:b/>
          <w:bCs/>
          <w:color w:val="auto"/>
          <w:sz w:val="24"/>
          <w:szCs w:val="24"/>
        </w:rPr>
        <w:t>5.</w:t>
      </w:r>
      <w:r w:rsidR="005F1222">
        <w:rPr>
          <w:rFonts w:ascii="Times New Roman" w:hAnsi="Times New Roman" w:cs="Times New Roman"/>
          <w:b/>
          <w:bCs/>
          <w:color w:val="auto"/>
          <w:sz w:val="24"/>
          <w:szCs w:val="24"/>
        </w:rPr>
        <w:tab/>
      </w:r>
      <w:r w:rsidRPr="006D59BB">
        <w:rPr>
          <w:rFonts w:ascii="Times New Roman" w:hAnsi="Times New Roman" w:cs="Times New Roman"/>
          <w:b/>
          <w:bCs/>
          <w:color w:val="auto"/>
          <w:sz w:val="24"/>
          <w:szCs w:val="24"/>
        </w:rPr>
        <w:t>Pozostałe kwestie</w:t>
      </w:r>
      <w:bookmarkEnd w:id="57"/>
      <w:bookmarkEnd w:id="58"/>
    </w:p>
    <w:p w14:paraId="47192B4F" w14:textId="27ABBB02" w:rsidR="001C0D5D" w:rsidRPr="006D59BB" w:rsidRDefault="001C0D5D" w:rsidP="006D59BB">
      <w:pPr>
        <w:pStyle w:val="ARTartustawynprozporzdzenia"/>
        <w:ind w:firstLine="0"/>
        <w:rPr>
          <w:rFonts w:ascii="Times New Roman" w:hAnsi="Times New Roman" w:cs="Times New Roman"/>
          <w:szCs w:val="24"/>
        </w:rPr>
      </w:pPr>
      <w:r w:rsidRPr="006D59BB">
        <w:rPr>
          <w:rFonts w:ascii="Times New Roman" w:hAnsi="Times New Roman" w:cs="Times New Roman"/>
          <w:szCs w:val="24"/>
        </w:rPr>
        <w:t xml:space="preserve">Mając na względzie art. 66 ust. 1 pkt 1 </w:t>
      </w:r>
      <w:proofErr w:type="spellStart"/>
      <w:r w:rsidRPr="006D59BB">
        <w:rPr>
          <w:rFonts w:ascii="Times New Roman" w:hAnsi="Times New Roman" w:cs="Times New Roman"/>
          <w:szCs w:val="24"/>
        </w:rPr>
        <w:t>Pp</w:t>
      </w:r>
      <w:proofErr w:type="spellEnd"/>
      <w:r w:rsidRPr="006D59BB">
        <w:rPr>
          <w:rFonts w:ascii="Times New Roman" w:hAnsi="Times New Roman" w:cs="Times New Roman"/>
          <w:szCs w:val="24"/>
        </w:rPr>
        <w:t>, po przeprowadzeniu analiz ustalono, że osiągnięcie zakładanych celów (zmniejszenie obciążeń regulacyjnych spoczywających na polskich przedsiębiorcach) jest w odniesieniu do proponowanych rozwiązań możliwe jedynie przez interwencję o charakterze legislacyjnym.</w:t>
      </w:r>
    </w:p>
    <w:p w14:paraId="2B9F4799" w14:textId="77B97CDE" w:rsidR="001C0D5D" w:rsidRPr="006D59BB" w:rsidRDefault="001C0D5D" w:rsidP="006D59BB">
      <w:pPr>
        <w:pStyle w:val="ARTartustawynprozporzdzenia"/>
        <w:ind w:firstLine="0"/>
        <w:rPr>
          <w:rFonts w:ascii="Times New Roman" w:hAnsi="Times New Roman" w:cs="Times New Roman"/>
          <w:szCs w:val="24"/>
        </w:rPr>
      </w:pPr>
      <w:r w:rsidRPr="006D59BB">
        <w:rPr>
          <w:rFonts w:ascii="Times New Roman" w:hAnsi="Times New Roman" w:cs="Times New Roman"/>
          <w:szCs w:val="24"/>
        </w:rPr>
        <w:t>Projekt ustawy nie zawiera przepisów technicznych, w rozumieniu rozporządzenia Rady Ministrów z dnia 23 grudnia 2002 r. w sprawie sposobu funkcjonowania krajowego systemu notyfikacji norm i aktów prawnych (Dz. U. poz. 2039 oraz z 2004 r. poz. 597), w</w:t>
      </w:r>
      <w:r w:rsidR="004378D7" w:rsidRPr="006D59BB">
        <w:rPr>
          <w:rFonts w:ascii="Times New Roman" w:hAnsi="Times New Roman" w:cs="Times New Roman"/>
          <w:szCs w:val="24"/>
        </w:rPr>
        <w:t xml:space="preserve"> </w:t>
      </w:r>
      <w:r w:rsidRPr="006D59BB">
        <w:rPr>
          <w:rFonts w:ascii="Times New Roman" w:hAnsi="Times New Roman" w:cs="Times New Roman"/>
          <w:szCs w:val="24"/>
        </w:rPr>
        <w:t>związku z</w:t>
      </w:r>
      <w:r w:rsidR="004378D7" w:rsidRPr="006D59BB">
        <w:rPr>
          <w:rFonts w:ascii="Times New Roman" w:hAnsi="Times New Roman" w:cs="Times New Roman"/>
          <w:szCs w:val="24"/>
        </w:rPr>
        <w:t xml:space="preserve"> </w:t>
      </w:r>
      <w:r w:rsidRPr="006D59BB">
        <w:rPr>
          <w:rFonts w:ascii="Times New Roman" w:hAnsi="Times New Roman" w:cs="Times New Roman"/>
          <w:szCs w:val="24"/>
        </w:rPr>
        <w:t>tym nie podlega notyfikacji.</w:t>
      </w:r>
    </w:p>
    <w:p w14:paraId="188A8084" w14:textId="14B6A7EF" w:rsidR="001C0D5D" w:rsidRPr="006D59BB" w:rsidRDefault="001C0D5D" w:rsidP="006D59BB">
      <w:pPr>
        <w:pStyle w:val="ARTartustawynprozporzdzenia"/>
        <w:ind w:firstLine="0"/>
        <w:rPr>
          <w:rFonts w:ascii="Times New Roman" w:hAnsi="Times New Roman" w:cs="Times New Roman"/>
          <w:szCs w:val="24"/>
        </w:rPr>
      </w:pPr>
      <w:r w:rsidRPr="006D59BB">
        <w:rPr>
          <w:rFonts w:ascii="Times New Roman" w:hAnsi="Times New Roman" w:cs="Times New Roman"/>
          <w:szCs w:val="24"/>
        </w:rPr>
        <w:t>Projekt ustawy nie zawiera wymogów nakładanych na usługodawców podlegających notyfikacji, o której mowa w art. 15 ust. 7 lub art. 39 ust. 5 dyrektywy 2006/123/WE Parlamentu Europejskiego i Rady z dnia 12 grudnia 2006 r. dotyczącej usług na rynku wewnętrznych (Dz. Urz. UE L 376 z 27.12.2006</w:t>
      </w:r>
      <w:r w:rsidR="00FC3845" w:rsidRPr="006D59BB">
        <w:rPr>
          <w:rFonts w:ascii="Times New Roman" w:hAnsi="Times New Roman" w:cs="Times New Roman"/>
          <w:szCs w:val="24"/>
        </w:rPr>
        <w:t>,</w:t>
      </w:r>
      <w:r w:rsidRPr="006D59BB">
        <w:rPr>
          <w:rFonts w:ascii="Times New Roman" w:hAnsi="Times New Roman" w:cs="Times New Roman"/>
          <w:szCs w:val="24"/>
        </w:rPr>
        <w:t xml:space="preserve"> str. 36).</w:t>
      </w:r>
    </w:p>
    <w:p w14:paraId="147109D1" w14:textId="545D5845" w:rsidR="001C0D5D" w:rsidRPr="006D59BB" w:rsidRDefault="001C0D5D" w:rsidP="006D59BB">
      <w:pPr>
        <w:pStyle w:val="ARTartustawynprozporzdzenia"/>
        <w:ind w:firstLine="0"/>
        <w:rPr>
          <w:rFonts w:ascii="Times New Roman" w:hAnsi="Times New Roman" w:cs="Times New Roman"/>
          <w:szCs w:val="24"/>
        </w:rPr>
      </w:pPr>
      <w:r w:rsidRPr="006D59BB">
        <w:rPr>
          <w:rFonts w:ascii="Times New Roman" w:hAnsi="Times New Roman" w:cs="Times New Roman"/>
          <w:szCs w:val="24"/>
        </w:rPr>
        <w:t>Projekt ustawy nie wymaga uzyskania opinii, dokonania powiadomienia, konsultacji albo uzgodnienia z właściwymi organami i instytucjami Unii Europejskiej, w tym z</w:t>
      </w:r>
      <w:r w:rsidR="004378D7" w:rsidRPr="006D59BB">
        <w:rPr>
          <w:rFonts w:ascii="Times New Roman" w:hAnsi="Times New Roman" w:cs="Times New Roman"/>
          <w:szCs w:val="24"/>
        </w:rPr>
        <w:t xml:space="preserve"> </w:t>
      </w:r>
      <w:r w:rsidRPr="006D59BB">
        <w:rPr>
          <w:rFonts w:ascii="Times New Roman" w:hAnsi="Times New Roman" w:cs="Times New Roman"/>
          <w:szCs w:val="24"/>
        </w:rPr>
        <w:t>Europejskim Bankiem Centralnym, o czym mowa w § 39 uchwały nr 190 Rady Ministrów z dnia 29 października 2013 r. – Regulamin pracy Rady Ministrów (M.P. z 2024 r. poz. 806).</w:t>
      </w:r>
    </w:p>
    <w:p w14:paraId="4F9263CD" w14:textId="5B1A92FF" w:rsidR="001C0D5D" w:rsidRPr="006D59BB" w:rsidRDefault="001C0D5D" w:rsidP="006D59BB">
      <w:pPr>
        <w:pStyle w:val="ARTartustawynprozporzdzenia"/>
        <w:ind w:firstLine="0"/>
        <w:rPr>
          <w:rFonts w:ascii="Times New Roman" w:hAnsi="Times New Roman" w:cs="Times New Roman"/>
          <w:szCs w:val="24"/>
        </w:rPr>
      </w:pPr>
      <w:r w:rsidRPr="006D59BB">
        <w:rPr>
          <w:rFonts w:ascii="Times New Roman" w:hAnsi="Times New Roman" w:cs="Times New Roman"/>
          <w:szCs w:val="24"/>
        </w:rPr>
        <w:t>Projektowana regulacja jest zgodna z prawem Unii Europejskiej</w:t>
      </w:r>
      <w:r w:rsidR="004378D7" w:rsidRPr="006D59BB">
        <w:rPr>
          <w:rFonts w:ascii="Times New Roman" w:hAnsi="Times New Roman" w:cs="Times New Roman"/>
          <w:szCs w:val="24"/>
        </w:rPr>
        <w:t>.</w:t>
      </w:r>
    </w:p>
    <w:p w14:paraId="3E0B9740" w14:textId="58259D32" w:rsidR="001C0D5D" w:rsidRPr="006D59BB" w:rsidRDefault="001C0D5D" w:rsidP="006D59BB">
      <w:pPr>
        <w:pStyle w:val="ARTartustawynprozporzdzenia"/>
        <w:ind w:firstLine="0"/>
        <w:rPr>
          <w:rFonts w:ascii="Times New Roman" w:hAnsi="Times New Roman" w:cs="Times New Roman"/>
          <w:szCs w:val="24"/>
        </w:rPr>
      </w:pPr>
      <w:r w:rsidRPr="006D59BB">
        <w:rPr>
          <w:rFonts w:ascii="Times New Roman" w:hAnsi="Times New Roman" w:cs="Times New Roman"/>
          <w:szCs w:val="24"/>
        </w:rPr>
        <w:t>Stosownie do art. 5 ustawy z dnia 7 lipca 2005 r. o działalności lobbingowej w procesie stanowienia prawa (Dz. U. z 2017 r. poz. 248 oraz z 2024 r. poz. 1535) w związku z § 52 ust. 1 uchwały nr 190 Rady Ministrów z dnia 29 października 2013 r. – Regulamin pracy Rady Ministrów projekt ustawy został udostępniony w</w:t>
      </w:r>
      <w:r w:rsidR="004378D7" w:rsidRPr="006D59BB">
        <w:rPr>
          <w:rFonts w:ascii="Times New Roman" w:hAnsi="Times New Roman" w:cs="Times New Roman"/>
          <w:szCs w:val="24"/>
        </w:rPr>
        <w:t xml:space="preserve"> </w:t>
      </w:r>
      <w:r w:rsidRPr="006D59BB">
        <w:rPr>
          <w:rFonts w:ascii="Times New Roman" w:hAnsi="Times New Roman" w:cs="Times New Roman"/>
          <w:szCs w:val="24"/>
        </w:rPr>
        <w:t>Biuletynie Informacji Publicznej na stronie podmiotowej Rządowego Centrum Legislacji, w</w:t>
      </w:r>
      <w:r w:rsidR="004378D7" w:rsidRPr="006D59BB">
        <w:rPr>
          <w:rFonts w:ascii="Times New Roman" w:hAnsi="Times New Roman" w:cs="Times New Roman"/>
          <w:szCs w:val="24"/>
        </w:rPr>
        <w:t xml:space="preserve"> </w:t>
      </w:r>
      <w:r w:rsidRPr="006D59BB">
        <w:rPr>
          <w:rFonts w:ascii="Times New Roman" w:hAnsi="Times New Roman" w:cs="Times New Roman"/>
          <w:szCs w:val="24"/>
        </w:rPr>
        <w:t>serwisie Rządowy Proces Legislacyjny.</w:t>
      </w:r>
    </w:p>
    <w:p w14:paraId="3F1589B6" w14:textId="743784FA" w:rsidR="001C0D5D" w:rsidRPr="006D59BB" w:rsidRDefault="001C0D5D" w:rsidP="006D59BB">
      <w:pPr>
        <w:pStyle w:val="ARTartustawynprozporzdzenia"/>
        <w:ind w:firstLine="0"/>
        <w:rPr>
          <w:rFonts w:ascii="Times New Roman" w:hAnsi="Times New Roman" w:cs="Times New Roman"/>
          <w:szCs w:val="24"/>
        </w:rPr>
      </w:pPr>
      <w:r w:rsidRPr="006D59BB">
        <w:rPr>
          <w:rFonts w:ascii="Times New Roman" w:hAnsi="Times New Roman" w:cs="Times New Roman"/>
          <w:szCs w:val="24"/>
        </w:rPr>
        <w:t>Projekt został wpisany do wykazu prac legislacyjnych i programowych Rady Ministrów (UA8).</w:t>
      </w:r>
    </w:p>
    <w:sectPr w:rsidR="001C0D5D" w:rsidRPr="006D59BB" w:rsidSect="00A70DA6">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05F87" w14:textId="77777777" w:rsidR="00D22488" w:rsidRDefault="00D22488" w:rsidP="00B20442">
      <w:pPr>
        <w:spacing w:after="0" w:line="240" w:lineRule="auto"/>
      </w:pPr>
      <w:r>
        <w:separator/>
      </w:r>
    </w:p>
  </w:endnote>
  <w:endnote w:type="continuationSeparator" w:id="0">
    <w:p w14:paraId="7D797920" w14:textId="77777777" w:rsidR="00D22488" w:rsidRDefault="00D22488" w:rsidP="00B20442">
      <w:pPr>
        <w:spacing w:after="0" w:line="240" w:lineRule="auto"/>
      </w:pPr>
      <w:r>
        <w:continuationSeparator/>
      </w:r>
    </w:p>
  </w:endnote>
  <w:endnote w:type="continuationNotice" w:id="1">
    <w:p w14:paraId="0DF8FCA9" w14:textId="77777777" w:rsidR="00D22488" w:rsidRDefault="00D224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altName w:val="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1461335"/>
      <w:docPartObj>
        <w:docPartGallery w:val="Page Numbers (Bottom of Page)"/>
        <w:docPartUnique/>
      </w:docPartObj>
    </w:sdtPr>
    <w:sdtEndPr>
      <w:rPr>
        <w:rFonts w:ascii="Times New Roman" w:hAnsi="Times New Roman" w:cs="Times New Roman"/>
        <w:sz w:val="24"/>
        <w:szCs w:val="24"/>
      </w:rPr>
    </w:sdtEndPr>
    <w:sdtContent>
      <w:p w14:paraId="40761241" w14:textId="5172BCA7" w:rsidR="000E6D8F" w:rsidRPr="00A70DA6" w:rsidRDefault="000E6D8F" w:rsidP="00A70DA6">
        <w:pPr>
          <w:pStyle w:val="Stopka"/>
          <w:jc w:val="center"/>
          <w:rPr>
            <w:rFonts w:ascii="Times New Roman" w:hAnsi="Times New Roman" w:cs="Times New Roman"/>
            <w:sz w:val="24"/>
            <w:szCs w:val="24"/>
          </w:rPr>
        </w:pPr>
        <w:r w:rsidRPr="00A70DA6">
          <w:rPr>
            <w:rFonts w:ascii="Times New Roman" w:hAnsi="Times New Roman" w:cs="Times New Roman"/>
            <w:sz w:val="24"/>
            <w:szCs w:val="24"/>
          </w:rPr>
          <w:fldChar w:fldCharType="begin"/>
        </w:r>
        <w:r w:rsidRPr="00A70DA6">
          <w:rPr>
            <w:rFonts w:ascii="Times New Roman" w:hAnsi="Times New Roman" w:cs="Times New Roman"/>
            <w:sz w:val="24"/>
            <w:szCs w:val="24"/>
          </w:rPr>
          <w:instrText>PAGE   \* MERGEFORMAT</w:instrText>
        </w:r>
        <w:r w:rsidRPr="00A70DA6">
          <w:rPr>
            <w:rFonts w:ascii="Times New Roman" w:hAnsi="Times New Roman" w:cs="Times New Roman"/>
            <w:sz w:val="24"/>
            <w:szCs w:val="24"/>
          </w:rPr>
          <w:fldChar w:fldCharType="separate"/>
        </w:r>
        <w:r w:rsidRPr="00A70DA6">
          <w:rPr>
            <w:rFonts w:ascii="Times New Roman" w:hAnsi="Times New Roman" w:cs="Times New Roman"/>
            <w:sz w:val="24"/>
            <w:szCs w:val="24"/>
          </w:rPr>
          <w:t>2</w:t>
        </w:r>
        <w:r w:rsidRPr="00A70DA6">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A7F95" w14:textId="77777777" w:rsidR="00D22488" w:rsidRDefault="00D22488" w:rsidP="00B20442">
      <w:pPr>
        <w:spacing w:after="0" w:line="240" w:lineRule="auto"/>
      </w:pPr>
      <w:r>
        <w:separator/>
      </w:r>
    </w:p>
  </w:footnote>
  <w:footnote w:type="continuationSeparator" w:id="0">
    <w:p w14:paraId="6203C74F" w14:textId="77777777" w:rsidR="00D22488" w:rsidRDefault="00D22488" w:rsidP="00B20442">
      <w:pPr>
        <w:spacing w:after="0" w:line="240" w:lineRule="auto"/>
      </w:pPr>
      <w:r>
        <w:continuationSeparator/>
      </w:r>
    </w:p>
  </w:footnote>
  <w:footnote w:type="continuationNotice" w:id="1">
    <w:p w14:paraId="5A1AD541" w14:textId="77777777" w:rsidR="00D22488" w:rsidRDefault="00D22488">
      <w:pPr>
        <w:spacing w:after="0" w:line="240" w:lineRule="auto"/>
      </w:pPr>
    </w:p>
  </w:footnote>
  <w:footnote w:id="2">
    <w:p w14:paraId="372AD4E9" w14:textId="6CA4983B" w:rsidR="000E6D8F" w:rsidRPr="0026652C" w:rsidRDefault="000E6D8F" w:rsidP="00A70DA6">
      <w:pPr>
        <w:pStyle w:val="Tekstprzypisudolnego"/>
        <w:ind w:left="284" w:hanging="284"/>
        <w:rPr>
          <w:rFonts w:ascii="Times New Roman" w:hAnsi="Times New Roman" w:cs="Times New Roman"/>
        </w:rPr>
      </w:pPr>
      <w:r w:rsidRPr="0026652C">
        <w:rPr>
          <w:rStyle w:val="Odwoanieprzypisudolnego"/>
          <w:rFonts w:ascii="Times New Roman" w:hAnsi="Times New Roman" w:cs="Times New Roman"/>
        </w:rPr>
        <w:footnoteRef/>
      </w:r>
      <w:r w:rsidRPr="006D59BB">
        <w:rPr>
          <w:rFonts w:ascii="Times New Roman" w:hAnsi="Times New Roman" w:cs="Times New Roman"/>
          <w:vertAlign w:val="superscript"/>
        </w:rPr>
        <w:t>)</w:t>
      </w:r>
      <w:r>
        <w:rPr>
          <w:rFonts w:ascii="Times New Roman" w:hAnsi="Times New Roman" w:cs="Times New Roman"/>
        </w:rPr>
        <w:tab/>
      </w:r>
      <w:r w:rsidRPr="0026652C">
        <w:rPr>
          <w:rFonts w:ascii="Times New Roman" w:hAnsi="Times New Roman" w:cs="Times New Roman"/>
        </w:rPr>
        <w:t>https://legislacja.gov.pl/projekt/12362152</w:t>
      </w:r>
    </w:p>
  </w:footnote>
  <w:footnote w:id="3">
    <w:p w14:paraId="0F385648" w14:textId="0E00EBDE" w:rsidR="000E6D8F" w:rsidRPr="0026652C" w:rsidRDefault="000E6D8F" w:rsidP="00A70DA6">
      <w:pPr>
        <w:pStyle w:val="Default"/>
        <w:ind w:left="284" w:hanging="284"/>
        <w:rPr>
          <w:rFonts w:ascii="Times New Roman" w:eastAsiaTheme="minorEastAsia" w:hAnsi="Times New Roman" w:cs="Times New Roman"/>
          <w:bCs/>
          <w:color w:val="auto"/>
          <w:sz w:val="20"/>
          <w:szCs w:val="20"/>
          <w:lang w:eastAsia="pl-PL"/>
          <w14:ligatures w14:val="none"/>
        </w:rPr>
      </w:pPr>
      <w:r w:rsidRPr="0026652C">
        <w:rPr>
          <w:rStyle w:val="Odwoanieprzypisudolnego"/>
          <w:rFonts w:ascii="Times New Roman" w:hAnsi="Times New Roman" w:cs="Times New Roman"/>
          <w:sz w:val="20"/>
          <w:szCs w:val="20"/>
        </w:rPr>
        <w:footnoteRef/>
      </w:r>
      <w:r w:rsidRPr="006D59BB">
        <w:rPr>
          <w:rFonts w:ascii="Times New Roman" w:hAnsi="Times New Roman" w:cs="Times New Roman"/>
          <w:sz w:val="20"/>
          <w:szCs w:val="20"/>
          <w:vertAlign w:val="superscript"/>
        </w:rPr>
        <w:t>)</w:t>
      </w:r>
      <w:r>
        <w:rPr>
          <w:rFonts w:ascii="Times New Roman" w:hAnsi="Times New Roman" w:cs="Times New Roman"/>
          <w:sz w:val="20"/>
          <w:szCs w:val="20"/>
        </w:rPr>
        <w:tab/>
      </w:r>
      <w:r w:rsidRPr="0026652C">
        <w:rPr>
          <w:rFonts w:ascii="Times New Roman" w:eastAsiaTheme="minorEastAsia" w:hAnsi="Times New Roman" w:cs="Times New Roman"/>
          <w:bCs/>
          <w:color w:val="auto"/>
          <w:sz w:val="20"/>
          <w:szCs w:val="20"/>
          <w:lang w:eastAsia="pl-PL"/>
          <w14:ligatures w14:val="none"/>
        </w:rPr>
        <w:t>Zob. wyrok SN z dnia 27 listopada 2019 r.,</w:t>
      </w:r>
      <w:r w:rsidRPr="0026652C">
        <w:rPr>
          <w:rFonts w:ascii="Times New Roman" w:eastAsiaTheme="minorEastAsia" w:hAnsi="Times New Roman" w:cs="Times New Roman"/>
          <w:bCs/>
          <w:sz w:val="20"/>
          <w:szCs w:val="20"/>
          <w:lang w:eastAsia="pl-PL"/>
          <w14:ligatures w14:val="none"/>
        </w:rPr>
        <w:t xml:space="preserve"> I NSK 95/18.</w:t>
      </w:r>
    </w:p>
  </w:footnote>
  <w:footnote w:id="4">
    <w:p w14:paraId="7F52B3D6" w14:textId="2282301F" w:rsidR="000E6D8F" w:rsidRPr="0026652C" w:rsidRDefault="000E6D8F" w:rsidP="00A70DA6">
      <w:pPr>
        <w:pStyle w:val="Tekstprzypisudolnego"/>
        <w:ind w:left="284" w:hanging="284"/>
        <w:jc w:val="both"/>
        <w:rPr>
          <w:rFonts w:ascii="Times New Roman" w:hAnsi="Times New Roman" w:cs="Times New Roman"/>
        </w:rPr>
      </w:pPr>
      <w:r w:rsidRPr="0026652C">
        <w:rPr>
          <w:rFonts w:ascii="Times New Roman" w:hAnsi="Times New Roman" w:cs="Times New Roman"/>
          <w:vertAlign w:val="superscript"/>
        </w:rPr>
        <w:footnoteRef/>
      </w:r>
      <w:r>
        <w:rPr>
          <w:rFonts w:ascii="Times New Roman" w:hAnsi="Times New Roman" w:cs="Times New Roman"/>
          <w:vertAlign w:val="superscript"/>
        </w:rPr>
        <w:t>)</w:t>
      </w:r>
      <w:r>
        <w:rPr>
          <w:rFonts w:ascii="Times New Roman" w:hAnsi="Times New Roman" w:cs="Times New Roman"/>
          <w:vertAlign w:val="superscript"/>
        </w:rPr>
        <w:tab/>
      </w:r>
      <w:r w:rsidRPr="0026652C">
        <w:rPr>
          <w:rFonts w:ascii="Times New Roman" w:hAnsi="Times New Roman" w:cs="Times New Roman"/>
        </w:rPr>
        <w:t xml:space="preserve">Por. J. Jagielski, J. Piecha, </w:t>
      </w:r>
      <w:r w:rsidRPr="0026652C">
        <w:rPr>
          <w:rFonts w:ascii="Times New Roman" w:hAnsi="Times New Roman" w:cs="Times New Roman"/>
          <w:i/>
          <w:iCs/>
        </w:rPr>
        <w:t xml:space="preserve">Podstawowe pojęcia teoretyczne w nauce prawa administracyjnego, </w:t>
      </w:r>
      <w:r w:rsidRPr="0026652C">
        <w:rPr>
          <w:rFonts w:ascii="Times New Roman" w:hAnsi="Times New Roman" w:cs="Times New Roman"/>
        </w:rPr>
        <w:t xml:space="preserve">[w:] J. Jagielski, M. Wierzbowski (red.), </w:t>
      </w:r>
      <w:r w:rsidRPr="0026652C">
        <w:rPr>
          <w:rFonts w:ascii="Times New Roman" w:hAnsi="Times New Roman" w:cs="Times New Roman"/>
          <w:i/>
          <w:iCs/>
        </w:rPr>
        <w:t xml:space="preserve">Prawo administracyjne, </w:t>
      </w:r>
      <w:r w:rsidRPr="0026652C">
        <w:rPr>
          <w:rFonts w:ascii="Times New Roman" w:hAnsi="Times New Roman" w:cs="Times New Roman"/>
        </w:rPr>
        <w:t xml:space="preserve">Warszawa 2019, s. 139 oraz M. Jaśkowska, </w:t>
      </w:r>
      <w:r w:rsidRPr="0026652C">
        <w:rPr>
          <w:rFonts w:ascii="Times New Roman" w:hAnsi="Times New Roman" w:cs="Times New Roman"/>
          <w:i/>
          <w:iCs/>
        </w:rPr>
        <w:t xml:space="preserve">Pojęcie uznania administracyjnego, </w:t>
      </w:r>
      <w:r w:rsidRPr="0026652C">
        <w:rPr>
          <w:rFonts w:ascii="Times New Roman" w:hAnsi="Times New Roman" w:cs="Times New Roman"/>
        </w:rPr>
        <w:t xml:space="preserve">[w:] R. Hauser, Z. Niewiadomski, A. Wróbel (red.), </w:t>
      </w:r>
      <w:r w:rsidRPr="0026652C">
        <w:rPr>
          <w:rFonts w:ascii="Times New Roman" w:hAnsi="Times New Roman" w:cs="Times New Roman"/>
          <w:i/>
          <w:iCs/>
        </w:rPr>
        <w:t xml:space="preserve">System Prawa Administracyjnego. Publiczne prawo gospodarcze, </w:t>
      </w:r>
      <w:r w:rsidRPr="0026652C">
        <w:rPr>
          <w:rFonts w:ascii="Times New Roman" w:hAnsi="Times New Roman" w:cs="Times New Roman"/>
        </w:rPr>
        <w:t>t. 8B, Warszawa 2018, s. 271.</w:t>
      </w:r>
    </w:p>
  </w:footnote>
  <w:footnote w:id="5">
    <w:p w14:paraId="7D34DA8A" w14:textId="5F170B3E" w:rsidR="000E6D8F" w:rsidRPr="0026652C" w:rsidRDefault="000E6D8F" w:rsidP="00A70DA6">
      <w:pPr>
        <w:pStyle w:val="Tekstprzypisudolnego"/>
        <w:ind w:left="284" w:hanging="284"/>
        <w:rPr>
          <w:rFonts w:ascii="Times New Roman" w:hAnsi="Times New Roman" w:cs="Times New Roman"/>
          <w:sz w:val="18"/>
          <w:szCs w:val="18"/>
          <w:lang w:val="en-GB"/>
        </w:rPr>
      </w:pPr>
      <w:r w:rsidRPr="006D59BB">
        <w:rPr>
          <w:rStyle w:val="Odwoanieprzypisudolnego"/>
          <w:rFonts w:ascii="Times New Roman" w:hAnsi="Times New Roman" w:cs="Times New Roman"/>
        </w:rPr>
        <w:footnoteRef/>
      </w:r>
      <w:r w:rsidRPr="006D59BB">
        <w:rPr>
          <w:rFonts w:ascii="Times New Roman" w:hAnsi="Times New Roman" w:cs="Times New Roman"/>
          <w:vertAlign w:val="superscript"/>
          <w:lang w:val="en-GB"/>
        </w:rPr>
        <w:t>)</w:t>
      </w:r>
      <w:r>
        <w:rPr>
          <w:rFonts w:ascii="Times New Roman" w:hAnsi="Times New Roman" w:cs="Times New Roman"/>
          <w:lang w:val="en-GB"/>
        </w:rPr>
        <w:tab/>
      </w:r>
      <w:r w:rsidRPr="006D59BB">
        <w:rPr>
          <w:rFonts w:ascii="Times New Roman" w:hAnsi="Times New Roman" w:cs="Times New Roman"/>
          <w:lang w:val="en-GB"/>
        </w:rPr>
        <w:t>IMI: skrót od ang. „Internal Market Information System”.</w:t>
      </w:r>
    </w:p>
  </w:footnote>
  <w:footnote w:id="6">
    <w:p w14:paraId="6FB0E414" w14:textId="5CCC122E" w:rsidR="000E6D8F" w:rsidRPr="0026652C" w:rsidRDefault="000E6D8F" w:rsidP="00A70DA6">
      <w:pPr>
        <w:pStyle w:val="Tekstprzypisudolnego"/>
        <w:ind w:left="284" w:hanging="284"/>
        <w:rPr>
          <w:rFonts w:ascii="Times New Roman" w:hAnsi="Times New Roman" w:cs="Times New Roman"/>
          <w:color w:val="000000" w:themeColor="text1"/>
          <w:sz w:val="18"/>
          <w:szCs w:val="18"/>
          <w:lang w:val="en-GB"/>
        </w:rPr>
      </w:pPr>
      <w:r w:rsidRPr="0026652C">
        <w:rPr>
          <w:rStyle w:val="Odwoanieprzypisudolnego"/>
          <w:rFonts w:ascii="Times New Roman" w:hAnsi="Times New Roman" w:cs="Times New Roman"/>
          <w:color w:val="000000" w:themeColor="text1"/>
          <w:sz w:val="18"/>
          <w:szCs w:val="18"/>
        </w:rPr>
        <w:footnoteRef/>
      </w:r>
      <w:r w:rsidRPr="006D59BB">
        <w:rPr>
          <w:rFonts w:ascii="Times New Roman" w:hAnsi="Times New Roman" w:cs="Times New Roman"/>
          <w:color w:val="000000" w:themeColor="text1"/>
          <w:sz w:val="18"/>
          <w:szCs w:val="18"/>
          <w:vertAlign w:val="superscript"/>
          <w:lang w:val="en-GB"/>
        </w:rPr>
        <w:t>)</w:t>
      </w:r>
      <w:r>
        <w:rPr>
          <w:rFonts w:ascii="Times New Roman" w:hAnsi="Times New Roman" w:cs="Times New Roman"/>
          <w:color w:val="000000" w:themeColor="text1"/>
          <w:sz w:val="18"/>
          <w:szCs w:val="18"/>
          <w:lang w:val="en-GB"/>
        </w:rPr>
        <w:tab/>
      </w:r>
      <w:r w:rsidRPr="0026652C">
        <w:rPr>
          <w:rFonts w:ascii="Times New Roman" w:hAnsi="Times New Roman" w:cs="Times New Roman"/>
          <w:color w:val="000000" w:themeColor="text1"/>
          <w:sz w:val="18"/>
          <w:szCs w:val="18"/>
          <w:lang w:val="en-GB"/>
        </w:rPr>
        <w:t>Recommendation of the Council on Regulatory Policy and Governance, 2012 (</w:t>
      </w:r>
      <w:r w:rsidRPr="0026652C">
        <w:rPr>
          <w:rFonts w:ascii="Times New Roman" w:hAnsi="Times New Roman" w:cs="Times New Roman"/>
          <w:color w:val="000000" w:themeColor="text1"/>
        </w:rPr>
        <w:t>https://web-archive.oecd.org/2012-12-05/86392-49990817.pdf</w:t>
      </w:r>
      <w:r w:rsidRPr="0026652C">
        <w:rPr>
          <w:rFonts w:ascii="Times New Roman" w:hAnsi="Times New Roman" w:cs="Times New Roman"/>
          <w:color w:val="000000" w:themeColor="text1"/>
          <w:sz w:val="18"/>
          <w:szCs w:val="18"/>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34F5F"/>
    <w:multiLevelType w:val="hybridMultilevel"/>
    <w:tmpl w:val="FEC0D4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A5B75D3"/>
    <w:multiLevelType w:val="hybridMultilevel"/>
    <w:tmpl w:val="85628F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5B797B"/>
    <w:multiLevelType w:val="hybridMultilevel"/>
    <w:tmpl w:val="5F56BE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6003D6B"/>
    <w:multiLevelType w:val="hybridMultilevel"/>
    <w:tmpl w:val="BEA426E4"/>
    <w:lvl w:ilvl="0" w:tplc="0415000F">
      <w:start w:val="1"/>
      <w:numFmt w:val="decimal"/>
      <w:lvlText w:val="%1."/>
      <w:lvlJc w:val="left"/>
      <w:pPr>
        <w:ind w:left="720" w:hanging="360"/>
      </w:pPr>
      <w:rPr>
        <w:rFonts w:hint="default"/>
      </w:rPr>
    </w:lvl>
    <w:lvl w:ilvl="1" w:tplc="6C80DF4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3F3B20"/>
    <w:multiLevelType w:val="hybridMultilevel"/>
    <w:tmpl w:val="FDE25A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DE4702"/>
    <w:multiLevelType w:val="hybridMultilevel"/>
    <w:tmpl w:val="165AC856"/>
    <w:lvl w:ilvl="0" w:tplc="04150011">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 w15:restartNumberingAfterBreak="0">
    <w:nsid w:val="25D63697"/>
    <w:multiLevelType w:val="hybridMultilevel"/>
    <w:tmpl w:val="D4C2D3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D387EAD"/>
    <w:multiLevelType w:val="hybridMultilevel"/>
    <w:tmpl w:val="EBE081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0003C7C"/>
    <w:multiLevelType w:val="hybridMultilevel"/>
    <w:tmpl w:val="3A3EC4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892123"/>
    <w:multiLevelType w:val="hybridMultilevel"/>
    <w:tmpl w:val="E9389BD4"/>
    <w:lvl w:ilvl="0" w:tplc="D8D86086">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F513A70"/>
    <w:multiLevelType w:val="hybridMultilevel"/>
    <w:tmpl w:val="16EA6D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16868DE"/>
    <w:multiLevelType w:val="hybridMultilevel"/>
    <w:tmpl w:val="D8D26C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4FC4296"/>
    <w:multiLevelType w:val="hybridMultilevel"/>
    <w:tmpl w:val="666472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67463BB"/>
    <w:multiLevelType w:val="hybridMultilevel"/>
    <w:tmpl w:val="6F50D7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C08635D"/>
    <w:multiLevelType w:val="hybridMultilevel"/>
    <w:tmpl w:val="4C129C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48F0612"/>
    <w:multiLevelType w:val="hybridMultilevel"/>
    <w:tmpl w:val="FF32EC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FA7289B"/>
    <w:multiLevelType w:val="hybridMultilevel"/>
    <w:tmpl w:val="1BA01294"/>
    <w:lvl w:ilvl="0" w:tplc="C502957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3E67E24"/>
    <w:multiLevelType w:val="hybridMultilevel"/>
    <w:tmpl w:val="626099DA"/>
    <w:lvl w:ilvl="0" w:tplc="04150011">
      <w:start w:val="1"/>
      <w:numFmt w:val="decimal"/>
      <w:lvlText w:val="%1)"/>
      <w:lvlJc w:val="left"/>
      <w:pPr>
        <w:ind w:left="2988" w:hanging="360"/>
      </w:pPr>
    </w:lvl>
    <w:lvl w:ilvl="1" w:tplc="FFFFFFFF">
      <w:start w:val="1"/>
      <w:numFmt w:val="lowerLetter"/>
      <w:lvlText w:val="%2."/>
      <w:lvlJc w:val="left"/>
      <w:pPr>
        <w:ind w:left="3708" w:hanging="360"/>
      </w:pPr>
    </w:lvl>
    <w:lvl w:ilvl="2" w:tplc="FFFFFFFF">
      <w:start w:val="1"/>
      <w:numFmt w:val="lowerRoman"/>
      <w:lvlText w:val="%3."/>
      <w:lvlJc w:val="right"/>
      <w:pPr>
        <w:ind w:left="4428" w:hanging="180"/>
      </w:pPr>
    </w:lvl>
    <w:lvl w:ilvl="3" w:tplc="FFFFFFFF">
      <w:start w:val="1"/>
      <w:numFmt w:val="decimal"/>
      <w:lvlText w:val="%4."/>
      <w:lvlJc w:val="left"/>
      <w:pPr>
        <w:ind w:left="5148" w:hanging="360"/>
      </w:pPr>
    </w:lvl>
    <w:lvl w:ilvl="4" w:tplc="FFFFFFFF">
      <w:start w:val="1"/>
      <w:numFmt w:val="lowerLetter"/>
      <w:lvlText w:val="%5."/>
      <w:lvlJc w:val="left"/>
      <w:pPr>
        <w:ind w:left="5868" w:hanging="360"/>
      </w:pPr>
    </w:lvl>
    <w:lvl w:ilvl="5" w:tplc="FFFFFFFF">
      <w:start w:val="1"/>
      <w:numFmt w:val="lowerRoman"/>
      <w:lvlText w:val="%6."/>
      <w:lvlJc w:val="right"/>
      <w:pPr>
        <w:ind w:left="6588" w:hanging="180"/>
      </w:pPr>
    </w:lvl>
    <w:lvl w:ilvl="6" w:tplc="FFFFFFFF">
      <w:start w:val="1"/>
      <w:numFmt w:val="decimal"/>
      <w:lvlText w:val="%7."/>
      <w:lvlJc w:val="left"/>
      <w:pPr>
        <w:ind w:left="7308" w:hanging="360"/>
      </w:pPr>
    </w:lvl>
    <w:lvl w:ilvl="7" w:tplc="FFFFFFFF">
      <w:start w:val="1"/>
      <w:numFmt w:val="lowerLetter"/>
      <w:lvlText w:val="%8."/>
      <w:lvlJc w:val="left"/>
      <w:pPr>
        <w:ind w:left="8028" w:hanging="360"/>
      </w:pPr>
    </w:lvl>
    <w:lvl w:ilvl="8" w:tplc="FFFFFFFF">
      <w:start w:val="1"/>
      <w:numFmt w:val="lowerRoman"/>
      <w:lvlText w:val="%9."/>
      <w:lvlJc w:val="right"/>
      <w:pPr>
        <w:ind w:left="8748" w:hanging="180"/>
      </w:pPr>
    </w:lvl>
  </w:abstractNum>
  <w:abstractNum w:abstractNumId="18" w15:restartNumberingAfterBreak="0">
    <w:nsid w:val="761D0064"/>
    <w:multiLevelType w:val="hybridMultilevel"/>
    <w:tmpl w:val="7CFAF180"/>
    <w:lvl w:ilvl="0" w:tplc="441C73C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7A3F269C"/>
    <w:multiLevelType w:val="hybridMultilevel"/>
    <w:tmpl w:val="D952DD6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C896061"/>
    <w:multiLevelType w:val="hybridMultilevel"/>
    <w:tmpl w:val="9CA275C4"/>
    <w:lvl w:ilvl="0" w:tplc="9024490E">
      <w:start w:val="4"/>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16cid:durableId="790437591">
    <w:abstractNumId w:val="13"/>
  </w:num>
  <w:num w:numId="2" w16cid:durableId="1349526736">
    <w:abstractNumId w:val="19"/>
  </w:num>
  <w:num w:numId="3" w16cid:durableId="1154102657">
    <w:abstractNumId w:val="3"/>
  </w:num>
  <w:num w:numId="4" w16cid:durableId="716659645">
    <w:abstractNumId w:val="2"/>
  </w:num>
  <w:num w:numId="5" w16cid:durableId="2023970713">
    <w:abstractNumId w:val="4"/>
  </w:num>
  <w:num w:numId="6" w16cid:durableId="1395162123">
    <w:abstractNumId w:val="11"/>
  </w:num>
  <w:num w:numId="7" w16cid:durableId="737628817">
    <w:abstractNumId w:val="6"/>
  </w:num>
  <w:num w:numId="8" w16cid:durableId="1921598497">
    <w:abstractNumId w:val="18"/>
  </w:num>
  <w:num w:numId="9" w16cid:durableId="163251887">
    <w:abstractNumId w:val="12"/>
  </w:num>
  <w:num w:numId="10" w16cid:durableId="42946371">
    <w:abstractNumId w:val="14"/>
  </w:num>
  <w:num w:numId="11" w16cid:durableId="843208556">
    <w:abstractNumId w:val="8"/>
  </w:num>
  <w:num w:numId="12" w16cid:durableId="852913638">
    <w:abstractNumId w:val="17"/>
  </w:num>
  <w:num w:numId="13" w16cid:durableId="1426271440">
    <w:abstractNumId w:val="1"/>
  </w:num>
  <w:num w:numId="14" w16cid:durableId="1757240466">
    <w:abstractNumId w:val="16"/>
  </w:num>
  <w:num w:numId="15" w16cid:durableId="2133281154">
    <w:abstractNumId w:val="10"/>
  </w:num>
  <w:num w:numId="16" w16cid:durableId="45303380">
    <w:abstractNumId w:val="5"/>
  </w:num>
  <w:num w:numId="17" w16cid:durableId="1580291465">
    <w:abstractNumId w:val="20"/>
  </w:num>
  <w:num w:numId="18" w16cid:durableId="1426685948">
    <w:abstractNumId w:val="9"/>
  </w:num>
  <w:num w:numId="19" w16cid:durableId="802771842">
    <w:abstractNumId w:val="7"/>
  </w:num>
  <w:num w:numId="20" w16cid:durableId="1772511639">
    <w:abstractNumId w:val="15"/>
  </w:num>
  <w:num w:numId="21" w16cid:durableId="244849377">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0BC"/>
    <w:rsid w:val="00000417"/>
    <w:rsid w:val="000047EB"/>
    <w:rsid w:val="00007CF6"/>
    <w:rsid w:val="0001097E"/>
    <w:rsid w:val="00010D6D"/>
    <w:rsid w:val="00012039"/>
    <w:rsid w:val="00022349"/>
    <w:rsid w:val="00022817"/>
    <w:rsid w:val="0002417E"/>
    <w:rsid w:val="00026A96"/>
    <w:rsid w:val="00030A42"/>
    <w:rsid w:val="000370E5"/>
    <w:rsid w:val="000464F5"/>
    <w:rsid w:val="000535E6"/>
    <w:rsid w:val="00061284"/>
    <w:rsid w:val="00074F9B"/>
    <w:rsid w:val="00075A6B"/>
    <w:rsid w:val="000778F6"/>
    <w:rsid w:val="00081CB9"/>
    <w:rsid w:val="0008340C"/>
    <w:rsid w:val="0008471F"/>
    <w:rsid w:val="00084C38"/>
    <w:rsid w:val="00085078"/>
    <w:rsid w:val="000864F0"/>
    <w:rsid w:val="00091F69"/>
    <w:rsid w:val="0009233A"/>
    <w:rsid w:val="00096D00"/>
    <w:rsid w:val="000970D0"/>
    <w:rsid w:val="000A06D0"/>
    <w:rsid w:val="000A5E88"/>
    <w:rsid w:val="000A5F17"/>
    <w:rsid w:val="000A7482"/>
    <w:rsid w:val="000B0C06"/>
    <w:rsid w:val="000B125E"/>
    <w:rsid w:val="000B65A0"/>
    <w:rsid w:val="000B7D79"/>
    <w:rsid w:val="000C180C"/>
    <w:rsid w:val="000C447F"/>
    <w:rsid w:val="000C5164"/>
    <w:rsid w:val="000D0412"/>
    <w:rsid w:val="000D079F"/>
    <w:rsid w:val="000D2FAE"/>
    <w:rsid w:val="000D7BCC"/>
    <w:rsid w:val="000E2E11"/>
    <w:rsid w:val="000E5667"/>
    <w:rsid w:val="000E6D8F"/>
    <w:rsid w:val="000F5E59"/>
    <w:rsid w:val="00100C8F"/>
    <w:rsid w:val="00101EF6"/>
    <w:rsid w:val="00103A42"/>
    <w:rsid w:val="00103FFB"/>
    <w:rsid w:val="00104A20"/>
    <w:rsid w:val="00106528"/>
    <w:rsid w:val="00106DC1"/>
    <w:rsid w:val="0011039C"/>
    <w:rsid w:val="0011253E"/>
    <w:rsid w:val="00114EF8"/>
    <w:rsid w:val="00115575"/>
    <w:rsid w:val="0012078E"/>
    <w:rsid w:val="00120984"/>
    <w:rsid w:val="0012139D"/>
    <w:rsid w:val="00123D68"/>
    <w:rsid w:val="00125EA7"/>
    <w:rsid w:val="00131E3E"/>
    <w:rsid w:val="00132280"/>
    <w:rsid w:val="00137C5C"/>
    <w:rsid w:val="0014186C"/>
    <w:rsid w:val="00143F9C"/>
    <w:rsid w:val="00145230"/>
    <w:rsid w:val="0015192E"/>
    <w:rsid w:val="001529EA"/>
    <w:rsid w:val="001600A8"/>
    <w:rsid w:val="00161536"/>
    <w:rsid w:val="00162023"/>
    <w:rsid w:val="00166084"/>
    <w:rsid w:val="00171457"/>
    <w:rsid w:val="00172880"/>
    <w:rsid w:val="00182A12"/>
    <w:rsid w:val="0018611F"/>
    <w:rsid w:val="00186541"/>
    <w:rsid w:val="001A7C2E"/>
    <w:rsid w:val="001B1526"/>
    <w:rsid w:val="001B56F2"/>
    <w:rsid w:val="001B5CD3"/>
    <w:rsid w:val="001C0D5D"/>
    <w:rsid w:val="001C32B6"/>
    <w:rsid w:val="001C49F1"/>
    <w:rsid w:val="001C515E"/>
    <w:rsid w:val="001D0F39"/>
    <w:rsid w:val="001D42A9"/>
    <w:rsid w:val="001D635E"/>
    <w:rsid w:val="001E19AC"/>
    <w:rsid w:val="001E1C5A"/>
    <w:rsid w:val="001E4FAD"/>
    <w:rsid w:val="001E6C23"/>
    <w:rsid w:val="00204820"/>
    <w:rsid w:val="00206478"/>
    <w:rsid w:val="00206F37"/>
    <w:rsid w:val="002070A7"/>
    <w:rsid w:val="00207D27"/>
    <w:rsid w:val="00207F1E"/>
    <w:rsid w:val="00211B2D"/>
    <w:rsid w:val="002127E4"/>
    <w:rsid w:val="00214BCA"/>
    <w:rsid w:val="0022579A"/>
    <w:rsid w:val="00227C36"/>
    <w:rsid w:val="00254B6F"/>
    <w:rsid w:val="0026273B"/>
    <w:rsid w:val="0026548B"/>
    <w:rsid w:val="00265850"/>
    <w:rsid w:val="00265C12"/>
    <w:rsid w:val="0026652C"/>
    <w:rsid w:val="00270BBA"/>
    <w:rsid w:val="00272935"/>
    <w:rsid w:val="00276AB1"/>
    <w:rsid w:val="00281DF1"/>
    <w:rsid w:val="0028263E"/>
    <w:rsid w:val="002833F5"/>
    <w:rsid w:val="0028771F"/>
    <w:rsid w:val="0029613C"/>
    <w:rsid w:val="002A383E"/>
    <w:rsid w:val="002A6303"/>
    <w:rsid w:val="002A7638"/>
    <w:rsid w:val="002B257A"/>
    <w:rsid w:val="002B67B9"/>
    <w:rsid w:val="002C5FB0"/>
    <w:rsid w:val="002D2C7D"/>
    <w:rsid w:val="002D3E6C"/>
    <w:rsid w:val="002D5675"/>
    <w:rsid w:val="002D5E07"/>
    <w:rsid w:val="002D5E90"/>
    <w:rsid w:val="002E452F"/>
    <w:rsid w:val="002E554A"/>
    <w:rsid w:val="002E5CD0"/>
    <w:rsid w:val="002F1BAA"/>
    <w:rsid w:val="002F2735"/>
    <w:rsid w:val="002F465C"/>
    <w:rsid w:val="003057CA"/>
    <w:rsid w:val="00306E7D"/>
    <w:rsid w:val="0031563F"/>
    <w:rsid w:val="00320361"/>
    <w:rsid w:val="003260B8"/>
    <w:rsid w:val="00330BAE"/>
    <w:rsid w:val="0035047F"/>
    <w:rsid w:val="00351A33"/>
    <w:rsid w:val="00353904"/>
    <w:rsid w:val="003566DA"/>
    <w:rsid w:val="00356ADE"/>
    <w:rsid w:val="00360E43"/>
    <w:rsid w:val="0037008D"/>
    <w:rsid w:val="00370A94"/>
    <w:rsid w:val="00375C2A"/>
    <w:rsid w:val="00376502"/>
    <w:rsid w:val="00377CBB"/>
    <w:rsid w:val="0038340C"/>
    <w:rsid w:val="003A1130"/>
    <w:rsid w:val="003A1D3B"/>
    <w:rsid w:val="003B31BC"/>
    <w:rsid w:val="003B372D"/>
    <w:rsid w:val="003B3F10"/>
    <w:rsid w:val="003B44D9"/>
    <w:rsid w:val="003B558A"/>
    <w:rsid w:val="003C1662"/>
    <w:rsid w:val="003C28BC"/>
    <w:rsid w:val="003C2B69"/>
    <w:rsid w:val="003C4733"/>
    <w:rsid w:val="003C6F80"/>
    <w:rsid w:val="003C753E"/>
    <w:rsid w:val="003D2111"/>
    <w:rsid w:val="003D6CD6"/>
    <w:rsid w:val="003D7723"/>
    <w:rsid w:val="003E150A"/>
    <w:rsid w:val="003E1991"/>
    <w:rsid w:val="003E1BD3"/>
    <w:rsid w:val="003E264A"/>
    <w:rsid w:val="003E3BBC"/>
    <w:rsid w:val="003E5AEC"/>
    <w:rsid w:val="003F4F58"/>
    <w:rsid w:val="0040331D"/>
    <w:rsid w:val="004040F5"/>
    <w:rsid w:val="00411D42"/>
    <w:rsid w:val="00421BBB"/>
    <w:rsid w:val="00422868"/>
    <w:rsid w:val="00425263"/>
    <w:rsid w:val="00427991"/>
    <w:rsid w:val="00433472"/>
    <w:rsid w:val="00433DC2"/>
    <w:rsid w:val="00434004"/>
    <w:rsid w:val="00437473"/>
    <w:rsid w:val="004378D7"/>
    <w:rsid w:val="00444517"/>
    <w:rsid w:val="0044504B"/>
    <w:rsid w:val="00445216"/>
    <w:rsid w:val="00446482"/>
    <w:rsid w:val="00451875"/>
    <w:rsid w:val="004522D3"/>
    <w:rsid w:val="004663F4"/>
    <w:rsid w:val="00466DCA"/>
    <w:rsid w:val="004706E3"/>
    <w:rsid w:val="00471C03"/>
    <w:rsid w:val="00475505"/>
    <w:rsid w:val="00475ED7"/>
    <w:rsid w:val="004762C5"/>
    <w:rsid w:val="00486CBE"/>
    <w:rsid w:val="004873C5"/>
    <w:rsid w:val="00491E87"/>
    <w:rsid w:val="00493CAB"/>
    <w:rsid w:val="00496011"/>
    <w:rsid w:val="004A1336"/>
    <w:rsid w:val="004A21B4"/>
    <w:rsid w:val="004B1197"/>
    <w:rsid w:val="004B65F9"/>
    <w:rsid w:val="004B68BF"/>
    <w:rsid w:val="004C5765"/>
    <w:rsid w:val="004C765C"/>
    <w:rsid w:val="004D2C1E"/>
    <w:rsid w:val="004D3560"/>
    <w:rsid w:val="004D44C4"/>
    <w:rsid w:val="004D4AD1"/>
    <w:rsid w:val="004E4896"/>
    <w:rsid w:val="004E4B42"/>
    <w:rsid w:val="004E5662"/>
    <w:rsid w:val="004E6E69"/>
    <w:rsid w:val="004E6FE9"/>
    <w:rsid w:val="004E7ACD"/>
    <w:rsid w:val="00506D0D"/>
    <w:rsid w:val="0051484C"/>
    <w:rsid w:val="00515B87"/>
    <w:rsid w:val="0051648D"/>
    <w:rsid w:val="0052629A"/>
    <w:rsid w:val="00530795"/>
    <w:rsid w:val="005308AD"/>
    <w:rsid w:val="00530963"/>
    <w:rsid w:val="00533FB0"/>
    <w:rsid w:val="00540EC4"/>
    <w:rsid w:val="00543373"/>
    <w:rsid w:val="0054643B"/>
    <w:rsid w:val="00566D1B"/>
    <w:rsid w:val="005731A9"/>
    <w:rsid w:val="00573836"/>
    <w:rsid w:val="005740F7"/>
    <w:rsid w:val="0057461D"/>
    <w:rsid w:val="00576D96"/>
    <w:rsid w:val="00577CFE"/>
    <w:rsid w:val="005873BD"/>
    <w:rsid w:val="005950C9"/>
    <w:rsid w:val="00597418"/>
    <w:rsid w:val="005B1F70"/>
    <w:rsid w:val="005C02CE"/>
    <w:rsid w:val="005C0E9E"/>
    <w:rsid w:val="005C2A48"/>
    <w:rsid w:val="005C39A5"/>
    <w:rsid w:val="005C40BC"/>
    <w:rsid w:val="005C415F"/>
    <w:rsid w:val="005D43CD"/>
    <w:rsid w:val="005D487A"/>
    <w:rsid w:val="005D5D55"/>
    <w:rsid w:val="005E7E00"/>
    <w:rsid w:val="005F0317"/>
    <w:rsid w:val="005F08BF"/>
    <w:rsid w:val="005F1222"/>
    <w:rsid w:val="005F2F3D"/>
    <w:rsid w:val="005F6C53"/>
    <w:rsid w:val="005F7ED1"/>
    <w:rsid w:val="00600821"/>
    <w:rsid w:val="006025E2"/>
    <w:rsid w:val="006056CC"/>
    <w:rsid w:val="006100AF"/>
    <w:rsid w:val="00613FA5"/>
    <w:rsid w:val="00614B74"/>
    <w:rsid w:val="0062086C"/>
    <w:rsid w:val="00622252"/>
    <w:rsid w:val="00622DB9"/>
    <w:rsid w:val="0062618E"/>
    <w:rsid w:val="00627CD0"/>
    <w:rsid w:val="006338E8"/>
    <w:rsid w:val="00636865"/>
    <w:rsid w:val="00643D61"/>
    <w:rsid w:val="006460D6"/>
    <w:rsid w:val="00647C66"/>
    <w:rsid w:val="00652D69"/>
    <w:rsid w:val="006568A9"/>
    <w:rsid w:val="00662464"/>
    <w:rsid w:val="006645E0"/>
    <w:rsid w:val="00665342"/>
    <w:rsid w:val="006654A3"/>
    <w:rsid w:val="00674323"/>
    <w:rsid w:val="006746E2"/>
    <w:rsid w:val="00680B6F"/>
    <w:rsid w:val="00682710"/>
    <w:rsid w:val="006849E8"/>
    <w:rsid w:val="00684CB0"/>
    <w:rsid w:val="006920C1"/>
    <w:rsid w:val="006966E0"/>
    <w:rsid w:val="00697CEA"/>
    <w:rsid w:val="006A0481"/>
    <w:rsid w:val="006A2634"/>
    <w:rsid w:val="006A71D8"/>
    <w:rsid w:val="006C0431"/>
    <w:rsid w:val="006C7C91"/>
    <w:rsid w:val="006D0951"/>
    <w:rsid w:val="006D3101"/>
    <w:rsid w:val="006D4190"/>
    <w:rsid w:val="006D59BB"/>
    <w:rsid w:val="006D600F"/>
    <w:rsid w:val="006E1B58"/>
    <w:rsid w:val="006E460F"/>
    <w:rsid w:val="006E5E7C"/>
    <w:rsid w:val="006E6EC9"/>
    <w:rsid w:val="006F03DA"/>
    <w:rsid w:val="006F224F"/>
    <w:rsid w:val="006F3E02"/>
    <w:rsid w:val="006F7B8B"/>
    <w:rsid w:val="00703844"/>
    <w:rsid w:val="007050F8"/>
    <w:rsid w:val="00705D32"/>
    <w:rsid w:val="007124B8"/>
    <w:rsid w:val="007150F5"/>
    <w:rsid w:val="007225C0"/>
    <w:rsid w:val="007227A8"/>
    <w:rsid w:val="00734706"/>
    <w:rsid w:val="00736876"/>
    <w:rsid w:val="00736D24"/>
    <w:rsid w:val="0074071C"/>
    <w:rsid w:val="00747969"/>
    <w:rsid w:val="00750085"/>
    <w:rsid w:val="00750231"/>
    <w:rsid w:val="00752E33"/>
    <w:rsid w:val="00761366"/>
    <w:rsid w:val="00761D92"/>
    <w:rsid w:val="00772E66"/>
    <w:rsid w:val="007773B4"/>
    <w:rsid w:val="00783785"/>
    <w:rsid w:val="007837D3"/>
    <w:rsid w:val="00785B12"/>
    <w:rsid w:val="007868B6"/>
    <w:rsid w:val="007974A6"/>
    <w:rsid w:val="007A3A78"/>
    <w:rsid w:val="007B01E5"/>
    <w:rsid w:val="007B1AC6"/>
    <w:rsid w:val="007B3D56"/>
    <w:rsid w:val="007B4C00"/>
    <w:rsid w:val="007B5519"/>
    <w:rsid w:val="007C64A6"/>
    <w:rsid w:val="007C6CFE"/>
    <w:rsid w:val="007C74AA"/>
    <w:rsid w:val="007D7BA9"/>
    <w:rsid w:val="007E5188"/>
    <w:rsid w:val="007E5529"/>
    <w:rsid w:val="007E5F33"/>
    <w:rsid w:val="007E7B73"/>
    <w:rsid w:val="007F0DCD"/>
    <w:rsid w:val="007F0FE3"/>
    <w:rsid w:val="007F58AA"/>
    <w:rsid w:val="007F7CB5"/>
    <w:rsid w:val="00802AF0"/>
    <w:rsid w:val="00807976"/>
    <w:rsid w:val="00812343"/>
    <w:rsid w:val="0081387C"/>
    <w:rsid w:val="008170ED"/>
    <w:rsid w:val="00821E81"/>
    <w:rsid w:val="008255E6"/>
    <w:rsid w:val="00834BB3"/>
    <w:rsid w:val="00853089"/>
    <w:rsid w:val="0086626F"/>
    <w:rsid w:val="00872B1D"/>
    <w:rsid w:val="00873668"/>
    <w:rsid w:val="0087379A"/>
    <w:rsid w:val="00876354"/>
    <w:rsid w:val="00877E05"/>
    <w:rsid w:val="00880FBF"/>
    <w:rsid w:val="008836DF"/>
    <w:rsid w:val="00883E22"/>
    <w:rsid w:val="008857FC"/>
    <w:rsid w:val="00885DD8"/>
    <w:rsid w:val="008925FA"/>
    <w:rsid w:val="00892AF6"/>
    <w:rsid w:val="00894B36"/>
    <w:rsid w:val="008A3484"/>
    <w:rsid w:val="008A4B55"/>
    <w:rsid w:val="008A5475"/>
    <w:rsid w:val="008B1056"/>
    <w:rsid w:val="008C0304"/>
    <w:rsid w:val="008C05C4"/>
    <w:rsid w:val="008D2A41"/>
    <w:rsid w:val="008D3DB5"/>
    <w:rsid w:val="008D533F"/>
    <w:rsid w:val="008D5E9F"/>
    <w:rsid w:val="008D5FF1"/>
    <w:rsid w:val="008E6B40"/>
    <w:rsid w:val="008E6C79"/>
    <w:rsid w:val="00911638"/>
    <w:rsid w:val="00912741"/>
    <w:rsid w:val="00915274"/>
    <w:rsid w:val="0091595C"/>
    <w:rsid w:val="00915CD0"/>
    <w:rsid w:val="0092536A"/>
    <w:rsid w:val="009304BF"/>
    <w:rsid w:val="0093227F"/>
    <w:rsid w:val="009340BB"/>
    <w:rsid w:val="00937DF5"/>
    <w:rsid w:val="00942E8C"/>
    <w:rsid w:val="00943F44"/>
    <w:rsid w:val="00950267"/>
    <w:rsid w:val="009507B5"/>
    <w:rsid w:val="009511E6"/>
    <w:rsid w:val="009519DC"/>
    <w:rsid w:val="00961F72"/>
    <w:rsid w:val="00963C34"/>
    <w:rsid w:val="00964462"/>
    <w:rsid w:val="00964FAF"/>
    <w:rsid w:val="00967763"/>
    <w:rsid w:val="00970F6A"/>
    <w:rsid w:val="00971E0C"/>
    <w:rsid w:val="00975FA4"/>
    <w:rsid w:val="00986D1A"/>
    <w:rsid w:val="00990047"/>
    <w:rsid w:val="009A127B"/>
    <w:rsid w:val="009A1B86"/>
    <w:rsid w:val="009A2390"/>
    <w:rsid w:val="009A49EF"/>
    <w:rsid w:val="009B13D8"/>
    <w:rsid w:val="009B4497"/>
    <w:rsid w:val="009B6042"/>
    <w:rsid w:val="009C638C"/>
    <w:rsid w:val="009C773D"/>
    <w:rsid w:val="009D00A2"/>
    <w:rsid w:val="009D1BE6"/>
    <w:rsid w:val="009D2482"/>
    <w:rsid w:val="009D4B4F"/>
    <w:rsid w:val="009D5180"/>
    <w:rsid w:val="009D5A57"/>
    <w:rsid w:val="009E1176"/>
    <w:rsid w:val="009E280A"/>
    <w:rsid w:val="009E5DEE"/>
    <w:rsid w:val="00A00EC1"/>
    <w:rsid w:val="00A02E3A"/>
    <w:rsid w:val="00A04001"/>
    <w:rsid w:val="00A04792"/>
    <w:rsid w:val="00A064FA"/>
    <w:rsid w:val="00A13718"/>
    <w:rsid w:val="00A17344"/>
    <w:rsid w:val="00A21A93"/>
    <w:rsid w:val="00A23F9E"/>
    <w:rsid w:val="00A26523"/>
    <w:rsid w:val="00A307DB"/>
    <w:rsid w:val="00A310AA"/>
    <w:rsid w:val="00A3746D"/>
    <w:rsid w:val="00A45086"/>
    <w:rsid w:val="00A54585"/>
    <w:rsid w:val="00A5462F"/>
    <w:rsid w:val="00A54BA8"/>
    <w:rsid w:val="00A555B6"/>
    <w:rsid w:val="00A56F26"/>
    <w:rsid w:val="00A62264"/>
    <w:rsid w:val="00A70DA6"/>
    <w:rsid w:val="00A7379B"/>
    <w:rsid w:val="00A7393F"/>
    <w:rsid w:val="00A77374"/>
    <w:rsid w:val="00A801A8"/>
    <w:rsid w:val="00A846A7"/>
    <w:rsid w:val="00A92D01"/>
    <w:rsid w:val="00A94A79"/>
    <w:rsid w:val="00A95218"/>
    <w:rsid w:val="00A97477"/>
    <w:rsid w:val="00AA2138"/>
    <w:rsid w:val="00AA4F4E"/>
    <w:rsid w:val="00AA71EB"/>
    <w:rsid w:val="00AB24A7"/>
    <w:rsid w:val="00AB7CA7"/>
    <w:rsid w:val="00AC33F6"/>
    <w:rsid w:val="00AC4E28"/>
    <w:rsid w:val="00AC6B64"/>
    <w:rsid w:val="00AD0F7F"/>
    <w:rsid w:val="00AE0911"/>
    <w:rsid w:val="00AE2067"/>
    <w:rsid w:val="00AF2964"/>
    <w:rsid w:val="00B04C92"/>
    <w:rsid w:val="00B20442"/>
    <w:rsid w:val="00B2428F"/>
    <w:rsid w:val="00B25537"/>
    <w:rsid w:val="00B27179"/>
    <w:rsid w:val="00B2748C"/>
    <w:rsid w:val="00B30004"/>
    <w:rsid w:val="00B30A2A"/>
    <w:rsid w:val="00B319E5"/>
    <w:rsid w:val="00B33571"/>
    <w:rsid w:val="00B35EB8"/>
    <w:rsid w:val="00B36D08"/>
    <w:rsid w:val="00B40C2B"/>
    <w:rsid w:val="00B4401E"/>
    <w:rsid w:val="00B44A7F"/>
    <w:rsid w:val="00B460E8"/>
    <w:rsid w:val="00B52991"/>
    <w:rsid w:val="00B54806"/>
    <w:rsid w:val="00B560BF"/>
    <w:rsid w:val="00B56F62"/>
    <w:rsid w:val="00B62999"/>
    <w:rsid w:val="00B72C9D"/>
    <w:rsid w:val="00B77586"/>
    <w:rsid w:val="00B81B82"/>
    <w:rsid w:val="00B86B15"/>
    <w:rsid w:val="00B86ED5"/>
    <w:rsid w:val="00B9357B"/>
    <w:rsid w:val="00B976D2"/>
    <w:rsid w:val="00BA47DD"/>
    <w:rsid w:val="00BA6B54"/>
    <w:rsid w:val="00BA7554"/>
    <w:rsid w:val="00BA7DA9"/>
    <w:rsid w:val="00BB1B64"/>
    <w:rsid w:val="00BB3E25"/>
    <w:rsid w:val="00BC6903"/>
    <w:rsid w:val="00BD18D6"/>
    <w:rsid w:val="00BD67AA"/>
    <w:rsid w:val="00BD7EBA"/>
    <w:rsid w:val="00BD7FED"/>
    <w:rsid w:val="00BE2E22"/>
    <w:rsid w:val="00BE7F8D"/>
    <w:rsid w:val="00BF1B29"/>
    <w:rsid w:val="00C05962"/>
    <w:rsid w:val="00C05BE5"/>
    <w:rsid w:val="00C0649A"/>
    <w:rsid w:val="00C105E8"/>
    <w:rsid w:val="00C10E1A"/>
    <w:rsid w:val="00C137C6"/>
    <w:rsid w:val="00C138C1"/>
    <w:rsid w:val="00C13958"/>
    <w:rsid w:val="00C20A07"/>
    <w:rsid w:val="00C21FC9"/>
    <w:rsid w:val="00C2495E"/>
    <w:rsid w:val="00C24E62"/>
    <w:rsid w:val="00C331FB"/>
    <w:rsid w:val="00C41F4D"/>
    <w:rsid w:val="00C420FB"/>
    <w:rsid w:val="00C42B51"/>
    <w:rsid w:val="00C45BF4"/>
    <w:rsid w:val="00C47754"/>
    <w:rsid w:val="00C507F7"/>
    <w:rsid w:val="00C5082A"/>
    <w:rsid w:val="00C52194"/>
    <w:rsid w:val="00C6089D"/>
    <w:rsid w:val="00C60D00"/>
    <w:rsid w:val="00C61182"/>
    <w:rsid w:val="00C61A2F"/>
    <w:rsid w:val="00C63D00"/>
    <w:rsid w:val="00C656EB"/>
    <w:rsid w:val="00C669EA"/>
    <w:rsid w:val="00C66BFB"/>
    <w:rsid w:val="00C66C9B"/>
    <w:rsid w:val="00C74181"/>
    <w:rsid w:val="00C802FF"/>
    <w:rsid w:val="00C82FD8"/>
    <w:rsid w:val="00C87604"/>
    <w:rsid w:val="00C90365"/>
    <w:rsid w:val="00C97EE2"/>
    <w:rsid w:val="00CA4BF0"/>
    <w:rsid w:val="00CA5E6E"/>
    <w:rsid w:val="00CA63AD"/>
    <w:rsid w:val="00CB3F1C"/>
    <w:rsid w:val="00CB7A00"/>
    <w:rsid w:val="00CB7C74"/>
    <w:rsid w:val="00CC1449"/>
    <w:rsid w:val="00CC4FB4"/>
    <w:rsid w:val="00CC5203"/>
    <w:rsid w:val="00CD08D7"/>
    <w:rsid w:val="00CD0C13"/>
    <w:rsid w:val="00CD7198"/>
    <w:rsid w:val="00CD75A9"/>
    <w:rsid w:val="00CE035F"/>
    <w:rsid w:val="00CE0928"/>
    <w:rsid w:val="00CE0E48"/>
    <w:rsid w:val="00CE149A"/>
    <w:rsid w:val="00CE1DE7"/>
    <w:rsid w:val="00CF2E89"/>
    <w:rsid w:val="00CF36FC"/>
    <w:rsid w:val="00CF7E34"/>
    <w:rsid w:val="00D03D4B"/>
    <w:rsid w:val="00D10478"/>
    <w:rsid w:val="00D21B60"/>
    <w:rsid w:val="00D22488"/>
    <w:rsid w:val="00D239B4"/>
    <w:rsid w:val="00D256DB"/>
    <w:rsid w:val="00D26012"/>
    <w:rsid w:val="00D276D2"/>
    <w:rsid w:val="00D30249"/>
    <w:rsid w:val="00D35063"/>
    <w:rsid w:val="00D3537D"/>
    <w:rsid w:val="00D4107A"/>
    <w:rsid w:val="00D42CA2"/>
    <w:rsid w:val="00D46532"/>
    <w:rsid w:val="00D5466D"/>
    <w:rsid w:val="00D559FF"/>
    <w:rsid w:val="00D56052"/>
    <w:rsid w:val="00D65CB5"/>
    <w:rsid w:val="00D72972"/>
    <w:rsid w:val="00D75898"/>
    <w:rsid w:val="00D83C57"/>
    <w:rsid w:val="00D86F0D"/>
    <w:rsid w:val="00D90BEB"/>
    <w:rsid w:val="00D943A0"/>
    <w:rsid w:val="00DA0AA1"/>
    <w:rsid w:val="00DB52BE"/>
    <w:rsid w:val="00DB7D73"/>
    <w:rsid w:val="00DC27ED"/>
    <w:rsid w:val="00DC3ED6"/>
    <w:rsid w:val="00DC46D9"/>
    <w:rsid w:val="00DC52AB"/>
    <w:rsid w:val="00DD1065"/>
    <w:rsid w:val="00DD6665"/>
    <w:rsid w:val="00DD72A3"/>
    <w:rsid w:val="00DE75DD"/>
    <w:rsid w:val="00DE77BE"/>
    <w:rsid w:val="00DF4ABA"/>
    <w:rsid w:val="00DF7B91"/>
    <w:rsid w:val="00DF7BCB"/>
    <w:rsid w:val="00E02A22"/>
    <w:rsid w:val="00E04A56"/>
    <w:rsid w:val="00E07402"/>
    <w:rsid w:val="00E115E2"/>
    <w:rsid w:val="00E24F16"/>
    <w:rsid w:val="00E26470"/>
    <w:rsid w:val="00E271C6"/>
    <w:rsid w:val="00E427C2"/>
    <w:rsid w:val="00E547CE"/>
    <w:rsid w:val="00E6226B"/>
    <w:rsid w:val="00E62B3F"/>
    <w:rsid w:val="00E6348A"/>
    <w:rsid w:val="00E63BA0"/>
    <w:rsid w:val="00E67D4F"/>
    <w:rsid w:val="00E72B9E"/>
    <w:rsid w:val="00E7575B"/>
    <w:rsid w:val="00E80317"/>
    <w:rsid w:val="00E8391A"/>
    <w:rsid w:val="00E906F8"/>
    <w:rsid w:val="00E90BF5"/>
    <w:rsid w:val="00E96C2D"/>
    <w:rsid w:val="00E97AA5"/>
    <w:rsid w:val="00E97B8A"/>
    <w:rsid w:val="00EA2EE2"/>
    <w:rsid w:val="00EA3D25"/>
    <w:rsid w:val="00EB57C8"/>
    <w:rsid w:val="00EB6BE4"/>
    <w:rsid w:val="00EC4448"/>
    <w:rsid w:val="00EC603A"/>
    <w:rsid w:val="00EC7DF2"/>
    <w:rsid w:val="00ED0E08"/>
    <w:rsid w:val="00ED0E51"/>
    <w:rsid w:val="00ED15F1"/>
    <w:rsid w:val="00ED3FCE"/>
    <w:rsid w:val="00EE0C88"/>
    <w:rsid w:val="00EF0971"/>
    <w:rsid w:val="00EF2212"/>
    <w:rsid w:val="00EF4CF9"/>
    <w:rsid w:val="00EF5DA3"/>
    <w:rsid w:val="00EF69D4"/>
    <w:rsid w:val="00EF7010"/>
    <w:rsid w:val="00EF786A"/>
    <w:rsid w:val="00F02B15"/>
    <w:rsid w:val="00F02C59"/>
    <w:rsid w:val="00F1321E"/>
    <w:rsid w:val="00F15C60"/>
    <w:rsid w:val="00F2622C"/>
    <w:rsid w:val="00F3454F"/>
    <w:rsid w:val="00F3589E"/>
    <w:rsid w:val="00F41830"/>
    <w:rsid w:val="00F4281D"/>
    <w:rsid w:val="00F47B6C"/>
    <w:rsid w:val="00F50FB5"/>
    <w:rsid w:val="00F54BEC"/>
    <w:rsid w:val="00F600B9"/>
    <w:rsid w:val="00F64B39"/>
    <w:rsid w:val="00F72AA8"/>
    <w:rsid w:val="00F82C87"/>
    <w:rsid w:val="00F8315C"/>
    <w:rsid w:val="00F900AD"/>
    <w:rsid w:val="00F90928"/>
    <w:rsid w:val="00F94740"/>
    <w:rsid w:val="00F94F8E"/>
    <w:rsid w:val="00F97A73"/>
    <w:rsid w:val="00FA3BCD"/>
    <w:rsid w:val="00FA709B"/>
    <w:rsid w:val="00FA7EED"/>
    <w:rsid w:val="00FB11B8"/>
    <w:rsid w:val="00FB122D"/>
    <w:rsid w:val="00FB340E"/>
    <w:rsid w:val="00FB50C7"/>
    <w:rsid w:val="00FC1AE9"/>
    <w:rsid w:val="00FC3845"/>
    <w:rsid w:val="00FD209C"/>
    <w:rsid w:val="00FD291C"/>
    <w:rsid w:val="00FD2F2F"/>
    <w:rsid w:val="00FD30D5"/>
    <w:rsid w:val="00FE1A68"/>
    <w:rsid w:val="00FE2A67"/>
    <w:rsid w:val="00FE4AC5"/>
    <w:rsid w:val="00FF1E84"/>
    <w:rsid w:val="00FF4C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DE0D0"/>
  <w15:docId w15:val="{29AB1923-12EA-4B10-8046-037D1AD00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C40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5C40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unhideWhenUsed/>
    <w:qFormat/>
    <w:rsid w:val="005C40B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C40B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C40B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C40B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C40B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C40B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C40B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C40B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5C40B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rsid w:val="005C40B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C40B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C40B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C40B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C40B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C40B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C40BC"/>
    <w:rPr>
      <w:rFonts w:eastAsiaTheme="majorEastAsia" w:cstheme="majorBidi"/>
      <w:color w:val="272727" w:themeColor="text1" w:themeTint="D8"/>
    </w:rPr>
  </w:style>
  <w:style w:type="paragraph" w:styleId="Tytu">
    <w:name w:val="Title"/>
    <w:basedOn w:val="Normalny"/>
    <w:next w:val="Normalny"/>
    <w:link w:val="TytuZnak"/>
    <w:uiPriority w:val="10"/>
    <w:qFormat/>
    <w:rsid w:val="005C40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C40B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C40B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C40B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C40BC"/>
    <w:pPr>
      <w:spacing w:before="160"/>
      <w:jc w:val="center"/>
    </w:pPr>
    <w:rPr>
      <w:i/>
      <w:iCs/>
      <w:color w:val="404040" w:themeColor="text1" w:themeTint="BF"/>
    </w:rPr>
  </w:style>
  <w:style w:type="character" w:customStyle="1" w:styleId="CytatZnak">
    <w:name w:val="Cytat Znak"/>
    <w:basedOn w:val="Domylnaczcionkaakapitu"/>
    <w:link w:val="Cytat"/>
    <w:uiPriority w:val="29"/>
    <w:rsid w:val="005C40BC"/>
    <w:rPr>
      <w:i/>
      <w:iCs/>
      <w:color w:val="404040" w:themeColor="text1" w:themeTint="BF"/>
    </w:rPr>
  </w:style>
  <w:style w:type="paragraph" w:styleId="Akapitzlist">
    <w:name w:val="List Paragraph"/>
    <w:aliases w:val="Wyliczanie,List Paragraph,BulletC,Listaszerű bekezdés1,List Paragraph à moi,Dot pt,F5 List Paragraph,Numbered Para 1,No Spacing1,List Paragraph Char Char Char,Indicator Text,Bullet Points,MAIN CONTENT,IFCL - List Paragraph,A_wyliczenie,L1"/>
    <w:basedOn w:val="Normalny"/>
    <w:link w:val="AkapitzlistZnak"/>
    <w:uiPriority w:val="1"/>
    <w:qFormat/>
    <w:rsid w:val="005C40BC"/>
    <w:pPr>
      <w:ind w:left="720"/>
      <w:contextualSpacing/>
    </w:pPr>
  </w:style>
  <w:style w:type="character" w:styleId="Wyrnienieintensywne">
    <w:name w:val="Intense Emphasis"/>
    <w:basedOn w:val="Domylnaczcionkaakapitu"/>
    <w:uiPriority w:val="21"/>
    <w:qFormat/>
    <w:rsid w:val="005C40BC"/>
    <w:rPr>
      <w:i/>
      <w:iCs/>
      <w:color w:val="0F4761" w:themeColor="accent1" w:themeShade="BF"/>
    </w:rPr>
  </w:style>
  <w:style w:type="paragraph" w:styleId="Cytatintensywny">
    <w:name w:val="Intense Quote"/>
    <w:basedOn w:val="Normalny"/>
    <w:next w:val="Normalny"/>
    <w:link w:val="CytatintensywnyZnak"/>
    <w:uiPriority w:val="30"/>
    <w:qFormat/>
    <w:rsid w:val="005C40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C40BC"/>
    <w:rPr>
      <w:i/>
      <w:iCs/>
      <w:color w:val="0F4761" w:themeColor="accent1" w:themeShade="BF"/>
    </w:rPr>
  </w:style>
  <w:style w:type="character" w:styleId="Odwoanieintensywne">
    <w:name w:val="Intense Reference"/>
    <w:basedOn w:val="Domylnaczcionkaakapitu"/>
    <w:uiPriority w:val="32"/>
    <w:qFormat/>
    <w:rsid w:val="005C40BC"/>
    <w:rPr>
      <w:b/>
      <w:bCs/>
      <w:smallCaps/>
      <w:color w:val="0F4761" w:themeColor="accent1" w:themeShade="BF"/>
      <w:spacing w:val="5"/>
    </w:rPr>
  </w:style>
  <w:style w:type="character" w:styleId="Odwoaniedokomentarza">
    <w:name w:val="annotation reference"/>
    <w:basedOn w:val="Domylnaczcionkaakapitu"/>
    <w:uiPriority w:val="99"/>
    <w:rsid w:val="00EB6BE4"/>
    <w:rPr>
      <w:sz w:val="16"/>
      <w:szCs w:val="16"/>
    </w:rPr>
  </w:style>
  <w:style w:type="paragraph" w:styleId="Tekstkomentarza">
    <w:name w:val="annotation text"/>
    <w:basedOn w:val="Normalny"/>
    <w:link w:val="TekstkomentarzaZnak"/>
    <w:uiPriority w:val="99"/>
    <w:rsid w:val="00EB6BE4"/>
    <w:pPr>
      <w:spacing w:after="0" w:line="276" w:lineRule="auto"/>
    </w:pPr>
    <w:rPr>
      <w:rFonts w:ascii="Times" w:eastAsia="Times New Roman" w:hAnsi="Times" w:cs="Times New Roman"/>
      <w:kern w:val="0"/>
      <w:szCs w:val="24"/>
      <w14:ligatures w14:val="none"/>
    </w:rPr>
  </w:style>
  <w:style w:type="character" w:customStyle="1" w:styleId="TekstkomentarzaZnak">
    <w:name w:val="Tekst komentarza Znak"/>
    <w:basedOn w:val="Domylnaczcionkaakapitu"/>
    <w:link w:val="Tekstkomentarza"/>
    <w:uiPriority w:val="99"/>
    <w:rsid w:val="00EB6BE4"/>
    <w:rPr>
      <w:rFonts w:ascii="Times" w:eastAsia="Times New Roman" w:hAnsi="Times" w:cs="Times New Roman"/>
      <w:kern w:val="0"/>
      <w:szCs w:val="24"/>
      <w14:ligatures w14:val="none"/>
    </w:rPr>
  </w:style>
  <w:style w:type="paragraph" w:styleId="Tematkomentarza">
    <w:name w:val="annotation subject"/>
    <w:basedOn w:val="Tekstkomentarza"/>
    <w:next w:val="Tekstkomentarza"/>
    <w:link w:val="TematkomentarzaZnak"/>
    <w:uiPriority w:val="99"/>
    <w:semiHidden/>
    <w:unhideWhenUsed/>
    <w:rsid w:val="00422868"/>
    <w:pPr>
      <w:spacing w:after="160" w:line="240" w:lineRule="auto"/>
    </w:pPr>
    <w:rPr>
      <w:rFonts w:asciiTheme="minorHAnsi" w:eastAsiaTheme="minorHAnsi" w:hAnsiTheme="minorHAnsi" w:cstheme="minorBidi"/>
      <w:b/>
      <w:bCs/>
      <w:kern w:val="2"/>
      <w:sz w:val="20"/>
      <w:szCs w:val="20"/>
      <w14:ligatures w14:val="standardContextual"/>
    </w:rPr>
  </w:style>
  <w:style w:type="character" w:customStyle="1" w:styleId="TematkomentarzaZnak">
    <w:name w:val="Temat komentarza Znak"/>
    <w:basedOn w:val="TekstkomentarzaZnak"/>
    <w:link w:val="Tematkomentarza"/>
    <w:uiPriority w:val="99"/>
    <w:semiHidden/>
    <w:rsid w:val="00422868"/>
    <w:rPr>
      <w:rFonts w:ascii="Times" w:eastAsia="Times New Roman" w:hAnsi="Times" w:cs="Times New Roman"/>
      <w:b/>
      <w:bCs/>
      <w:kern w:val="0"/>
      <w:sz w:val="20"/>
      <w:szCs w:val="20"/>
      <w14:ligatures w14:val="none"/>
    </w:rPr>
  </w:style>
  <w:style w:type="paragraph" w:customStyle="1" w:styleId="PKTpunkt">
    <w:name w:val="PKT – punkt"/>
    <w:uiPriority w:val="13"/>
    <w:qFormat/>
    <w:rsid w:val="003D2111"/>
    <w:pPr>
      <w:spacing w:after="0" w:line="360" w:lineRule="auto"/>
      <w:ind w:left="510" w:hanging="510"/>
      <w:jc w:val="both"/>
    </w:pPr>
    <w:rPr>
      <w:rFonts w:ascii="Times" w:eastAsiaTheme="minorEastAsia" w:hAnsi="Times" w:cs="Arial"/>
      <w:bCs/>
      <w:kern w:val="0"/>
      <w:sz w:val="24"/>
      <w:szCs w:val="20"/>
      <w:lang w:eastAsia="pl-PL"/>
      <w14:ligatures w14:val="none"/>
    </w:rPr>
  </w:style>
  <w:style w:type="paragraph" w:customStyle="1" w:styleId="ZUSTzmustartykuempunktem">
    <w:name w:val="Z/UST(§) – zm. ust. (§) artykułem (punktem)"/>
    <w:basedOn w:val="Normalny"/>
    <w:uiPriority w:val="30"/>
    <w:qFormat/>
    <w:rsid w:val="003D2111"/>
    <w:pPr>
      <w:suppressAutoHyphens/>
      <w:autoSpaceDE w:val="0"/>
      <w:autoSpaceDN w:val="0"/>
      <w:adjustRightInd w:val="0"/>
      <w:spacing w:after="0" w:line="360" w:lineRule="auto"/>
      <w:ind w:left="510" w:firstLine="510"/>
      <w:jc w:val="both"/>
    </w:pPr>
    <w:rPr>
      <w:rFonts w:ascii="Times" w:eastAsiaTheme="minorEastAsia" w:hAnsi="Times" w:cs="Arial"/>
      <w:kern w:val="0"/>
      <w:sz w:val="24"/>
      <w:szCs w:val="20"/>
      <w:lang w:eastAsia="pl-PL"/>
      <w14:ligatures w14:val="none"/>
    </w:rPr>
  </w:style>
  <w:style w:type="character" w:customStyle="1" w:styleId="AkapitzlistZnak">
    <w:name w:val="Akapit z listą Znak"/>
    <w:aliases w:val="Wyliczanie Znak,List Paragraph Znak,BulletC Znak,Listaszerű bekezdés1 Znak,List Paragraph à moi Znak,Dot pt Znak,F5 List Paragraph Znak,Numbered Para 1 Znak,No Spacing1 Znak,List Paragraph Char Char Char Znak,Indicator Text Znak"/>
    <w:link w:val="Akapitzlist"/>
    <w:uiPriority w:val="1"/>
    <w:qFormat/>
    <w:locked/>
    <w:rsid w:val="00961F72"/>
  </w:style>
  <w:style w:type="paragraph" w:styleId="Nagwekspisutreci">
    <w:name w:val="TOC Heading"/>
    <w:basedOn w:val="Nagwek1"/>
    <w:next w:val="Normalny"/>
    <w:uiPriority w:val="39"/>
    <w:unhideWhenUsed/>
    <w:qFormat/>
    <w:rsid w:val="006D600F"/>
    <w:pPr>
      <w:spacing w:before="240" w:after="0"/>
      <w:outlineLvl w:val="9"/>
    </w:pPr>
    <w:rPr>
      <w:kern w:val="0"/>
      <w:sz w:val="32"/>
      <w:szCs w:val="32"/>
      <w:lang w:eastAsia="pl-PL"/>
      <w14:ligatures w14:val="none"/>
    </w:rPr>
  </w:style>
  <w:style w:type="paragraph" w:styleId="Spistreci1">
    <w:name w:val="toc 1"/>
    <w:basedOn w:val="Normalny"/>
    <w:next w:val="Normalny"/>
    <w:autoRedefine/>
    <w:uiPriority w:val="39"/>
    <w:unhideWhenUsed/>
    <w:rsid w:val="004C765C"/>
    <w:pPr>
      <w:tabs>
        <w:tab w:val="left" w:pos="480"/>
        <w:tab w:val="right" w:leader="dot" w:pos="9062"/>
      </w:tabs>
      <w:spacing w:after="100"/>
    </w:pPr>
  </w:style>
  <w:style w:type="character" w:styleId="Hipercze">
    <w:name w:val="Hyperlink"/>
    <w:basedOn w:val="Domylnaczcionkaakapitu"/>
    <w:uiPriority w:val="99"/>
    <w:unhideWhenUsed/>
    <w:rsid w:val="006D600F"/>
    <w:rPr>
      <w:color w:val="467886" w:themeColor="hyperlink"/>
      <w:u w:val="single"/>
    </w:rPr>
  </w:style>
  <w:style w:type="paragraph" w:customStyle="1" w:styleId="ARTartustawynprozporzdzenia">
    <w:name w:val="ART(§) – art. ustawy (§ np. rozporządzenia)"/>
    <w:uiPriority w:val="11"/>
    <w:qFormat/>
    <w:rsid w:val="004706E3"/>
    <w:pPr>
      <w:suppressAutoHyphens/>
      <w:autoSpaceDE w:val="0"/>
      <w:autoSpaceDN w:val="0"/>
      <w:adjustRightInd w:val="0"/>
      <w:spacing w:before="120" w:after="0" w:line="360" w:lineRule="auto"/>
      <w:ind w:firstLine="510"/>
      <w:jc w:val="both"/>
    </w:pPr>
    <w:rPr>
      <w:rFonts w:ascii="Times" w:eastAsiaTheme="minorEastAsia" w:hAnsi="Times" w:cs="Arial"/>
      <w:kern w:val="0"/>
      <w:sz w:val="24"/>
      <w:szCs w:val="20"/>
      <w:lang w:eastAsia="pl-PL"/>
      <w14:ligatures w14:val="none"/>
    </w:rPr>
  </w:style>
  <w:style w:type="paragraph" w:customStyle="1" w:styleId="Styl1">
    <w:name w:val="Styl1"/>
    <w:basedOn w:val="Nagwek2"/>
    <w:link w:val="Styl1Znak"/>
    <w:qFormat/>
    <w:rsid w:val="007050F8"/>
    <w:rPr>
      <w:rFonts w:ascii="Times New Roman" w:hAnsi="Times New Roman" w:cs="Times New Roman"/>
      <w:b/>
      <w:bCs/>
      <w:color w:val="auto"/>
      <w:sz w:val="22"/>
      <w:szCs w:val="22"/>
    </w:rPr>
  </w:style>
  <w:style w:type="character" w:customStyle="1" w:styleId="Styl1Znak">
    <w:name w:val="Styl1 Znak"/>
    <w:basedOn w:val="Nagwek2Znak"/>
    <w:link w:val="Styl1"/>
    <w:rsid w:val="007050F8"/>
    <w:rPr>
      <w:rFonts w:ascii="Times New Roman" w:eastAsiaTheme="majorEastAsia" w:hAnsi="Times New Roman" w:cs="Times New Roman"/>
      <w:b/>
      <w:bCs/>
      <w:color w:val="0F4761" w:themeColor="accent1" w:themeShade="BF"/>
      <w:sz w:val="32"/>
      <w:szCs w:val="32"/>
    </w:rPr>
  </w:style>
  <w:style w:type="paragraph" w:styleId="Spistreci2">
    <w:name w:val="toc 2"/>
    <w:basedOn w:val="Normalny"/>
    <w:next w:val="Normalny"/>
    <w:autoRedefine/>
    <w:uiPriority w:val="39"/>
    <w:unhideWhenUsed/>
    <w:rsid w:val="003D6CD6"/>
    <w:pPr>
      <w:tabs>
        <w:tab w:val="right" w:leader="dot" w:pos="9062"/>
      </w:tabs>
      <w:spacing w:after="100"/>
      <w:ind w:left="220"/>
    </w:pPr>
  </w:style>
  <w:style w:type="paragraph" w:styleId="Bezodstpw">
    <w:name w:val="No Spacing"/>
    <w:uiPriority w:val="1"/>
    <w:qFormat/>
    <w:rsid w:val="0009233A"/>
    <w:pPr>
      <w:spacing w:after="0" w:line="240" w:lineRule="auto"/>
    </w:pPr>
  </w:style>
  <w:style w:type="paragraph" w:customStyle="1" w:styleId="pf0">
    <w:name w:val="pf0"/>
    <w:basedOn w:val="Normalny"/>
    <w:rsid w:val="007773B4"/>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cf01">
    <w:name w:val="cf01"/>
    <w:basedOn w:val="Domylnaczcionkaakapitu"/>
    <w:rsid w:val="007773B4"/>
    <w:rPr>
      <w:rFonts w:ascii="Segoe UI" w:hAnsi="Segoe UI" w:cs="Segoe UI" w:hint="default"/>
      <w:sz w:val="18"/>
      <w:szCs w:val="18"/>
    </w:rPr>
  </w:style>
  <w:style w:type="paragraph" w:styleId="Tekstprzypisudolnego">
    <w:name w:val="footnote text"/>
    <w:basedOn w:val="Normalny"/>
    <w:link w:val="TekstprzypisudolnegoZnak"/>
    <w:uiPriority w:val="99"/>
    <w:semiHidden/>
    <w:unhideWhenUsed/>
    <w:rsid w:val="00B2044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20442"/>
    <w:rPr>
      <w:sz w:val="20"/>
      <w:szCs w:val="20"/>
    </w:rPr>
  </w:style>
  <w:style w:type="character" w:styleId="Odwoanieprzypisudolnego">
    <w:name w:val="footnote reference"/>
    <w:uiPriority w:val="99"/>
    <w:semiHidden/>
    <w:unhideWhenUsed/>
    <w:rsid w:val="003E3BBC"/>
    <w:rPr>
      <w:vertAlign w:val="superscript"/>
    </w:rPr>
  </w:style>
  <w:style w:type="character" w:customStyle="1" w:styleId="highlight">
    <w:name w:val="highlight"/>
    <w:basedOn w:val="Domylnaczcionkaakapitu"/>
    <w:rsid w:val="00CE035F"/>
  </w:style>
  <w:style w:type="character" w:customStyle="1" w:styleId="markedcontent">
    <w:name w:val="markedcontent"/>
    <w:basedOn w:val="Domylnaczcionkaakapitu"/>
    <w:rsid w:val="00D4107A"/>
  </w:style>
  <w:style w:type="paragraph" w:styleId="Poprawka">
    <w:name w:val="Revision"/>
    <w:hidden/>
    <w:uiPriority w:val="99"/>
    <w:semiHidden/>
    <w:rsid w:val="007E5F33"/>
    <w:pPr>
      <w:spacing w:after="0" w:line="240" w:lineRule="auto"/>
    </w:pPr>
  </w:style>
  <w:style w:type="character" w:styleId="Nierozpoznanawzmianka">
    <w:name w:val="Unresolved Mention"/>
    <w:basedOn w:val="Domylnaczcionkaakapitu"/>
    <w:uiPriority w:val="99"/>
    <w:semiHidden/>
    <w:unhideWhenUsed/>
    <w:rsid w:val="00812343"/>
    <w:rPr>
      <w:color w:val="605E5C"/>
      <w:shd w:val="clear" w:color="auto" w:fill="E1DFDD"/>
    </w:rPr>
  </w:style>
  <w:style w:type="character" w:styleId="UyteHipercze">
    <w:name w:val="FollowedHyperlink"/>
    <w:basedOn w:val="Domylnaczcionkaakapitu"/>
    <w:uiPriority w:val="99"/>
    <w:semiHidden/>
    <w:unhideWhenUsed/>
    <w:rsid w:val="00812343"/>
    <w:rPr>
      <w:color w:val="96607D" w:themeColor="followedHyperlink"/>
      <w:u w:val="single"/>
    </w:rPr>
  </w:style>
  <w:style w:type="paragraph" w:styleId="Nagwek">
    <w:name w:val="header"/>
    <w:basedOn w:val="Normalny"/>
    <w:link w:val="NagwekZnak"/>
    <w:uiPriority w:val="99"/>
    <w:unhideWhenUsed/>
    <w:rsid w:val="00A773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77374"/>
  </w:style>
  <w:style w:type="paragraph" w:styleId="Stopka">
    <w:name w:val="footer"/>
    <w:basedOn w:val="Normalny"/>
    <w:link w:val="StopkaZnak"/>
    <w:uiPriority w:val="99"/>
    <w:unhideWhenUsed/>
    <w:rsid w:val="00A773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7374"/>
  </w:style>
  <w:style w:type="character" w:customStyle="1" w:styleId="Ppogrubienie">
    <w:name w:val="_P_ – pogrubienie"/>
    <w:basedOn w:val="Domylnaczcionkaakapitu"/>
    <w:uiPriority w:val="1"/>
    <w:qFormat/>
    <w:rsid w:val="00330BAE"/>
    <w:rPr>
      <w:b/>
    </w:rPr>
  </w:style>
  <w:style w:type="paragraph" w:customStyle="1" w:styleId="Default">
    <w:name w:val="Default"/>
    <w:rsid w:val="00680B6F"/>
    <w:pPr>
      <w:autoSpaceDE w:val="0"/>
      <w:autoSpaceDN w:val="0"/>
      <w:adjustRightInd w:val="0"/>
      <w:spacing w:after="0" w:line="240" w:lineRule="auto"/>
    </w:pPr>
    <w:rPr>
      <w:rFonts w:ascii="Arial" w:hAnsi="Arial" w:cs="Arial"/>
      <w:color w:val="000000"/>
      <w:kern w:val="0"/>
      <w:sz w:val="24"/>
      <w:szCs w:val="24"/>
    </w:rPr>
  </w:style>
  <w:style w:type="paragraph" w:customStyle="1" w:styleId="USTustnpkodeksu">
    <w:name w:val="UST(§) – ust. (§ np. kodeksu)"/>
    <w:basedOn w:val="ARTartustawynprozporzdzenia"/>
    <w:uiPriority w:val="12"/>
    <w:qFormat/>
    <w:rsid w:val="009D00A2"/>
    <w:pPr>
      <w:spacing w:before="0"/>
    </w:pPr>
    <w:rPr>
      <w:bCs/>
    </w:rPr>
  </w:style>
  <w:style w:type="paragraph" w:customStyle="1" w:styleId="ZCZWSPPKTzmczciwsppktartykuempunktem">
    <w:name w:val="Z/CZ_WSP_PKT – zm. części wsp. pkt artykułem (punktem)"/>
    <w:basedOn w:val="Normalny"/>
    <w:next w:val="Normalny"/>
    <w:uiPriority w:val="34"/>
    <w:qFormat/>
    <w:rsid w:val="00475ED7"/>
    <w:pPr>
      <w:spacing w:after="0" w:line="360" w:lineRule="auto"/>
      <w:ind w:left="510"/>
      <w:jc w:val="both"/>
    </w:pPr>
    <w:rPr>
      <w:rFonts w:ascii="Times" w:eastAsiaTheme="minorEastAsia" w:hAnsi="Times" w:cs="Arial"/>
      <w:bCs/>
      <w:kern w:val="0"/>
      <w:sz w:val="24"/>
      <w:szCs w:val="20"/>
      <w:lang w:eastAsia="pl-PL"/>
      <w14:ligatures w14:val="none"/>
    </w:rPr>
  </w:style>
  <w:style w:type="paragraph" w:styleId="Tekstdymka">
    <w:name w:val="Balloon Text"/>
    <w:basedOn w:val="Normalny"/>
    <w:link w:val="TekstdymkaZnak"/>
    <w:uiPriority w:val="99"/>
    <w:semiHidden/>
    <w:unhideWhenUsed/>
    <w:rsid w:val="00964F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64F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37814">
      <w:bodyDiv w:val="1"/>
      <w:marLeft w:val="0"/>
      <w:marRight w:val="0"/>
      <w:marTop w:val="0"/>
      <w:marBottom w:val="0"/>
      <w:divBdr>
        <w:top w:val="none" w:sz="0" w:space="0" w:color="auto"/>
        <w:left w:val="none" w:sz="0" w:space="0" w:color="auto"/>
        <w:bottom w:val="none" w:sz="0" w:space="0" w:color="auto"/>
        <w:right w:val="none" w:sz="0" w:space="0" w:color="auto"/>
      </w:divBdr>
    </w:div>
    <w:div w:id="43220009">
      <w:bodyDiv w:val="1"/>
      <w:marLeft w:val="0"/>
      <w:marRight w:val="0"/>
      <w:marTop w:val="0"/>
      <w:marBottom w:val="0"/>
      <w:divBdr>
        <w:top w:val="none" w:sz="0" w:space="0" w:color="auto"/>
        <w:left w:val="none" w:sz="0" w:space="0" w:color="auto"/>
        <w:bottom w:val="none" w:sz="0" w:space="0" w:color="auto"/>
        <w:right w:val="none" w:sz="0" w:space="0" w:color="auto"/>
      </w:divBdr>
    </w:div>
    <w:div w:id="43455392">
      <w:bodyDiv w:val="1"/>
      <w:marLeft w:val="0"/>
      <w:marRight w:val="0"/>
      <w:marTop w:val="0"/>
      <w:marBottom w:val="0"/>
      <w:divBdr>
        <w:top w:val="none" w:sz="0" w:space="0" w:color="auto"/>
        <w:left w:val="none" w:sz="0" w:space="0" w:color="auto"/>
        <w:bottom w:val="none" w:sz="0" w:space="0" w:color="auto"/>
        <w:right w:val="none" w:sz="0" w:space="0" w:color="auto"/>
      </w:divBdr>
    </w:div>
    <w:div w:id="135801978">
      <w:bodyDiv w:val="1"/>
      <w:marLeft w:val="0"/>
      <w:marRight w:val="0"/>
      <w:marTop w:val="0"/>
      <w:marBottom w:val="0"/>
      <w:divBdr>
        <w:top w:val="none" w:sz="0" w:space="0" w:color="auto"/>
        <w:left w:val="none" w:sz="0" w:space="0" w:color="auto"/>
        <w:bottom w:val="none" w:sz="0" w:space="0" w:color="auto"/>
        <w:right w:val="none" w:sz="0" w:space="0" w:color="auto"/>
      </w:divBdr>
    </w:div>
    <w:div w:id="135880118">
      <w:bodyDiv w:val="1"/>
      <w:marLeft w:val="0"/>
      <w:marRight w:val="0"/>
      <w:marTop w:val="0"/>
      <w:marBottom w:val="0"/>
      <w:divBdr>
        <w:top w:val="none" w:sz="0" w:space="0" w:color="auto"/>
        <w:left w:val="none" w:sz="0" w:space="0" w:color="auto"/>
        <w:bottom w:val="none" w:sz="0" w:space="0" w:color="auto"/>
        <w:right w:val="none" w:sz="0" w:space="0" w:color="auto"/>
      </w:divBdr>
    </w:div>
    <w:div w:id="148644023">
      <w:bodyDiv w:val="1"/>
      <w:marLeft w:val="0"/>
      <w:marRight w:val="0"/>
      <w:marTop w:val="0"/>
      <w:marBottom w:val="0"/>
      <w:divBdr>
        <w:top w:val="none" w:sz="0" w:space="0" w:color="auto"/>
        <w:left w:val="none" w:sz="0" w:space="0" w:color="auto"/>
        <w:bottom w:val="none" w:sz="0" w:space="0" w:color="auto"/>
        <w:right w:val="none" w:sz="0" w:space="0" w:color="auto"/>
      </w:divBdr>
    </w:div>
    <w:div w:id="214899801">
      <w:bodyDiv w:val="1"/>
      <w:marLeft w:val="0"/>
      <w:marRight w:val="0"/>
      <w:marTop w:val="0"/>
      <w:marBottom w:val="0"/>
      <w:divBdr>
        <w:top w:val="none" w:sz="0" w:space="0" w:color="auto"/>
        <w:left w:val="none" w:sz="0" w:space="0" w:color="auto"/>
        <w:bottom w:val="none" w:sz="0" w:space="0" w:color="auto"/>
        <w:right w:val="none" w:sz="0" w:space="0" w:color="auto"/>
      </w:divBdr>
    </w:div>
    <w:div w:id="252472264">
      <w:bodyDiv w:val="1"/>
      <w:marLeft w:val="0"/>
      <w:marRight w:val="0"/>
      <w:marTop w:val="0"/>
      <w:marBottom w:val="0"/>
      <w:divBdr>
        <w:top w:val="none" w:sz="0" w:space="0" w:color="auto"/>
        <w:left w:val="none" w:sz="0" w:space="0" w:color="auto"/>
        <w:bottom w:val="none" w:sz="0" w:space="0" w:color="auto"/>
        <w:right w:val="none" w:sz="0" w:space="0" w:color="auto"/>
      </w:divBdr>
    </w:div>
    <w:div w:id="438647773">
      <w:bodyDiv w:val="1"/>
      <w:marLeft w:val="0"/>
      <w:marRight w:val="0"/>
      <w:marTop w:val="0"/>
      <w:marBottom w:val="0"/>
      <w:divBdr>
        <w:top w:val="none" w:sz="0" w:space="0" w:color="auto"/>
        <w:left w:val="none" w:sz="0" w:space="0" w:color="auto"/>
        <w:bottom w:val="none" w:sz="0" w:space="0" w:color="auto"/>
        <w:right w:val="none" w:sz="0" w:space="0" w:color="auto"/>
      </w:divBdr>
    </w:div>
    <w:div w:id="680863536">
      <w:bodyDiv w:val="1"/>
      <w:marLeft w:val="0"/>
      <w:marRight w:val="0"/>
      <w:marTop w:val="0"/>
      <w:marBottom w:val="0"/>
      <w:divBdr>
        <w:top w:val="none" w:sz="0" w:space="0" w:color="auto"/>
        <w:left w:val="none" w:sz="0" w:space="0" w:color="auto"/>
        <w:bottom w:val="none" w:sz="0" w:space="0" w:color="auto"/>
        <w:right w:val="none" w:sz="0" w:space="0" w:color="auto"/>
      </w:divBdr>
    </w:div>
    <w:div w:id="682099057">
      <w:bodyDiv w:val="1"/>
      <w:marLeft w:val="0"/>
      <w:marRight w:val="0"/>
      <w:marTop w:val="0"/>
      <w:marBottom w:val="0"/>
      <w:divBdr>
        <w:top w:val="none" w:sz="0" w:space="0" w:color="auto"/>
        <w:left w:val="none" w:sz="0" w:space="0" w:color="auto"/>
        <w:bottom w:val="none" w:sz="0" w:space="0" w:color="auto"/>
        <w:right w:val="none" w:sz="0" w:space="0" w:color="auto"/>
      </w:divBdr>
    </w:div>
    <w:div w:id="839006530">
      <w:bodyDiv w:val="1"/>
      <w:marLeft w:val="0"/>
      <w:marRight w:val="0"/>
      <w:marTop w:val="0"/>
      <w:marBottom w:val="0"/>
      <w:divBdr>
        <w:top w:val="none" w:sz="0" w:space="0" w:color="auto"/>
        <w:left w:val="none" w:sz="0" w:space="0" w:color="auto"/>
        <w:bottom w:val="none" w:sz="0" w:space="0" w:color="auto"/>
        <w:right w:val="none" w:sz="0" w:space="0" w:color="auto"/>
      </w:divBdr>
    </w:div>
    <w:div w:id="961499499">
      <w:bodyDiv w:val="1"/>
      <w:marLeft w:val="0"/>
      <w:marRight w:val="0"/>
      <w:marTop w:val="0"/>
      <w:marBottom w:val="0"/>
      <w:divBdr>
        <w:top w:val="none" w:sz="0" w:space="0" w:color="auto"/>
        <w:left w:val="none" w:sz="0" w:space="0" w:color="auto"/>
        <w:bottom w:val="none" w:sz="0" w:space="0" w:color="auto"/>
        <w:right w:val="none" w:sz="0" w:space="0" w:color="auto"/>
      </w:divBdr>
    </w:div>
    <w:div w:id="972711740">
      <w:bodyDiv w:val="1"/>
      <w:marLeft w:val="0"/>
      <w:marRight w:val="0"/>
      <w:marTop w:val="0"/>
      <w:marBottom w:val="0"/>
      <w:divBdr>
        <w:top w:val="none" w:sz="0" w:space="0" w:color="auto"/>
        <w:left w:val="none" w:sz="0" w:space="0" w:color="auto"/>
        <w:bottom w:val="none" w:sz="0" w:space="0" w:color="auto"/>
        <w:right w:val="none" w:sz="0" w:space="0" w:color="auto"/>
      </w:divBdr>
    </w:div>
    <w:div w:id="1352292406">
      <w:bodyDiv w:val="1"/>
      <w:marLeft w:val="0"/>
      <w:marRight w:val="0"/>
      <w:marTop w:val="0"/>
      <w:marBottom w:val="0"/>
      <w:divBdr>
        <w:top w:val="none" w:sz="0" w:space="0" w:color="auto"/>
        <w:left w:val="none" w:sz="0" w:space="0" w:color="auto"/>
        <w:bottom w:val="none" w:sz="0" w:space="0" w:color="auto"/>
        <w:right w:val="none" w:sz="0" w:space="0" w:color="auto"/>
      </w:divBdr>
    </w:div>
    <w:div w:id="1355352020">
      <w:bodyDiv w:val="1"/>
      <w:marLeft w:val="0"/>
      <w:marRight w:val="0"/>
      <w:marTop w:val="0"/>
      <w:marBottom w:val="0"/>
      <w:divBdr>
        <w:top w:val="none" w:sz="0" w:space="0" w:color="auto"/>
        <w:left w:val="none" w:sz="0" w:space="0" w:color="auto"/>
        <w:bottom w:val="none" w:sz="0" w:space="0" w:color="auto"/>
        <w:right w:val="none" w:sz="0" w:space="0" w:color="auto"/>
      </w:divBdr>
    </w:div>
    <w:div w:id="1494374362">
      <w:bodyDiv w:val="1"/>
      <w:marLeft w:val="0"/>
      <w:marRight w:val="0"/>
      <w:marTop w:val="0"/>
      <w:marBottom w:val="0"/>
      <w:divBdr>
        <w:top w:val="none" w:sz="0" w:space="0" w:color="auto"/>
        <w:left w:val="none" w:sz="0" w:space="0" w:color="auto"/>
        <w:bottom w:val="none" w:sz="0" w:space="0" w:color="auto"/>
        <w:right w:val="none" w:sz="0" w:space="0" w:color="auto"/>
      </w:divBdr>
    </w:div>
    <w:div w:id="1523515529">
      <w:bodyDiv w:val="1"/>
      <w:marLeft w:val="0"/>
      <w:marRight w:val="0"/>
      <w:marTop w:val="0"/>
      <w:marBottom w:val="0"/>
      <w:divBdr>
        <w:top w:val="none" w:sz="0" w:space="0" w:color="auto"/>
        <w:left w:val="none" w:sz="0" w:space="0" w:color="auto"/>
        <w:bottom w:val="none" w:sz="0" w:space="0" w:color="auto"/>
        <w:right w:val="none" w:sz="0" w:space="0" w:color="auto"/>
      </w:divBdr>
    </w:div>
    <w:div w:id="1704819238">
      <w:bodyDiv w:val="1"/>
      <w:marLeft w:val="0"/>
      <w:marRight w:val="0"/>
      <w:marTop w:val="0"/>
      <w:marBottom w:val="0"/>
      <w:divBdr>
        <w:top w:val="none" w:sz="0" w:space="0" w:color="auto"/>
        <w:left w:val="none" w:sz="0" w:space="0" w:color="auto"/>
        <w:bottom w:val="none" w:sz="0" w:space="0" w:color="auto"/>
        <w:right w:val="none" w:sz="0" w:space="0" w:color="auto"/>
      </w:divBdr>
    </w:div>
    <w:div w:id="1719552834">
      <w:bodyDiv w:val="1"/>
      <w:marLeft w:val="0"/>
      <w:marRight w:val="0"/>
      <w:marTop w:val="0"/>
      <w:marBottom w:val="0"/>
      <w:divBdr>
        <w:top w:val="none" w:sz="0" w:space="0" w:color="auto"/>
        <w:left w:val="none" w:sz="0" w:space="0" w:color="auto"/>
        <w:bottom w:val="none" w:sz="0" w:space="0" w:color="auto"/>
        <w:right w:val="none" w:sz="0" w:space="0" w:color="auto"/>
      </w:divBdr>
    </w:div>
    <w:div w:id="1812288380">
      <w:bodyDiv w:val="1"/>
      <w:marLeft w:val="0"/>
      <w:marRight w:val="0"/>
      <w:marTop w:val="0"/>
      <w:marBottom w:val="0"/>
      <w:divBdr>
        <w:top w:val="none" w:sz="0" w:space="0" w:color="auto"/>
        <w:left w:val="none" w:sz="0" w:space="0" w:color="auto"/>
        <w:bottom w:val="none" w:sz="0" w:space="0" w:color="auto"/>
        <w:right w:val="none" w:sz="0" w:space="0" w:color="auto"/>
      </w:divBdr>
    </w:div>
    <w:div w:id="1815562587">
      <w:bodyDiv w:val="1"/>
      <w:marLeft w:val="0"/>
      <w:marRight w:val="0"/>
      <w:marTop w:val="0"/>
      <w:marBottom w:val="0"/>
      <w:divBdr>
        <w:top w:val="none" w:sz="0" w:space="0" w:color="auto"/>
        <w:left w:val="none" w:sz="0" w:space="0" w:color="auto"/>
        <w:bottom w:val="none" w:sz="0" w:space="0" w:color="auto"/>
        <w:right w:val="none" w:sz="0" w:space="0" w:color="auto"/>
      </w:divBdr>
    </w:div>
    <w:div w:id="1854373279">
      <w:bodyDiv w:val="1"/>
      <w:marLeft w:val="0"/>
      <w:marRight w:val="0"/>
      <w:marTop w:val="0"/>
      <w:marBottom w:val="0"/>
      <w:divBdr>
        <w:top w:val="none" w:sz="0" w:space="0" w:color="auto"/>
        <w:left w:val="none" w:sz="0" w:space="0" w:color="auto"/>
        <w:bottom w:val="none" w:sz="0" w:space="0" w:color="auto"/>
        <w:right w:val="none" w:sz="0" w:space="0" w:color="auto"/>
      </w:divBdr>
    </w:div>
    <w:div w:id="2068458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55A50-FA3F-4591-B9C1-C45F931E0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72</Pages>
  <Words>26436</Words>
  <Characters>158620</Characters>
  <Application>Microsoft Office Word</Application>
  <DocSecurity>0</DocSecurity>
  <Lines>1321</Lines>
  <Paragraphs>369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Mariańska-Hołymczuk Magdalena</dc:creator>
  <cp:keywords/>
  <dc:description/>
  <cp:lastModifiedBy>Kołakowska Iwona</cp:lastModifiedBy>
  <cp:revision>3</cp:revision>
  <cp:lastPrinted>2024-07-25T08:46:00Z</cp:lastPrinted>
  <dcterms:created xsi:type="dcterms:W3CDTF">2025-03-13T07:24:00Z</dcterms:created>
  <dcterms:modified xsi:type="dcterms:W3CDTF">2025-03-13T07:25:00Z</dcterms:modified>
</cp:coreProperties>
</file>