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77"/>
        <w:gridCol w:w="111"/>
        <w:gridCol w:w="151"/>
        <w:gridCol w:w="300"/>
        <w:gridCol w:w="353"/>
        <w:gridCol w:w="217"/>
        <w:gridCol w:w="570"/>
        <w:gridCol w:w="80"/>
        <w:gridCol w:w="71"/>
        <w:gridCol w:w="419"/>
        <w:gridCol w:w="113"/>
        <w:gridCol w:w="405"/>
        <w:gridCol w:w="51"/>
        <w:gridCol w:w="266"/>
        <w:gridCol w:w="437"/>
        <w:gridCol w:w="184"/>
        <w:gridCol w:w="525"/>
        <w:gridCol w:w="708"/>
        <w:gridCol w:w="1127"/>
        <w:gridCol w:w="10"/>
      </w:tblGrid>
      <w:tr w:rsidR="006A701A" w:rsidRPr="00A87B3A" w14:paraId="543CF14B" w14:textId="77777777" w:rsidTr="00676C8D">
        <w:trPr>
          <w:gridAfter w:val="1"/>
          <w:wAfter w:w="10" w:type="dxa"/>
          <w:trHeight w:val="1611"/>
        </w:trPr>
        <w:tc>
          <w:tcPr>
            <w:tcW w:w="6631" w:type="dxa"/>
            <w:gridSpan w:val="16"/>
          </w:tcPr>
          <w:p w14:paraId="722B91EF" w14:textId="77777777" w:rsidR="006A701A" w:rsidRPr="00A87B3A" w:rsidRDefault="006A701A" w:rsidP="009629CE">
            <w:pPr>
              <w:spacing w:line="240" w:lineRule="auto"/>
              <w:ind w:hanging="45"/>
              <w:rPr>
                <w:rFonts w:ascii="Times New Roman" w:hAnsi="Times New Roman"/>
                <w:color w:val="000000"/>
              </w:rPr>
            </w:pPr>
            <w:bookmarkStart w:id="0" w:name="t1"/>
            <w:r w:rsidRPr="00A87B3A">
              <w:rPr>
                <w:rFonts w:ascii="Times New Roman" w:hAnsi="Times New Roman"/>
                <w:b/>
                <w:color w:val="000000"/>
              </w:rPr>
              <w:t xml:space="preserve">Nazwa </w:t>
            </w:r>
            <w:r w:rsidR="001B75D8" w:rsidRPr="00A87B3A">
              <w:rPr>
                <w:rFonts w:ascii="Times New Roman" w:hAnsi="Times New Roman"/>
                <w:b/>
                <w:color w:val="000000"/>
              </w:rPr>
              <w:t>projektu</w:t>
            </w:r>
          </w:p>
          <w:p w14:paraId="6687D156" w14:textId="77777777" w:rsidR="000879AA" w:rsidRDefault="000879AA" w:rsidP="009629CE">
            <w:pPr>
              <w:spacing w:line="240" w:lineRule="auto"/>
              <w:ind w:hanging="45"/>
              <w:rPr>
                <w:rFonts w:ascii="Times New Roman" w:hAnsi="Times New Roman"/>
                <w:bCs/>
                <w:color w:val="000000"/>
              </w:rPr>
            </w:pPr>
            <w:r w:rsidRPr="000879AA">
              <w:rPr>
                <w:rFonts w:ascii="Times New Roman" w:hAnsi="Times New Roman"/>
                <w:bCs/>
                <w:color w:val="000000"/>
              </w:rPr>
              <w:t>Projekt ustawy o zmianie ustawy o promowaniu wytwarzania energii elektrycznej w morskich farmach wiatrowych oraz niektórych innych ustaw</w:t>
            </w:r>
          </w:p>
          <w:p w14:paraId="4367296F" w14:textId="77777777" w:rsidR="00AB2D33" w:rsidRDefault="00AB2D33" w:rsidP="009629CE">
            <w:pPr>
              <w:spacing w:line="240" w:lineRule="auto"/>
              <w:ind w:hanging="45"/>
              <w:rPr>
                <w:rFonts w:ascii="Times New Roman" w:hAnsi="Times New Roman"/>
                <w:bCs/>
                <w:color w:val="000000"/>
              </w:rPr>
            </w:pPr>
          </w:p>
          <w:p w14:paraId="276A2334" w14:textId="3AF1BA60" w:rsidR="006A701A" w:rsidRPr="00A87B3A" w:rsidRDefault="006A701A" w:rsidP="009629CE">
            <w:pPr>
              <w:spacing w:line="240" w:lineRule="auto"/>
              <w:ind w:hanging="45"/>
              <w:rPr>
                <w:rFonts w:ascii="Times New Roman" w:hAnsi="Times New Roman"/>
                <w:b/>
                <w:color w:val="000000"/>
              </w:rPr>
            </w:pPr>
            <w:r w:rsidRPr="00A87B3A">
              <w:rPr>
                <w:rFonts w:ascii="Times New Roman" w:hAnsi="Times New Roman"/>
                <w:b/>
                <w:color w:val="000000"/>
              </w:rPr>
              <w:t>Ministerstwo wiodące i ministerstwa współpracujące</w:t>
            </w:r>
          </w:p>
          <w:p w14:paraId="64145BEE" w14:textId="77777777" w:rsidR="00FC2027" w:rsidRPr="00FC2027" w:rsidRDefault="00FC2027" w:rsidP="00FC2027">
            <w:pPr>
              <w:spacing w:line="240" w:lineRule="auto"/>
              <w:ind w:hanging="45"/>
              <w:rPr>
                <w:rFonts w:ascii="Times New Roman" w:hAnsi="Times New Roman"/>
                <w:color w:val="000000"/>
              </w:rPr>
            </w:pPr>
            <w:r w:rsidRPr="00FC2027">
              <w:rPr>
                <w:rFonts w:ascii="Times New Roman" w:hAnsi="Times New Roman"/>
                <w:color w:val="000000"/>
              </w:rPr>
              <w:t>Ministerstwo Klimatu i Środowiska</w:t>
            </w:r>
          </w:p>
          <w:bookmarkEnd w:id="0"/>
          <w:p w14:paraId="2DD54C98" w14:textId="0A11B333" w:rsidR="006A701A" w:rsidRDefault="006A701A" w:rsidP="009629CE">
            <w:pPr>
              <w:spacing w:line="240" w:lineRule="auto"/>
              <w:ind w:hanging="34"/>
              <w:rPr>
                <w:rFonts w:ascii="Times New Roman" w:hAnsi="Times New Roman"/>
                <w:color w:val="000000"/>
              </w:rPr>
            </w:pPr>
          </w:p>
          <w:p w14:paraId="6B0813C8" w14:textId="77777777" w:rsidR="001B3460" w:rsidRPr="00A87B3A" w:rsidRDefault="001B3460" w:rsidP="009629CE">
            <w:pPr>
              <w:spacing w:line="240" w:lineRule="auto"/>
              <w:rPr>
                <w:rFonts w:ascii="Times New Roman" w:hAnsi="Times New Roman"/>
                <w:b/>
              </w:rPr>
            </w:pPr>
            <w:r w:rsidRPr="00A87B3A">
              <w:rPr>
                <w:rFonts w:ascii="Times New Roman" w:hAnsi="Times New Roman"/>
                <w:b/>
              </w:rPr>
              <w:t xml:space="preserve">Osoba odpowiedzialna za projekt w randze Ministra, Sekretarza Stanu lub Podsekretarza Stanu </w:t>
            </w:r>
          </w:p>
          <w:p w14:paraId="2FEBD55F" w14:textId="5F8E71FC" w:rsidR="001B3460" w:rsidRDefault="006E66CF" w:rsidP="009629CE">
            <w:pPr>
              <w:spacing w:line="240" w:lineRule="auto"/>
              <w:rPr>
                <w:rFonts w:ascii="Times New Roman" w:hAnsi="Times New Roman"/>
              </w:rPr>
            </w:pPr>
            <w:r>
              <w:rPr>
                <w:rFonts w:ascii="Times New Roman" w:hAnsi="Times New Roman"/>
              </w:rPr>
              <w:t>Miłosz Motyka – Podsekretarz Stanu</w:t>
            </w:r>
            <w:r w:rsidR="00AB2D33">
              <w:rPr>
                <w:rFonts w:ascii="Times New Roman" w:hAnsi="Times New Roman"/>
              </w:rPr>
              <w:t xml:space="preserve">, </w:t>
            </w:r>
            <w:r w:rsidR="00AB2D33" w:rsidRPr="00AB2D33">
              <w:rPr>
                <w:rFonts w:ascii="Times New Roman" w:hAnsi="Times New Roman"/>
              </w:rPr>
              <w:t>Ministerstwo Klimatu i Środowiska</w:t>
            </w:r>
          </w:p>
          <w:p w14:paraId="05655EC7" w14:textId="77777777" w:rsidR="00A87B3A" w:rsidRPr="00A87B3A" w:rsidRDefault="00A87B3A" w:rsidP="009629CE">
            <w:pPr>
              <w:spacing w:line="240" w:lineRule="auto"/>
              <w:rPr>
                <w:rFonts w:ascii="Times New Roman" w:hAnsi="Times New Roman"/>
              </w:rPr>
            </w:pPr>
          </w:p>
          <w:p w14:paraId="1CF1B3CA" w14:textId="77777777" w:rsidR="006A701A" w:rsidRDefault="006A701A" w:rsidP="009629CE">
            <w:pPr>
              <w:spacing w:line="240" w:lineRule="auto"/>
              <w:ind w:hanging="45"/>
              <w:rPr>
                <w:rFonts w:ascii="Times New Roman" w:hAnsi="Times New Roman"/>
                <w:b/>
                <w:color w:val="000000"/>
              </w:rPr>
            </w:pPr>
            <w:r w:rsidRPr="00A87B3A">
              <w:rPr>
                <w:rFonts w:ascii="Times New Roman" w:hAnsi="Times New Roman"/>
                <w:b/>
                <w:color w:val="000000"/>
              </w:rPr>
              <w:t>Kontakt do opiekuna merytorycznego projektu</w:t>
            </w:r>
          </w:p>
          <w:p w14:paraId="41F1714A" w14:textId="4E99D306" w:rsidR="000879AA" w:rsidRDefault="000879AA" w:rsidP="000879AA">
            <w:pPr>
              <w:spacing w:line="240" w:lineRule="auto"/>
              <w:ind w:hanging="34"/>
              <w:rPr>
                <w:rFonts w:ascii="Times New Roman" w:hAnsi="Times New Roman"/>
                <w:color w:val="000000"/>
              </w:rPr>
            </w:pPr>
            <w:r w:rsidRPr="000879AA">
              <w:rPr>
                <w:rFonts w:ascii="Times New Roman" w:hAnsi="Times New Roman"/>
                <w:color w:val="000000"/>
              </w:rPr>
              <w:t xml:space="preserve">Anna Latuszek </w:t>
            </w:r>
            <w:r w:rsidRPr="000879AA">
              <w:rPr>
                <w:rFonts w:ascii="Times New Roman" w:hAnsi="Times New Roman"/>
              </w:rPr>
              <w:t>–</w:t>
            </w:r>
            <w:r w:rsidRPr="000879AA">
              <w:rPr>
                <w:rFonts w:ascii="Times New Roman" w:hAnsi="Times New Roman"/>
                <w:color w:val="000000"/>
              </w:rPr>
              <w:t xml:space="preserve"> Zastępca Dyrektora Departamentu Odnawialnych Źródeł Energii, email: </w:t>
            </w:r>
            <w:hyperlink r:id="rId8" w:history="1">
              <w:r w:rsidR="00AB2D33" w:rsidRPr="00685F7D">
                <w:rPr>
                  <w:rStyle w:val="Hipercze"/>
                  <w:rFonts w:ascii="Times New Roman" w:hAnsi="Times New Roman"/>
                </w:rPr>
                <w:t>anna.latuszek@klimat.gov.pl</w:t>
              </w:r>
            </w:hyperlink>
            <w:r>
              <w:rPr>
                <w:rFonts w:ascii="Times New Roman" w:hAnsi="Times New Roman"/>
                <w:color w:val="000000"/>
              </w:rPr>
              <w:t>;</w:t>
            </w:r>
          </w:p>
          <w:p w14:paraId="06032C0A" w14:textId="77777777" w:rsidR="00AB2D33" w:rsidRPr="000879AA" w:rsidRDefault="00AB2D33" w:rsidP="000879AA">
            <w:pPr>
              <w:spacing w:line="240" w:lineRule="auto"/>
              <w:ind w:hanging="34"/>
              <w:rPr>
                <w:rFonts w:ascii="Times New Roman" w:hAnsi="Times New Roman"/>
                <w:color w:val="000000"/>
              </w:rPr>
            </w:pPr>
          </w:p>
          <w:p w14:paraId="7F8B0866" w14:textId="2064DDDA" w:rsidR="000879AA" w:rsidRPr="00A87B3A" w:rsidRDefault="000879AA" w:rsidP="00AB2D33">
            <w:pPr>
              <w:spacing w:line="240" w:lineRule="auto"/>
              <w:ind w:hanging="34"/>
              <w:rPr>
                <w:rFonts w:ascii="Times New Roman" w:hAnsi="Times New Roman"/>
                <w:color w:val="000000"/>
              </w:rPr>
            </w:pPr>
            <w:r w:rsidRPr="000879AA">
              <w:rPr>
                <w:rFonts w:ascii="Times New Roman" w:hAnsi="Times New Roman"/>
                <w:color w:val="000000"/>
              </w:rPr>
              <w:t xml:space="preserve">Agata Święcka </w:t>
            </w:r>
            <w:r w:rsidRPr="000879AA">
              <w:rPr>
                <w:rFonts w:ascii="Times New Roman" w:hAnsi="Times New Roman"/>
              </w:rPr>
              <w:t>–</w:t>
            </w:r>
            <w:r w:rsidRPr="000879AA">
              <w:rPr>
                <w:rFonts w:ascii="Times New Roman" w:hAnsi="Times New Roman"/>
                <w:color w:val="000000"/>
              </w:rPr>
              <w:t xml:space="preserve"> Naczelniczka Wydziału Morskiej Energetyki Wiatrowej, e-mail: </w:t>
            </w:r>
            <w:hyperlink r:id="rId9" w:history="1">
              <w:r w:rsidR="00AB2D33" w:rsidRPr="00685F7D">
                <w:rPr>
                  <w:rStyle w:val="Hipercze"/>
                  <w:rFonts w:ascii="Times New Roman" w:hAnsi="Times New Roman"/>
                </w:rPr>
                <w:t>agata.swiecka@klimat.gov.pl</w:t>
              </w:r>
            </w:hyperlink>
            <w:r w:rsidR="00AB2D33">
              <w:rPr>
                <w:rFonts w:ascii="Times New Roman" w:hAnsi="Times New Roman"/>
              </w:rPr>
              <w:t xml:space="preserve"> </w:t>
            </w:r>
          </w:p>
        </w:tc>
        <w:tc>
          <w:tcPr>
            <w:tcW w:w="4306" w:type="dxa"/>
            <w:gridSpan w:val="11"/>
            <w:shd w:val="clear" w:color="auto" w:fill="FFFFFF"/>
          </w:tcPr>
          <w:p w14:paraId="13CE1DDB" w14:textId="604CACA8" w:rsidR="001B3460" w:rsidRPr="00A87B3A" w:rsidRDefault="001B3460" w:rsidP="009629CE">
            <w:pPr>
              <w:spacing w:line="240" w:lineRule="auto"/>
              <w:rPr>
                <w:rFonts w:ascii="Times New Roman" w:hAnsi="Times New Roman"/>
                <w:b/>
              </w:rPr>
            </w:pPr>
            <w:r w:rsidRPr="00A87B3A">
              <w:rPr>
                <w:rFonts w:ascii="Times New Roman" w:hAnsi="Times New Roman"/>
                <w:b/>
              </w:rPr>
              <w:t>Data sporządzenia</w:t>
            </w:r>
            <w:r w:rsidRPr="00A87B3A">
              <w:rPr>
                <w:rFonts w:ascii="Times New Roman" w:hAnsi="Times New Roman"/>
                <w:b/>
              </w:rPr>
              <w:br/>
            </w:r>
            <w:r w:rsidR="0071103C">
              <w:rPr>
                <w:rFonts w:ascii="Times New Roman" w:hAnsi="Times New Roman"/>
              </w:rPr>
              <w:t>202</w:t>
            </w:r>
            <w:r w:rsidR="00AF4B37">
              <w:rPr>
                <w:rFonts w:ascii="Times New Roman" w:hAnsi="Times New Roman"/>
              </w:rPr>
              <w:t>5</w:t>
            </w:r>
            <w:r w:rsidR="0071103C">
              <w:rPr>
                <w:rFonts w:ascii="Times New Roman" w:hAnsi="Times New Roman"/>
              </w:rPr>
              <w:t>-</w:t>
            </w:r>
            <w:r w:rsidR="00AF4B37">
              <w:rPr>
                <w:rFonts w:ascii="Times New Roman" w:hAnsi="Times New Roman"/>
              </w:rPr>
              <w:t>0</w:t>
            </w:r>
            <w:r w:rsidR="00B47D9F">
              <w:rPr>
                <w:rFonts w:ascii="Times New Roman" w:hAnsi="Times New Roman"/>
              </w:rPr>
              <w:t>2</w:t>
            </w:r>
            <w:r w:rsidR="00E41CFD">
              <w:rPr>
                <w:rFonts w:ascii="Times New Roman" w:hAnsi="Times New Roman"/>
              </w:rPr>
              <w:t>-</w:t>
            </w:r>
            <w:r w:rsidR="00B47D9F">
              <w:rPr>
                <w:rFonts w:ascii="Times New Roman" w:hAnsi="Times New Roman"/>
              </w:rPr>
              <w:t>0</w:t>
            </w:r>
            <w:r w:rsidR="0052338E">
              <w:rPr>
                <w:rFonts w:ascii="Times New Roman" w:hAnsi="Times New Roman"/>
              </w:rPr>
              <w:t>6</w:t>
            </w:r>
          </w:p>
          <w:p w14:paraId="655C0424" w14:textId="77777777" w:rsidR="00F76884" w:rsidRPr="00A87B3A" w:rsidRDefault="00F76884" w:rsidP="009629CE">
            <w:pPr>
              <w:spacing w:line="240" w:lineRule="auto"/>
              <w:rPr>
                <w:rFonts w:ascii="Times New Roman" w:hAnsi="Times New Roman"/>
                <w:b/>
              </w:rPr>
            </w:pPr>
          </w:p>
          <w:p w14:paraId="1617D204" w14:textId="77777777" w:rsidR="00F76884" w:rsidRPr="00A87B3A" w:rsidRDefault="00F76884" w:rsidP="009629CE">
            <w:pPr>
              <w:spacing w:line="240" w:lineRule="auto"/>
              <w:rPr>
                <w:rFonts w:ascii="Times New Roman" w:hAnsi="Times New Roman"/>
                <w:b/>
              </w:rPr>
            </w:pPr>
            <w:r w:rsidRPr="00A87B3A">
              <w:rPr>
                <w:rFonts w:ascii="Times New Roman" w:hAnsi="Times New Roman"/>
                <w:b/>
              </w:rPr>
              <w:t xml:space="preserve">Źródło: </w:t>
            </w:r>
            <w:bookmarkStart w:id="1" w:name="Lista1"/>
          </w:p>
          <w:bookmarkEnd w:id="1"/>
          <w:p w14:paraId="2AE09D60" w14:textId="419E7F9B" w:rsidR="00F76884" w:rsidRDefault="00FC2027" w:rsidP="009629CE">
            <w:pPr>
              <w:spacing w:line="240" w:lineRule="auto"/>
              <w:rPr>
                <w:rFonts w:ascii="Times New Roman" w:hAnsi="Times New Roman"/>
              </w:rPr>
            </w:pPr>
            <w:r>
              <w:rPr>
                <w:rFonts w:ascii="Times New Roman" w:hAnsi="Times New Roman"/>
              </w:rPr>
              <w:t>Inicjatywa własna</w:t>
            </w:r>
            <w:r w:rsidR="00EA0E7C">
              <w:rPr>
                <w:rFonts w:ascii="Times New Roman" w:hAnsi="Times New Roman"/>
              </w:rPr>
              <w:t>;</w:t>
            </w:r>
          </w:p>
          <w:p w14:paraId="77AA89D5" w14:textId="788736B7" w:rsidR="00EA0E7C" w:rsidRDefault="00EA0E7C" w:rsidP="00DD284D">
            <w:pPr>
              <w:spacing w:line="240" w:lineRule="auto"/>
              <w:jc w:val="both"/>
              <w:rPr>
                <w:rFonts w:ascii="Times New Roman" w:hAnsi="Times New Roman"/>
              </w:rPr>
            </w:pPr>
            <w:r>
              <w:rPr>
                <w:rFonts w:ascii="Times New Roman" w:hAnsi="Times New Roman"/>
              </w:rPr>
              <w:t>P</w:t>
            </w:r>
            <w:r w:rsidRPr="00EA0E7C">
              <w:rPr>
                <w:rFonts w:ascii="Times New Roman" w:hAnsi="Times New Roman"/>
              </w:rPr>
              <w:t>rawo UE: Dyrektywa Parlamentu Europejskiego i Rady (UE) 2023/2413 z dnia 18 października 2023 r. zmieniająca Dyrektywę (UE) 2018/2001, rozporządzenie (UE) 2018/1999 i Dyrektywę 98/70/WE w zakresie promowania energii ze źródeł odnawialnych oraz uchylająca Dyrektywę (UE) 2015/652</w:t>
            </w:r>
          </w:p>
          <w:p w14:paraId="06022F04" w14:textId="77777777" w:rsidR="00F76884" w:rsidRPr="00A87B3A" w:rsidRDefault="00F76884" w:rsidP="009629CE">
            <w:pPr>
              <w:spacing w:line="240" w:lineRule="auto"/>
              <w:rPr>
                <w:rFonts w:ascii="Times New Roman" w:hAnsi="Times New Roman"/>
              </w:rPr>
            </w:pPr>
          </w:p>
          <w:p w14:paraId="1CD25657" w14:textId="0A709BBA" w:rsidR="006A701A" w:rsidRPr="00A87B3A" w:rsidRDefault="006A701A" w:rsidP="009629CE">
            <w:pPr>
              <w:spacing w:line="240" w:lineRule="auto"/>
              <w:rPr>
                <w:rFonts w:ascii="Times New Roman" w:hAnsi="Times New Roman"/>
                <w:b/>
                <w:color w:val="000000"/>
              </w:rPr>
            </w:pPr>
            <w:r w:rsidRPr="00A87B3A">
              <w:rPr>
                <w:rFonts w:ascii="Times New Roman" w:hAnsi="Times New Roman"/>
                <w:b/>
                <w:color w:val="000000"/>
              </w:rPr>
              <w:t xml:space="preserve">Nr </w:t>
            </w:r>
            <w:r w:rsidR="0057668E" w:rsidRPr="00A87B3A">
              <w:rPr>
                <w:rFonts w:ascii="Times New Roman" w:hAnsi="Times New Roman"/>
                <w:b/>
                <w:color w:val="000000"/>
              </w:rPr>
              <w:t>w</w:t>
            </w:r>
            <w:r w:rsidRPr="00A87B3A">
              <w:rPr>
                <w:rFonts w:ascii="Times New Roman" w:hAnsi="Times New Roman"/>
                <w:b/>
                <w:color w:val="000000"/>
              </w:rPr>
              <w:t xml:space="preserve"> wykaz</w:t>
            </w:r>
            <w:r w:rsidR="0057668E" w:rsidRPr="00A87B3A">
              <w:rPr>
                <w:rFonts w:ascii="Times New Roman" w:hAnsi="Times New Roman"/>
                <w:b/>
                <w:color w:val="000000"/>
              </w:rPr>
              <w:t>ie</w:t>
            </w:r>
            <w:r w:rsidRPr="00A87B3A">
              <w:rPr>
                <w:rFonts w:ascii="Times New Roman" w:hAnsi="Times New Roman"/>
                <w:b/>
                <w:color w:val="000000"/>
              </w:rPr>
              <w:t xml:space="preserve"> prac</w:t>
            </w:r>
            <w:r w:rsidR="008723A6">
              <w:rPr>
                <w:rFonts w:ascii="Times New Roman" w:hAnsi="Times New Roman"/>
                <w:b/>
                <w:color w:val="000000"/>
              </w:rPr>
              <w:t xml:space="preserve"> RM</w:t>
            </w:r>
            <w:r w:rsidRPr="00A87B3A">
              <w:rPr>
                <w:rFonts w:ascii="Times New Roman" w:hAnsi="Times New Roman"/>
                <w:b/>
                <w:color w:val="000000"/>
              </w:rPr>
              <w:t xml:space="preserve"> </w:t>
            </w:r>
          </w:p>
          <w:p w14:paraId="4C470FB0" w14:textId="762F7458" w:rsidR="006A701A" w:rsidRPr="00A87B3A" w:rsidRDefault="009D16AF" w:rsidP="009629CE">
            <w:pPr>
              <w:spacing w:line="240" w:lineRule="auto"/>
              <w:rPr>
                <w:rFonts w:ascii="Times New Roman" w:hAnsi="Times New Roman"/>
                <w:color w:val="000000"/>
              </w:rPr>
            </w:pPr>
            <w:r>
              <w:rPr>
                <w:rFonts w:ascii="Times New Roman" w:hAnsi="Times New Roman"/>
                <w:color w:val="000000"/>
              </w:rPr>
              <w:t>UD162</w:t>
            </w:r>
          </w:p>
          <w:p w14:paraId="5D31A2BC" w14:textId="77777777" w:rsidR="006A701A" w:rsidRPr="00A87B3A" w:rsidRDefault="006A701A" w:rsidP="009629CE">
            <w:pPr>
              <w:spacing w:line="240" w:lineRule="auto"/>
              <w:rPr>
                <w:rFonts w:ascii="Times New Roman" w:hAnsi="Times New Roman"/>
                <w:color w:val="000000"/>
              </w:rPr>
            </w:pPr>
          </w:p>
        </w:tc>
      </w:tr>
      <w:tr w:rsidR="006A701A" w:rsidRPr="00A87B3A" w14:paraId="79341850" w14:textId="77777777" w:rsidTr="00676C8D">
        <w:trPr>
          <w:gridAfter w:val="1"/>
          <w:wAfter w:w="10" w:type="dxa"/>
          <w:trHeight w:val="142"/>
        </w:trPr>
        <w:tc>
          <w:tcPr>
            <w:tcW w:w="10937" w:type="dxa"/>
            <w:gridSpan w:val="27"/>
            <w:shd w:val="clear" w:color="auto" w:fill="99CCFF"/>
          </w:tcPr>
          <w:p w14:paraId="4101B2C5" w14:textId="77777777" w:rsidR="006A701A" w:rsidRPr="00E74A9F" w:rsidRDefault="006A701A" w:rsidP="009629CE">
            <w:pPr>
              <w:spacing w:line="240" w:lineRule="auto"/>
              <w:ind w:left="57"/>
              <w:jc w:val="center"/>
              <w:rPr>
                <w:rFonts w:ascii="Times New Roman" w:hAnsi="Times New Roman"/>
                <w:b/>
                <w:color w:val="FFFFFF"/>
                <w:sz w:val="28"/>
                <w:szCs w:val="28"/>
              </w:rPr>
            </w:pPr>
            <w:r w:rsidRPr="00E74A9F">
              <w:rPr>
                <w:rFonts w:ascii="Times New Roman" w:hAnsi="Times New Roman"/>
                <w:b/>
                <w:color w:val="FFFFFF"/>
                <w:sz w:val="28"/>
                <w:szCs w:val="28"/>
              </w:rPr>
              <w:t>OCENA SKUTKÓW REGULACJI</w:t>
            </w:r>
          </w:p>
        </w:tc>
      </w:tr>
      <w:tr w:rsidR="006A701A" w:rsidRPr="00A87B3A" w14:paraId="2FF607D9" w14:textId="77777777" w:rsidTr="00676C8D">
        <w:trPr>
          <w:gridAfter w:val="1"/>
          <w:wAfter w:w="10" w:type="dxa"/>
          <w:trHeight w:val="333"/>
        </w:trPr>
        <w:tc>
          <w:tcPr>
            <w:tcW w:w="10937" w:type="dxa"/>
            <w:gridSpan w:val="27"/>
            <w:shd w:val="clear" w:color="auto" w:fill="99CCFF"/>
            <w:vAlign w:val="center"/>
          </w:tcPr>
          <w:p w14:paraId="5E95B2B7" w14:textId="77777777" w:rsidR="006A701A" w:rsidRPr="00A87B3A" w:rsidRDefault="003D12F6" w:rsidP="009629CE">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rPr>
              <w:t xml:space="preserve">Jaki problem jest </w:t>
            </w:r>
            <w:r w:rsidR="00CC6305" w:rsidRPr="00A87B3A">
              <w:rPr>
                <w:rFonts w:ascii="Times New Roman" w:hAnsi="Times New Roman"/>
                <w:b/>
              </w:rPr>
              <w:t>rozwiązywany?</w:t>
            </w:r>
            <w:bookmarkStart w:id="2" w:name="Wybór1"/>
            <w:bookmarkEnd w:id="2"/>
          </w:p>
        </w:tc>
      </w:tr>
      <w:tr w:rsidR="006A701A" w:rsidRPr="00A87B3A" w14:paraId="0A804BFE" w14:textId="77777777" w:rsidTr="00676C8D">
        <w:trPr>
          <w:gridAfter w:val="1"/>
          <w:wAfter w:w="10" w:type="dxa"/>
          <w:trHeight w:val="142"/>
        </w:trPr>
        <w:tc>
          <w:tcPr>
            <w:tcW w:w="10937" w:type="dxa"/>
            <w:gridSpan w:val="27"/>
            <w:shd w:val="clear" w:color="auto" w:fill="FFFFFF"/>
          </w:tcPr>
          <w:p w14:paraId="266611BC" w14:textId="5C78E5C1" w:rsidR="00C40FE0" w:rsidRDefault="00C40FE0" w:rsidP="00AB2D33">
            <w:pPr>
              <w:spacing w:before="120" w:after="120"/>
              <w:jc w:val="both"/>
              <w:rPr>
                <w:rFonts w:ascii="Times New Roman" w:hAnsi="Times New Roman"/>
                <w:color w:val="000000"/>
              </w:rPr>
            </w:pPr>
            <w:r w:rsidRPr="00C40FE0">
              <w:rPr>
                <w:rFonts w:ascii="Times New Roman" w:hAnsi="Times New Roman"/>
                <w:color w:val="000000"/>
              </w:rPr>
              <w:t>Obecne regulacje zawarte w ustawie z dnia 17 grudnia 2020 r. o promowaniu wytwarzania energii elektrycznej w morskich farmach wiatrowych (Dz.</w:t>
            </w:r>
            <w:r w:rsidR="00EA14D7">
              <w:rPr>
                <w:rFonts w:ascii="Times New Roman" w:hAnsi="Times New Roman"/>
                <w:color w:val="000000"/>
              </w:rPr>
              <w:t xml:space="preserve"> </w:t>
            </w:r>
            <w:r w:rsidRPr="00C40FE0">
              <w:rPr>
                <w:rFonts w:ascii="Times New Roman" w:hAnsi="Times New Roman"/>
                <w:color w:val="000000"/>
              </w:rPr>
              <w:t>U. z 2024 r. poz. 182</w:t>
            </w:r>
            <w:r w:rsidR="00C66042">
              <w:rPr>
                <w:rFonts w:ascii="Times New Roman" w:hAnsi="Times New Roman"/>
                <w:color w:val="000000"/>
              </w:rPr>
              <w:t xml:space="preserve">, </w:t>
            </w:r>
            <w:r w:rsidR="00EA14D7">
              <w:rPr>
                <w:rFonts w:ascii="Times New Roman" w:hAnsi="Times New Roman"/>
                <w:color w:val="000000"/>
              </w:rPr>
              <w:t>z późn. zm.</w:t>
            </w:r>
            <w:r w:rsidRPr="00C40FE0">
              <w:rPr>
                <w:rFonts w:ascii="Times New Roman" w:hAnsi="Times New Roman"/>
                <w:color w:val="000000"/>
              </w:rPr>
              <w:t>), zwanej dalej „ustawą offshore wind”, nie zapewniają wystarczająco skutecznego rozwoju morskiej energetyki wiatrowej, dalej: „MEW”, w Polsce. W celu przyśpieszenia realizacji i poprawy warunków inwestycyjnych dla projektów morskich farm wiatrowych, dalej „MFW”, proponuje się również zmiany w</w:t>
            </w:r>
            <w:r w:rsidR="00347B23">
              <w:rPr>
                <w:rFonts w:ascii="Times New Roman" w:hAnsi="Times New Roman"/>
                <w:color w:val="000000"/>
              </w:rPr>
              <w:t> </w:t>
            </w:r>
            <w:r w:rsidR="00310C4E">
              <w:rPr>
                <w:rFonts w:ascii="Times New Roman" w:hAnsi="Times New Roman"/>
                <w:color w:val="000000"/>
              </w:rPr>
              <w:t>innych</w:t>
            </w:r>
            <w:r w:rsidRPr="00C40FE0">
              <w:rPr>
                <w:rFonts w:ascii="Times New Roman" w:hAnsi="Times New Roman"/>
                <w:color w:val="000000"/>
              </w:rPr>
              <w:t xml:space="preserve"> obszarach, które zapewnią rozwiązania zmierzające do osiągnięcia skutecznego i</w:t>
            </w:r>
            <w:r w:rsidR="00AF4B37">
              <w:rPr>
                <w:rFonts w:ascii="Times New Roman" w:hAnsi="Times New Roman"/>
                <w:color w:val="000000"/>
              </w:rPr>
              <w:t> </w:t>
            </w:r>
            <w:r w:rsidRPr="00C40FE0">
              <w:rPr>
                <w:rFonts w:ascii="Times New Roman" w:hAnsi="Times New Roman"/>
                <w:color w:val="000000"/>
              </w:rPr>
              <w:t>zrównoważonego rozwoju MEW w Polsce.</w:t>
            </w:r>
          </w:p>
          <w:p w14:paraId="57B1B98A" w14:textId="629FC56F" w:rsidR="006A701A" w:rsidRDefault="0069777D" w:rsidP="00AB2D33">
            <w:pPr>
              <w:spacing w:before="120" w:after="120"/>
              <w:jc w:val="both"/>
              <w:rPr>
                <w:rFonts w:ascii="Times New Roman" w:hAnsi="Times New Roman"/>
                <w:color w:val="000000"/>
              </w:rPr>
            </w:pPr>
            <w:r w:rsidRPr="0069777D">
              <w:rPr>
                <w:rFonts w:ascii="Times New Roman" w:hAnsi="Times New Roman"/>
                <w:color w:val="000000"/>
              </w:rPr>
              <w:t xml:space="preserve">W projekcie ustawy </w:t>
            </w:r>
            <w:r w:rsidR="006469AC" w:rsidRPr="006469AC">
              <w:rPr>
                <w:rFonts w:ascii="Times New Roman" w:hAnsi="Times New Roman"/>
                <w:color w:val="000000"/>
              </w:rPr>
              <w:t xml:space="preserve">o zmianie ustawy o promowaniu wytwarzania energii elektrycznej w morskich farmach wiatrowych </w:t>
            </w:r>
            <w:r w:rsidRPr="0069777D">
              <w:rPr>
                <w:rFonts w:ascii="Times New Roman" w:hAnsi="Times New Roman"/>
                <w:color w:val="000000"/>
              </w:rPr>
              <w:t xml:space="preserve">oraz niektórych innych ustaw, zwanym dalej „projektem ustawy”, są dokonywane zmiany w ramach wielu obszarów dotyczących </w:t>
            </w:r>
            <w:r w:rsidR="006469AC">
              <w:rPr>
                <w:rFonts w:ascii="Times New Roman" w:hAnsi="Times New Roman"/>
                <w:color w:val="000000"/>
              </w:rPr>
              <w:t>morskiej energetyki wiatrowej</w:t>
            </w:r>
            <w:r w:rsidRPr="0069777D">
              <w:rPr>
                <w:rFonts w:ascii="Times New Roman" w:hAnsi="Times New Roman"/>
                <w:color w:val="000000"/>
              </w:rPr>
              <w:t xml:space="preserve">, których wspólnym celem jest </w:t>
            </w:r>
            <w:r w:rsidR="006469AC">
              <w:rPr>
                <w:rFonts w:ascii="Times New Roman" w:hAnsi="Times New Roman"/>
                <w:color w:val="000000"/>
              </w:rPr>
              <w:t>usprawnienie realizacji projektów morskiej energetyki</w:t>
            </w:r>
            <w:r w:rsidRPr="0069777D">
              <w:rPr>
                <w:rFonts w:ascii="Times New Roman" w:hAnsi="Times New Roman"/>
                <w:color w:val="000000"/>
              </w:rPr>
              <w:t xml:space="preserve">, a także szeroko pojęty rozwój sektora energii </w:t>
            </w:r>
            <w:r w:rsidR="006469AC">
              <w:rPr>
                <w:rFonts w:ascii="Times New Roman" w:hAnsi="Times New Roman"/>
                <w:color w:val="000000"/>
              </w:rPr>
              <w:t xml:space="preserve">odnawialnej </w:t>
            </w:r>
            <w:r w:rsidRPr="0069777D">
              <w:rPr>
                <w:rFonts w:ascii="Times New Roman" w:hAnsi="Times New Roman"/>
                <w:color w:val="000000"/>
              </w:rPr>
              <w:t>zgodny z ambicjami redukcji emisyjności gospodarki i spełniania zobowiązań międzynarodowych</w:t>
            </w:r>
            <w:r w:rsidR="00AA7D50">
              <w:rPr>
                <w:rFonts w:ascii="Times New Roman" w:hAnsi="Times New Roman"/>
                <w:color w:val="000000"/>
              </w:rPr>
              <w:t>.</w:t>
            </w:r>
          </w:p>
          <w:p w14:paraId="68DD2E3E" w14:textId="6B7ABABC" w:rsidR="00C40FE0" w:rsidRDefault="00C40FE0" w:rsidP="00AB2D33">
            <w:pPr>
              <w:spacing w:after="120"/>
              <w:jc w:val="both"/>
              <w:rPr>
                <w:rFonts w:ascii="Times New Roman" w:hAnsi="Times New Roman"/>
                <w:color w:val="000000"/>
              </w:rPr>
            </w:pPr>
            <w:r w:rsidRPr="00FE428B">
              <w:rPr>
                <w:rFonts w:ascii="Times New Roman" w:hAnsi="Times New Roman"/>
                <w:color w:val="000000"/>
              </w:rPr>
              <w:t xml:space="preserve">Zmiany wprowadzane projektem ustawy są kolejnym krokiem we wspieraniu rozwoju </w:t>
            </w:r>
            <w:r>
              <w:rPr>
                <w:rFonts w:ascii="Times New Roman" w:hAnsi="Times New Roman"/>
                <w:color w:val="000000"/>
              </w:rPr>
              <w:t>morskiej energetyki wiatrowej (MEW)</w:t>
            </w:r>
            <w:r w:rsidRPr="00FE428B">
              <w:rPr>
                <w:rFonts w:ascii="Times New Roman" w:hAnsi="Times New Roman"/>
                <w:color w:val="000000"/>
              </w:rPr>
              <w:t>, która stanowi jeden z fundamentów polskiej transformacji energetycznej, korzystnej z perspektywy cen energii, konkurencyjności polskiej gospodarki oraz tworzenia nowych miejsc pracy w Polsce w nadchodzących latach.</w:t>
            </w:r>
          </w:p>
          <w:p w14:paraId="32EE1BFA" w14:textId="7C24FDF3" w:rsidR="00C40FE0" w:rsidRPr="00F84B1F" w:rsidRDefault="00C40FE0" w:rsidP="00AB2D33">
            <w:pPr>
              <w:spacing w:after="120"/>
              <w:jc w:val="both"/>
              <w:rPr>
                <w:rFonts w:ascii="Times New Roman" w:hAnsi="Times New Roman"/>
                <w:bCs/>
                <w:color w:val="000000"/>
              </w:rPr>
            </w:pPr>
            <w:r>
              <w:rPr>
                <w:rFonts w:ascii="Times New Roman" w:hAnsi="Times New Roman"/>
                <w:bCs/>
                <w:color w:val="000000"/>
              </w:rPr>
              <w:t xml:space="preserve">Projekt ustawy adresuje następujące problematyczne </w:t>
            </w:r>
            <w:r w:rsidRPr="00F84B1F">
              <w:rPr>
                <w:rFonts w:ascii="Times New Roman" w:hAnsi="Times New Roman"/>
                <w:bCs/>
                <w:color w:val="000000"/>
              </w:rPr>
              <w:t>obszar</w:t>
            </w:r>
            <w:r>
              <w:rPr>
                <w:rFonts w:ascii="Times New Roman" w:hAnsi="Times New Roman"/>
                <w:bCs/>
                <w:color w:val="000000"/>
              </w:rPr>
              <w:t>y ustawy offshore wind</w:t>
            </w:r>
            <w:r w:rsidRPr="00F84B1F">
              <w:rPr>
                <w:rFonts w:ascii="Times New Roman" w:hAnsi="Times New Roman"/>
                <w:bCs/>
                <w:color w:val="000000"/>
              </w:rPr>
              <w:t>:</w:t>
            </w:r>
          </w:p>
          <w:p w14:paraId="73B41BFC" w14:textId="739763CB" w:rsidR="00C40FE0" w:rsidRPr="002025FC" w:rsidRDefault="00C40FE0" w:rsidP="00AB2D33">
            <w:pPr>
              <w:pStyle w:val="Akapitzlist"/>
              <w:numPr>
                <w:ilvl w:val="0"/>
                <w:numId w:val="73"/>
              </w:numPr>
              <w:contextualSpacing w:val="0"/>
              <w:jc w:val="both"/>
              <w:rPr>
                <w:rFonts w:ascii="Times New Roman" w:hAnsi="Times New Roman"/>
                <w:color w:val="000000"/>
              </w:rPr>
            </w:pPr>
            <w:r>
              <w:rPr>
                <w:rFonts w:ascii="Times New Roman" w:hAnsi="Times New Roman"/>
                <w:color w:val="000000"/>
              </w:rPr>
              <w:t>A</w:t>
            </w:r>
            <w:r w:rsidRPr="002025FC">
              <w:rPr>
                <w:rFonts w:ascii="Times New Roman" w:hAnsi="Times New Roman"/>
                <w:color w:val="000000"/>
              </w:rPr>
              <w:t>ukcyjny system wsparcia</w:t>
            </w:r>
            <w:r>
              <w:rPr>
                <w:rFonts w:ascii="Times New Roman" w:hAnsi="Times New Roman"/>
                <w:color w:val="000000"/>
              </w:rPr>
              <w:t>;</w:t>
            </w:r>
          </w:p>
          <w:p w14:paraId="5FA28E67" w14:textId="77777777" w:rsidR="00C40FE0" w:rsidRDefault="00C40FE0" w:rsidP="00AB2D33">
            <w:pPr>
              <w:pStyle w:val="Akapitzlist"/>
              <w:numPr>
                <w:ilvl w:val="0"/>
                <w:numId w:val="73"/>
              </w:numPr>
              <w:contextualSpacing w:val="0"/>
              <w:jc w:val="both"/>
              <w:rPr>
                <w:rFonts w:ascii="Times New Roman" w:hAnsi="Times New Roman"/>
                <w:color w:val="000000"/>
              </w:rPr>
            </w:pPr>
            <w:r>
              <w:rPr>
                <w:rFonts w:ascii="Times New Roman" w:hAnsi="Times New Roman"/>
                <w:color w:val="000000"/>
              </w:rPr>
              <w:t>P</w:t>
            </w:r>
            <w:r w:rsidRPr="002025FC">
              <w:rPr>
                <w:rFonts w:ascii="Times New Roman" w:hAnsi="Times New Roman"/>
                <w:color w:val="000000"/>
              </w:rPr>
              <w:t>okryci</w:t>
            </w:r>
            <w:r>
              <w:rPr>
                <w:rFonts w:ascii="Times New Roman" w:hAnsi="Times New Roman"/>
                <w:color w:val="000000"/>
              </w:rPr>
              <w:t>e</w:t>
            </w:r>
            <w:r w:rsidRPr="002025FC">
              <w:rPr>
                <w:rFonts w:ascii="Times New Roman" w:hAnsi="Times New Roman"/>
                <w:color w:val="000000"/>
              </w:rPr>
              <w:t xml:space="preserve"> ujemnego salda w przypadku redysponowania </w:t>
            </w:r>
            <w:r>
              <w:rPr>
                <w:rFonts w:ascii="Times New Roman" w:hAnsi="Times New Roman"/>
                <w:color w:val="000000"/>
              </w:rPr>
              <w:t xml:space="preserve">MFW </w:t>
            </w:r>
            <w:r w:rsidRPr="002025FC">
              <w:rPr>
                <w:rFonts w:ascii="Times New Roman" w:hAnsi="Times New Roman"/>
                <w:color w:val="000000"/>
              </w:rPr>
              <w:t>na zasadach rynkowych</w:t>
            </w:r>
            <w:r>
              <w:rPr>
                <w:rFonts w:ascii="Times New Roman" w:hAnsi="Times New Roman"/>
                <w:color w:val="000000"/>
              </w:rPr>
              <w:t>;</w:t>
            </w:r>
          </w:p>
          <w:p w14:paraId="7A3DE8FF" w14:textId="77777777" w:rsidR="00C40FE0" w:rsidRPr="00093E33" w:rsidRDefault="00C40FE0"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Sprzedaż energii w okresie rozruchu technologicznego MFW;</w:t>
            </w:r>
          </w:p>
          <w:p w14:paraId="342067D6" w14:textId="3BC58653" w:rsidR="00C40FE0" w:rsidRPr="00093E33" w:rsidRDefault="00AB2D33"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U</w:t>
            </w:r>
            <w:r w:rsidR="00C40FE0" w:rsidRPr="00093E33">
              <w:rPr>
                <w:rFonts w:ascii="Times New Roman" w:hAnsi="Times New Roman"/>
                <w:color w:val="000000"/>
              </w:rPr>
              <w:t>możliwienie mikroprzesunięć fundamentów morskich turbin wiatrowych lub stacji elektroenergetycznych;</w:t>
            </w:r>
          </w:p>
          <w:p w14:paraId="57F4E23F" w14:textId="77777777" w:rsidR="00C40FE0" w:rsidRPr="00093E33" w:rsidRDefault="00C40FE0"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Współdzielenie przez więcej niż jedną morską farmę wiatrową tej samej stacji elektroenergetycznej zlokalizowanej na morzu lub zespołu urządzeń służących do wyprowadzenia mocy lub ich elementów;</w:t>
            </w:r>
          </w:p>
          <w:p w14:paraId="68987F8C" w14:textId="77777777" w:rsidR="00C40FE0" w:rsidRPr="00093E33" w:rsidRDefault="00C40FE0"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Niezbędne doprecyzowania w zakresie etapowania inwestycji;</w:t>
            </w:r>
          </w:p>
          <w:p w14:paraId="69F25BCF" w14:textId="77777777" w:rsidR="004A1AE1" w:rsidRDefault="00C40FE0"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Czas pracy w portach morskich lub bazach serwisowych</w:t>
            </w:r>
          </w:p>
          <w:p w14:paraId="3D6216F2" w14:textId="7F467883" w:rsidR="00C40FE0" w:rsidRDefault="004A1AE1" w:rsidP="00AB2D33">
            <w:pPr>
              <w:pStyle w:val="Akapitzlist"/>
              <w:numPr>
                <w:ilvl w:val="0"/>
                <w:numId w:val="73"/>
              </w:numPr>
              <w:contextualSpacing w:val="0"/>
              <w:jc w:val="both"/>
              <w:rPr>
                <w:rFonts w:ascii="Times New Roman" w:hAnsi="Times New Roman"/>
                <w:color w:val="000000"/>
              </w:rPr>
            </w:pPr>
            <w:r>
              <w:rPr>
                <w:rFonts w:ascii="Times New Roman" w:hAnsi="Times New Roman"/>
                <w:color w:val="000000"/>
              </w:rPr>
              <w:t xml:space="preserve">Określenie zasad </w:t>
            </w:r>
            <w:r w:rsidRPr="004A1AE1">
              <w:rPr>
                <w:rFonts w:ascii="Times New Roman" w:hAnsi="Times New Roman"/>
                <w:color w:val="000000"/>
              </w:rPr>
              <w:t>pokrycia wartoś</w:t>
            </w:r>
            <w:r>
              <w:rPr>
                <w:rFonts w:ascii="Times New Roman" w:hAnsi="Times New Roman"/>
                <w:color w:val="000000"/>
              </w:rPr>
              <w:t>c</w:t>
            </w:r>
            <w:r w:rsidRPr="004A1AE1">
              <w:rPr>
                <w:rFonts w:ascii="Times New Roman" w:hAnsi="Times New Roman"/>
                <w:color w:val="000000"/>
              </w:rPr>
              <w:t xml:space="preserve">i utraconych korzyści majątkowych oraz </w:t>
            </w:r>
            <w:r>
              <w:rPr>
                <w:rFonts w:ascii="Times New Roman" w:hAnsi="Times New Roman"/>
                <w:color w:val="000000"/>
              </w:rPr>
              <w:t xml:space="preserve">zamieszczenie </w:t>
            </w:r>
            <w:r w:rsidRPr="004A1AE1">
              <w:rPr>
                <w:rFonts w:ascii="Times New Roman" w:hAnsi="Times New Roman"/>
                <w:color w:val="000000"/>
              </w:rPr>
              <w:t xml:space="preserve">delegacji do wydania rozporządzenia dot. sposobu dokumentacji i obliczania ewentualnych rekompensat dla rybaków za utracone korzyści związane z budową, eksploatacją i likwidacją </w:t>
            </w:r>
            <w:r>
              <w:rPr>
                <w:rFonts w:ascii="Times New Roman" w:hAnsi="Times New Roman"/>
                <w:color w:val="000000"/>
              </w:rPr>
              <w:t>MFW</w:t>
            </w:r>
            <w:r w:rsidR="00C40FE0" w:rsidRPr="00093E33">
              <w:rPr>
                <w:rFonts w:ascii="Times New Roman" w:hAnsi="Times New Roman"/>
                <w:color w:val="000000"/>
              </w:rPr>
              <w:t>;</w:t>
            </w:r>
          </w:p>
          <w:p w14:paraId="73F9EB7F" w14:textId="6CBC0DBD" w:rsidR="00B7441D" w:rsidRDefault="00B7441D" w:rsidP="00AB2D33">
            <w:pPr>
              <w:pStyle w:val="Akapitzlist"/>
              <w:numPr>
                <w:ilvl w:val="0"/>
                <w:numId w:val="73"/>
              </w:numPr>
              <w:contextualSpacing w:val="0"/>
              <w:jc w:val="both"/>
              <w:rPr>
                <w:rFonts w:ascii="Times New Roman" w:hAnsi="Times New Roman"/>
                <w:color w:val="000000"/>
              </w:rPr>
            </w:pPr>
            <w:r w:rsidRPr="00B7441D">
              <w:rPr>
                <w:rFonts w:ascii="Times New Roman" w:hAnsi="Times New Roman"/>
                <w:color w:val="000000"/>
              </w:rPr>
              <w:t>Uniemożliwienie ponownego przyznania wsparcia dla danego projektu MFW, który wsparcie otrzymał, a</w:t>
            </w:r>
            <w:r>
              <w:rPr>
                <w:rFonts w:ascii="Times New Roman" w:hAnsi="Times New Roman"/>
                <w:color w:val="000000"/>
              </w:rPr>
              <w:t> </w:t>
            </w:r>
            <w:r w:rsidRPr="00B7441D">
              <w:rPr>
                <w:rFonts w:ascii="Times New Roman" w:hAnsi="Times New Roman"/>
                <w:color w:val="000000"/>
              </w:rPr>
              <w:t>potem inwestor się tego wsparcia zrzekł</w:t>
            </w:r>
            <w:r>
              <w:rPr>
                <w:rFonts w:ascii="Times New Roman" w:hAnsi="Times New Roman"/>
                <w:color w:val="000000"/>
              </w:rPr>
              <w:t>;</w:t>
            </w:r>
          </w:p>
          <w:p w14:paraId="49DEABD3" w14:textId="77777777" w:rsidR="00C40FE0" w:rsidRPr="00093E33" w:rsidRDefault="00C40FE0"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Zmiany w regułach wydatkowych;</w:t>
            </w:r>
          </w:p>
          <w:p w14:paraId="7E728ECC" w14:textId="77777777" w:rsidR="00C40FE0" w:rsidRPr="00093E33" w:rsidRDefault="00C40FE0" w:rsidP="00AB2D3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Modyfikacje redakcyjno-techniczne w celu wyeliminowania wątpliwości interpretacyjnych;</w:t>
            </w:r>
          </w:p>
          <w:p w14:paraId="3CBF89A3" w14:textId="77777777" w:rsidR="00C40FE0" w:rsidRPr="00093E33" w:rsidRDefault="00C40FE0" w:rsidP="00793ED0">
            <w:pPr>
              <w:spacing w:before="240" w:after="120"/>
              <w:jc w:val="both"/>
              <w:rPr>
                <w:rFonts w:ascii="Times New Roman" w:hAnsi="Times New Roman"/>
                <w:color w:val="000000"/>
              </w:rPr>
            </w:pPr>
            <w:r w:rsidRPr="00093E33">
              <w:rPr>
                <w:rFonts w:ascii="Times New Roman" w:hAnsi="Times New Roman"/>
                <w:color w:val="000000"/>
              </w:rPr>
              <w:t>Pozostałe zmiany dotyczą następujących obszarów:</w:t>
            </w:r>
          </w:p>
          <w:p w14:paraId="1B100949" w14:textId="25131334" w:rsidR="00C40FE0" w:rsidRPr="00093E33" w:rsidRDefault="00C40FE0" w:rsidP="00793ED0">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lastRenderedPageBreak/>
              <w:t>Ustawy z dnia 21 marca 1991 r. o obszarach morskich Rzeczypospolitej Polskiej i administracji morskiej (Dz.</w:t>
            </w:r>
            <w:r w:rsidR="00EA14D7">
              <w:rPr>
                <w:rFonts w:ascii="Times New Roman" w:hAnsi="Times New Roman"/>
                <w:color w:val="000000"/>
              </w:rPr>
              <w:t xml:space="preserve"> </w:t>
            </w:r>
            <w:r w:rsidRPr="00093E33">
              <w:rPr>
                <w:rFonts w:ascii="Times New Roman" w:hAnsi="Times New Roman"/>
                <w:color w:val="000000"/>
              </w:rPr>
              <w:t>U</w:t>
            </w:r>
            <w:r w:rsidR="00793ED0" w:rsidRPr="00093E33">
              <w:rPr>
                <w:rFonts w:ascii="Times New Roman" w:hAnsi="Times New Roman"/>
                <w:color w:val="000000"/>
              </w:rPr>
              <w:t>.</w:t>
            </w:r>
            <w:r w:rsidR="00793ED0" w:rsidRPr="00093E33">
              <w:t xml:space="preserve"> </w:t>
            </w:r>
            <w:r w:rsidR="00793ED0" w:rsidRPr="00093E33">
              <w:rPr>
                <w:rFonts w:ascii="Times New Roman" w:hAnsi="Times New Roman"/>
                <w:color w:val="000000"/>
              </w:rPr>
              <w:t>z 2024 r. poz. 1125</w:t>
            </w:r>
            <w:r w:rsidRPr="00093E33">
              <w:rPr>
                <w:rFonts w:ascii="Times New Roman" w:hAnsi="Times New Roman"/>
                <w:color w:val="000000"/>
              </w:rPr>
              <w:t>)</w:t>
            </w:r>
            <w:r w:rsidR="00E05501" w:rsidRPr="00093E33">
              <w:rPr>
                <w:rFonts w:ascii="Times New Roman" w:hAnsi="Times New Roman"/>
                <w:color w:val="000000"/>
              </w:rPr>
              <w:t>, dalej: UOM</w:t>
            </w:r>
            <w:r w:rsidRPr="00093E33">
              <w:rPr>
                <w:rFonts w:ascii="Times New Roman" w:hAnsi="Times New Roman"/>
                <w:color w:val="000000"/>
              </w:rPr>
              <w:t>:</w:t>
            </w:r>
          </w:p>
          <w:p w14:paraId="5140EB8B" w14:textId="77777777" w:rsidR="00C40FE0" w:rsidRPr="00093E33" w:rsidRDefault="00C40FE0" w:rsidP="00793ED0">
            <w:pPr>
              <w:pStyle w:val="Akapitzlist"/>
              <w:numPr>
                <w:ilvl w:val="1"/>
                <w:numId w:val="73"/>
              </w:numPr>
              <w:contextualSpacing w:val="0"/>
              <w:jc w:val="both"/>
              <w:rPr>
                <w:rFonts w:ascii="Times New Roman" w:hAnsi="Times New Roman"/>
                <w:color w:val="000000"/>
              </w:rPr>
            </w:pPr>
            <w:r w:rsidRPr="00093E33">
              <w:rPr>
                <w:rFonts w:ascii="Times New Roman" w:hAnsi="Times New Roman"/>
                <w:color w:val="000000"/>
              </w:rPr>
              <w:t xml:space="preserve">Wydłużenie terminu ważności pozwoleń i uzgodnień lokalizacyjnych dla morskich farm wiatrowych oraz zespołu urządzeń wyprowadzających moc; </w:t>
            </w:r>
          </w:p>
          <w:p w14:paraId="42990BE9" w14:textId="1E2D625C" w:rsidR="00C40FE0" w:rsidRPr="00093E33" w:rsidRDefault="00C40FE0" w:rsidP="00793ED0">
            <w:pPr>
              <w:pStyle w:val="Akapitzlist"/>
              <w:numPr>
                <w:ilvl w:val="1"/>
                <w:numId w:val="73"/>
              </w:numPr>
              <w:contextualSpacing w:val="0"/>
              <w:jc w:val="both"/>
              <w:rPr>
                <w:rFonts w:ascii="Times New Roman" w:hAnsi="Times New Roman"/>
                <w:color w:val="000000"/>
              </w:rPr>
            </w:pPr>
            <w:r w:rsidRPr="00093E33">
              <w:rPr>
                <w:rFonts w:ascii="Times New Roman" w:hAnsi="Times New Roman"/>
                <w:color w:val="000000"/>
              </w:rPr>
              <w:t>Tworzenie stref bezpieczeństwa dla MFW;</w:t>
            </w:r>
          </w:p>
          <w:p w14:paraId="50BD976D" w14:textId="005EBC63" w:rsidR="00903507" w:rsidRDefault="00903507" w:rsidP="00793ED0">
            <w:pPr>
              <w:pStyle w:val="Akapitzlist"/>
              <w:numPr>
                <w:ilvl w:val="1"/>
                <w:numId w:val="73"/>
              </w:numPr>
              <w:contextualSpacing w:val="0"/>
              <w:jc w:val="both"/>
              <w:rPr>
                <w:rFonts w:ascii="Times New Roman" w:hAnsi="Times New Roman"/>
                <w:color w:val="000000"/>
              </w:rPr>
            </w:pPr>
            <w:r w:rsidRPr="00093E33">
              <w:rPr>
                <w:rFonts w:ascii="Times New Roman" w:hAnsi="Times New Roman"/>
                <w:color w:val="000000"/>
              </w:rPr>
              <w:t>Niezbędne uproszczenia terminologiczne</w:t>
            </w:r>
            <w:r w:rsidR="00347B23">
              <w:rPr>
                <w:rFonts w:ascii="Times New Roman" w:hAnsi="Times New Roman"/>
                <w:color w:val="000000"/>
              </w:rPr>
              <w:t>;</w:t>
            </w:r>
          </w:p>
          <w:p w14:paraId="432D93AB" w14:textId="2367388C" w:rsidR="00C66042" w:rsidRPr="00093E33" w:rsidRDefault="00C66042" w:rsidP="00793ED0">
            <w:pPr>
              <w:pStyle w:val="Akapitzlist"/>
              <w:numPr>
                <w:ilvl w:val="1"/>
                <w:numId w:val="73"/>
              </w:numPr>
              <w:contextualSpacing w:val="0"/>
              <w:jc w:val="both"/>
              <w:rPr>
                <w:rFonts w:ascii="Times New Roman" w:hAnsi="Times New Roman"/>
                <w:color w:val="000000"/>
              </w:rPr>
            </w:pPr>
            <w:r>
              <w:rPr>
                <w:rFonts w:ascii="Times New Roman" w:hAnsi="Times New Roman"/>
                <w:color w:val="000000"/>
              </w:rPr>
              <w:t>W</w:t>
            </w:r>
            <w:r w:rsidRPr="00C66042">
              <w:rPr>
                <w:rFonts w:ascii="Times New Roman" w:hAnsi="Times New Roman"/>
                <w:color w:val="000000"/>
              </w:rPr>
              <w:t>yłączenie możliwości wnioskowania o pozwolenie lub uzgodnienie lokalizacyjne dla kabli MFW w</w:t>
            </w:r>
            <w:r w:rsidR="00AF4B37">
              <w:rPr>
                <w:rFonts w:ascii="Times New Roman" w:hAnsi="Times New Roman"/>
                <w:color w:val="000000"/>
              </w:rPr>
              <w:t> </w:t>
            </w:r>
            <w:r w:rsidRPr="00C66042">
              <w:rPr>
                <w:rFonts w:ascii="Times New Roman" w:hAnsi="Times New Roman"/>
                <w:color w:val="000000"/>
              </w:rPr>
              <w:t>oparciu o wstępne warunki przyłączenia</w:t>
            </w:r>
          </w:p>
          <w:p w14:paraId="38296EBB" w14:textId="4A634527" w:rsidR="002464B3" w:rsidRPr="00093E33" w:rsidRDefault="002464B3" w:rsidP="002464B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Ustawy z dnia 7 lipca 1994 r. Prawo budowlane (Dz.</w:t>
            </w:r>
            <w:r w:rsidR="00EA14D7">
              <w:rPr>
                <w:rFonts w:ascii="Times New Roman" w:hAnsi="Times New Roman"/>
                <w:color w:val="000000"/>
              </w:rPr>
              <w:t xml:space="preserve"> </w:t>
            </w:r>
            <w:r w:rsidRPr="00093E33">
              <w:rPr>
                <w:rFonts w:ascii="Times New Roman" w:hAnsi="Times New Roman"/>
                <w:color w:val="000000"/>
              </w:rPr>
              <w:t xml:space="preserve">U. z 2024 r. poz. </w:t>
            </w:r>
            <w:r w:rsidR="00AF4B37" w:rsidRPr="00AF4B37">
              <w:rPr>
                <w:rFonts w:ascii="Times New Roman" w:hAnsi="Times New Roman"/>
                <w:color w:val="000000"/>
              </w:rPr>
              <w:t xml:space="preserve">725, </w:t>
            </w:r>
            <w:r w:rsidR="00EA14D7">
              <w:rPr>
                <w:rFonts w:ascii="Times New Roman" w:hAnsi="Times New Roman"/>
                <w:color w:val="000000"/>
              </w:rPr>
              <w:t>z późn. zm.</w:t>
            </w:r>
            <w:r w:rsidRPr="00093E33">
              <w:rPr>
                <w:rFonts w:ascii="Times New Roman" w:hAnsi="Times New Roman"/>
                <w:color w:val="000000"/>
              </w:rPr>
              <w:t>) w zakresie doprecyzowania terminologicznego definicji budowli</w:t>
            </w:r>
            <w:r w:rsidR="00347B23">
              <w:rPr>
                <w:rFonts w:ascii="Times New Roman" w:hAnsi="Times New Roman"/>
                <w:color w:val="000000"/>
              </w:rPr>
              <w:t>;</w:t>
            </w:r>
          </w:p>
          <w:p w14:paraId="046AD060" w14:textId="41573A45" w:rsidR="00C40FE0" w:rsidRPr="00093E33" w:rsidRDefault="00C40FE0" w:rsidP="00793ED0">
            <w:pPr>
              <w:pStyle w:val="Akapitzlist"/>
              <w:numPr>
                <w:ilvl w:val="0"/>
                <w:numId w:val="73"/>
              </w:numPr>
              <w:contextualSpacing w:val="0"/>
              <w:rPr>
                <w:rFonts w:ascii="Times New Roman" w:hAnsi="Times New Roman"/>
                <w:color w:val="000000"/>
              </w:rPr>
            </w:pPr>
            <w:r w:rsidRPr="00093E33">
              <w:rPr>
                <w:rFonts w:ascii="Times New Roman" w:hAnsi="Times New Roman"/>
                <w:color w:val="000000"/>
              </w:rPr>
              <w:t>Ustawy z dnia 18 sierpnia 2011 r. o bezpieczeństwie morskim (Dz.</w:t>
            </w:r>
            <w:r w:rsidR="00EA14D7">
              <w:rPr>
                <w:rFonts w:ascii="Times New Roman" w:hAnsi="Times New Roman"/>
                <w:color w:val="000000"/>
              </w:rPr>
              <w:t xml:space="preserve"> </w:t>
            </w:r>
            <w:r w:rsidRPr="00093E33">
              <w:rPr>
                <w:rFonts w:ascii="Times New Roman" w:hAnsi="Times New Roman"/>
                <w:color w:val="000000"/>
              </w:rPr>
              <w:t>U</w:t>
            </w:r>
            <w:r w:rsidR="00793ED0" w:rsidRPr="00093E33">
              <w:rPr>
                <w:rFonts w:ascii="Times New Roman" w:hAnsi="Times New Roman"/>
                <w:color w:val="000000"/>
              </w:rPr>
              <w:t xml:space="preserve">. z 2024 r. poz. </w:t>
            </w:r>
            <w:r w:rsidR="00AF4B37" w:rsidRPr="00AF4B37">
              <w:rPr>
                <w:rFonts w:ascii="Times New Roman" w:hAnsi="Times New Roman"/>
                <w:color w:val="000000"/>
              </w:rPr>
              <w:t>1068</w:t>
            </w:r>
            <w:r w:rsidR="00EA14D7">
              <w:rPr>
                <w:rFonts w:ascii="Times New Roman" w:hAnsi="Times New Roman"/>
                <w:color w:val="000000"/>
              </w:rPr>
              <w:t>, z późn. zm.</w:t>
            </w:r>
            <w:r w:rsidRPr="00093E33">
              <w:rPr>
                <w:rFonts w:ascii="Times New Roman" w:hAnsi="Times New Roman"/>
                <w:color w:val="000000"/>
              </w:rPr>
              <w:t>)</w:t>
            </w:r>
            <w:r w:rsidR="00E05501" w:rsidRPr="00093E33">
              <w:rPr>
                <w:rFonts w:ascii="Times New Roman" w:hAnsi="Times New Roman"/>
                <w:color w:val="000000"/>
              </w:rPr>
              <w:t>, dalej: UBM</w:t>
            </w:r>
            <w:r w:rsidRPr="00093E33">
              <w:rPr>
                <w:rFonts w:ascii="Times New Roman" w:hAnsi="Times New Roman"/>
                <w:color w:val="000000"/>
              </w:rPr>
              <w:t>:</w:t>
            </w:r>
          </w:p>
          <w:p w14:paraId="10C8A77A" w14:textId="77777777" w:rsidR="00C40FE0" w:rsidRPr="00093E33" w:rsidRDefault="00C40FE0" w:rsidP="00793ED0">
            <w:pPr>
              <w:pStyle w:val="Akapitzlist"/>
              <w:numPr>
                <w:ilvl w:val="1"/>
                <w:numId w:val="73"/>
              </w:numPr>
              <w:contextualSpacing w:val="0"/>
              <w:jc w:val="both"/>
              <w:rPr>
                <w:rFonts w:ascii="Times New Roman" w:hAnsi="Times New Roman"/>
                <w:color w:val="000000"/>
              </w:rPr>
            </w:pPr>
            <w:r w:rsidRPr="00093E33">
              <w:rPr>
                <w:rFonts w:ascii="Times New Roman" w:hAnsi="Times New Roman"/>
                <w:color w:val="000000"/>
              </w:rPr>
              <w:t>Zdefiniowanie personelu do obsługi MFW;</w:t>
            </w:r>
          </w:p>
          <w:p w14:paraId="7CCDBA6D" w14:textId="77777777" w:rsidR="00C40FE0" w:rsidRDefault="00C40FE0" w:rsidP="00793ED0">
            <w:pPr>
              <w:pStyle w:val="Akapitzlist"/>
              <w:numPr>
                <w:ilvl w:val="1"/>
                <w:numId w:val="73"/>
              </w:numPr>
              <w:contextualSpacing w:val="0"/>
              <w:jc w:val="both"/>
              <w:rPr>
                <w:rFonts w:ascii="Times New Roman" w:hAnsi="Times New Roman"/>
                <w:color w:val="000000"/>
              </w:rPr>
            </w:pPr>
            <w:r w:rsidRPr="00093E33">
              <w:rPr>
                <w:rFonts w:ascii="Times New Roman" w:hAnsi="Times New Roman"/>
                <w:color w:val="000000"/>
              </w:rPr>
              <w:t>Udostępniania danych niezbędnych do sporządzenia ekspertyz technicznych;</w:t>
            </w:r>
          </w:p>
          <w:p w14:paraId="35124966" w14:textId="4E232F79" w:rsidR="00744650" w:rsidRDefault="002678F8" w:rsidP="00793ED0">
            <w:pPr>
              <w:pStyle w:val="Akapitzlist"/>
              <w:numPr>
                <w:ilvl w:val="1"/>
                <w:numId w:val="73"/>
              </w:numPr>
              <w:contextualSpacing w:val="0"/>
              <w:jc w:val="both"/>
              <w:rPr>
                <w:rFonts w:ascii="Times New Roman" w:hAnsi="Times New Roman"/>
                <w:color w:val="000000"/>
              </w:rPr>
            </w:pPr>
            <w:r w:rsidRPr="002678F8">
              <w:rPr>
                <w:rFonts w:ascii="Times New Roman" w:hAnsi="Times New Roman"/>
                <w:color w:val="000000"/>
              </w:rPr>
              <w:t xml:space="preserve">Ponoszenie kosztów związanych z kompensacją negatywnego wpływu MFW na systemy obronności </w:t>
            </w:r>
            <w:r w:rsidR="00B7441D" w:rsidRPr="002678F8">
              <w:rPr>
                <w:rFonts w:ascii="Times New Roman" w:hAnsi="Times New Roman"/>
                <w:color w:val="000000"/>
              </w:rPr>
              <w:t>i</w:t>
            </w:r>
            <w:r w:rsidR="00B7441D">
              <w:rPr>
                <w:rFonts w:ascii="Times New Roman" w:hAnsi="Times New Roman"/>
                <w:color w:val="000000"/>
              </w:rPr>
              <w:t> </w:t>
            </w:r>
            <w:r w:rsidRPr="002678F8">
              <w:rPr>
                <w:rFonts w:ascii="Times New Roman" w:hAnsi="Times New Roman"/>
                <w:color w:val="000000"/>
              </w:rPr>
              <w:t>bezpieczeństwa państwa</w:t>
            </w:r>
            <w:r>
              <w:rPr>
                <w:rFonts w:ascii="Times New Roman" w:hAnsi="Times New Roman"/>
                <w:color w:val="000000"/>
              </w:rPr>
              <w:t>;</w:t>
            </w:r>
          </w:p>
          <w:p w14:paraId="62177CB1" w14:textId="610E5A57" w:rsidR="00744650" w:rsidRDefault="00744650" w:rsidP="00793ED0">
            <w:pPr>
              <w:pStyle w:val="Akapitzlist"/>
              <w:numPr>
                <w:ilvl w:val="1"/>
                <w:numId w:val="73"/>
              </w:numPr>
              <w:contextualSpacing w:val="0"/>
              <w:jc w:val="both"/>
              <w:rPr>
                <w:rFonts w:ascii="Times New Roman" w:hAnsi="Times New Roman"/>
                <w:color w:val="000000"/>
              </w:rPr>
            </w:pPr>
            <w:r w:rsidRPr="00744650">
              <w:rPr>
                <w:rFonts w:ascii="Times New Roman" w:hAnsi="Times New Roman"/>
                <w:color w:val="000000"/>
              </w:rPr>
              <w:t>Sprawdzenie spełnienia założeń i wniosków ujętych w ekspertyzach technicznych dotyczących wpływu MFW na systemy obronności państwa, po ich realizacji</w:t>
            </w:r>
          </w:p>
          <w:p w14:paraId="7B75CFE5" w14:textId="77777777" w:rsidR="00C40FE0" w:rsidRPr="00744650" w:rsidRDefault="00C40FE0" w:rsidP="00744650">
            <w:pPr>
              <w:pStyle w:val="Akapitzlist"/>
              <w:numPr>
                <w:ilvl w:val="1"/>
                <w:numId w:val="73"/>
              </w:numPr>
              <w:contextualSpacing w:val="0"/>
              <w:jc w:val="both"/>
              <w:rPr>
                <w:rFonts w:ascii="Times New Roman" w:hAnsi="Times New Roman"/>
                <w:color w:val="000000"/>
              </w:rPr>
            </w:pPr>
            <w:r w:rsidRPr="00744650">
              <w:rPr>
                <w:rFonts w:ascii="Times New Roman" w:hAnsi="Times New Roman"/>
                <w:color w:val="000000"/>
              </w:rPr>
              <w:t>Terminy dot. certyfikatu zgodności projektowej;</w:t>
            </w:r>
          </w:p>
          <w:p w14:paraId="00876ED1" w14:textId="741F4064" w:rsidR="002464B3" w:rsidRPr="00093E33" w:rsidRDefault="002464B3" w:rsidP="002464B3">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Ustawy z dnia 19 grudnia 2014 r. o rybołówstwie morskim (Dz.</w:t>
            </w:r>
            <w:r w:rsidR="00EA14D7">
              <w:rPr>
                <w:rFonts w:ascii="Times New Roman" w:hAnsi="Times New Roman"/>
                <w:color w:val="000000"/>
              </w:rPr>
              <w:t xml:space="preserve"> </w:t>
            </w:r>
            <w:r w:rsidRPr="00093E33">
              <w:rPr>
                <w:rFonts w:ascii="Times New Roman" w:hAnsi="Times New Roman"/>
                <w:color w:val="000000"/>
              </w:rPr>
              <w:t>U.</w:t>
            </w:r>
            <w:r w:rsidRPr="00093E33">
              <w:t xml:space="preserve"> </w:t>
            </w:r>
            <w:r w:rsidRPr="00093E33">
              <w:rPr>
                <w:rFonts w:ascii="Times New Roman" w:hAnsi="Times New Roman"/>
                <w:color w:val="000000"/>
              </w:rPr>
              <w:t xml:space="preserve">z 2024 r. poz. </w:t>
            </w:r>
            <w:r w:rsidR="00AF4B37" w:rsidRPr="00AF4B37">
              <w:rPr>
                <w:rFonts w:ascii="Times New Roman" w:hAnsi="Times New Roman"/>
                <w:color w:val="000000"/>
              </w:rPr>
              <w:t>243</w:t>
            </w:r>
            <w:r w:rsidR="00EA14D7">
              <w:rPr>
                <w:rFonts w:ascii="Times New Roman" w:hAnsi="Times New Roman"/>
                <w:color w:val="000000"/>
              </w:rPr>
              <w:t>, z późn. zm.</w:t>
            </w:r>
            <w:r w:rsidRPr="00093E33">
              <w:rPr>
                <w:rFonts w:ascii="Times New Roman" w:hAnsi="Times New Roman"/>
                <w:color w:val="000000"/>
              </w:rPr>
              <w:t>) w zakresie uzupełnienia regulacji o delegacj</w:t>
            </w:r>
            <w:r w:rsidR="002B118F">
              <w:rPr>
                <w:rFonts w:ascii="Times New Roman" w:hAnsi="Times New Roman"/>
                <w:color w:val="000000"/>
              </w:rPr>
              <w:t>ę</w:t>
            </w:r>
            <w:r w:rsidRPr="00093E33">
              <w:rPr>
                <w:rFonts w:ascii="Times New Roman" w:hAnsi="Times New Roman"/>
                <w:color w:val="000000"/>
              </w:rPr>
              <w:t xml:space="preserve"> ustawow</w:t>
            </w:r>
            <w:r w:rsidR="002B118F">
              <w:rPr>
                <w:rFonts w:ascii="Times New Roman" w:hAnsi="Times New Roman"/>
                <w:color w:val="000000"/>
              </w:rPr>
              <w:t>ą</w:t>
            </w:r>
            <w:r w:rsidRPr="00093E33">
              <w:rPr>
                <w:rFonts w:ascii="Times New Roman" w:hAnsi="Times New Roman"/>
                <w:color w:val="000000"/>
              </w:rPr>
              <w:t xml:space="preserve"> </w:t>
            </w:r>
            <w:r w:rsidR="002B118F" w:rsidRPr="00093E33">
              <w:rPr>
                <w:rFonts w:ascii="Times New Roman" w:hAnsi="Times New Roman"/>
                <w:color w:val="000000"/>
              </w:rPr>
              <w:t>określając</w:t>
            </w:r>
            <w:r w:rsidR="002B118F">
              <w:rPr>
                <w:rFonts w:ascii="Times New Roman" w:hAnsi="Times New Roman"/>
                <w:color w:val="000000"/>
              </w:rPr>
              <w:t>ą</w:t>
            </w:r>
            <w:r w:rsidR="002B118F" w:rsidRPr="00093E33">
              <w:rPr>
                <w:rFonts w:ascii="Times New Roman" w:hAnsi="Times New Roman"/>
                <w:color w:val="000000"/>
              </w:rPr>
              <w:t xml:space="preserve"> szczegółowe warunki wykonywania rybołówstwa komercyjnego na obszarze morskiej farmy wiatrowej i zespołu urządzeń służących do wyprowadzenia mocy lub ich elementów</w:t>
            </w:r>
            <w:r w:rsidR="00890BF4">
              <w:rPr>
                <w:rFonts w:ascii="Times New Roman" w:hAnsi="Times New Roman"/>
                <w:color w:val="000000"/>
              </w:rPr>
              <w:t>;</w:t>
            </w:r>
          </w:p>
          <w:p w14:paraId="71B57E66" w14:textId="27737EB3" w:rsidR="00C40FE0" w:rsidRPr="00093E33" w:rsidRDefault="00C40FE0" w:rsidP="00793ED0">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Ustawy z dnia 5 sierpnia 2015 r. o pracy na morzu (Dz.</w:t>
            </w:r>
            <w:r w:rsidR="00EA14D7">
              <w:rPr>
                <w:rFonts w:ascii="Times New Roman" w:hAnsi="Times New Roman"/>
                <w:color w:val="000000"/>
              </w:rPr>
              <w:t xml:space="preserve"> </w:t>
            </w:r>
            <w:r w:rsidRPr="00093E33">
              <w:rPr>
                <w:rFonts w:ascii="Times New Roman" w:hAnsi="Times New Roman"/>
                <w:color w:val="000000"/>
              </w:rPr>
              <w:t>U</w:t>
            </w:r>
            <w:r w:rsidR="00793ED0" w:rsidRPr="00093E33">
              <w:rPr>
                <w:rFonts w:ascii="Times New Roman" w:hAnsi="Times New Roman"/>
                <w:color w:val="000000"/>
              </w:rPr>
              <w:t>. z 2023 r. poz. 2257</w:t>
            </w:r>
            <w:r w:rsidRPr="00093E33">
              <w:rPr>
                <w:rFonts w:ascii="Times New Roman" w:hAnsi="Times New Roman"/>
                <w:color w:val="000000"/>
              </w:rPr>
              <w:t>) w zakresie dotyczącym czasu pracy personelu przemysłowego do obsługi morskich farm wiatrowych;</w:t>
            </w:r>
          </w:p>
          <w:p w14:paraId="5ABEF2C8" w14:textId="7EA793EA" w:rsidR="00C40FE0" w:rsidRDefault="00C40FE0" w:rsidP="00793ED0">
            <w:pPr>
              <w:pStyle w:val="Akapitzlist"/>
              <w:numPr>
                <w:ilvl w:val="0"/>
                <w:numId w:val="73"/>
              </w:numPr>
              <w:contextualSpacing w:val="0"/>
              <w:jc w:val="both"/>
              <w:rPr>
                <w:rFonts w:ascii="Times New Roman" w:hAnsi="Times New Roman"/>
                <w:color w:val="000000"/>
              </w:rPr>
            </w:pPr>
            <w:r w:rsidRPr="00093E33">
              <w:rPr>
                <w:rFonts w:ascii="Times New Roman" w:hAnsi="Times New Roman"/>
                <w:color w:val="000000"/>
              </w:rPr>
              <w:t>Ustawy z dnia 20 lipca 2017 r. - Prawo wodne (Dz.</w:t>
            </w:r>
            <w:r w:rsidR="00EA14D7">
              <w:rPr>
                <w:rFonts w:ascii="Times New Roman" w:hAnsi="Times New Roman"/>
                <w:color w:val="000000"/>
              </w:rPr>
              <w:t xml:space="preserve"> </w:t>
            </w:r>
            <w:r w:rsidRPr="00093E33">
              <w:rPr>
                <w:rFonts w:ascii="Times New Roman" w:hAnsi="Times New Roman"/>
                <w:color w:val="000000"/>
              </w:rPr>
              <w:t>U</w:t>
            </w:r>
            <w:r w:rsidR="002464B3" w:rsidRPr="00093E33">
              <w:rPr>
                <w:rFonts w:ascii="Times New Roman" w:hAnsi="Times New Roman"/>
                <w:color w:val="000000"/>
              </w:rPr>
              <w:t xml:space="preserve">. z 2024 r. poz. </w:t>
            </w:r>
            <w:r w:rsidR="007B22AA" w:rsidRPr="007B22AA">
              <w:rPr>
                <w:rFonts w:ascii="Times New Roman" w:hAnsi="Times New Roman"/>
                <w:color w:val="000000"/>
              </w:rPr>
              <w:t xml:space="preserve">1087, </w:t>
            </w:r>
            <w:r w:rsidR="00EA14D7">
              <w:rPr>
                <w:rFonts w:ascii="Times New Roman" w:hAnsi="Times New Roman"/>
                <w:color w:val="000000"/>
              </w:rPr>
              <w:t>z późn. zm.</w:t>
            </w:r>
            <w:r w:rsidRPr="00093E33">
              <w:rPr>
                <w:rFonts w:ascii="Times New Roman" w:hAnsi="Times New Roman"/>
                <w:color w:val="000000"/>
              </w:rPr>
              <w:t xml:space="preserve">) w zakresie </w:t>
            </w:r>
            <w:r w:rsidRPr="00093E33">
              <w:t>z</w:t>
            </w:r>
            <w:r w:rsidRPr="00093E33">
              <w:rPr>
                <w:rFonts w:ascii="Times New Roman" w:hAnsi="Times New Roman"/>
                <w:color w:val="000000"/>
              </w:rPr>
              <w:t>wolnienia z opłaty za grunty pokryte wodami Skarbu Państwa stref ochronnych i stref bezpieczeństwa dla kabli MFW</w:t>
            </w:r>
            <w:r w:rsidR="00EA0E7C">
              <w:rPr>
                <w:rFonts w:ascii="Times New Roman" w:hAnsi="Times New Roman"/>
                <w:color w:val="000000"/>
              </w:rPr>
              <w:t>;</w:t>
            </w:r>
          </w:p>
          <w:p w14:paraId="02A63528" w14:textId="023D7214" w:rsidR="00EA0E7C" w:rsidRDefault="00EA0E7C" w:rsidP="00EA0E7C">
            <w:pPr>
              <w:pStyle w:val="Akapitzlist"/>
              <w:numPr>
                <w:ilvl w:val="0"/>
                <w:numId w:val="73"/>
              </w:numPr>
              <w:contextualSpacing w:val="0"/>
              <w:jc w:val="both"/>
              <w:rPr>
                <w:rFonts w:ascii="Times New Roman" w:hAnsi="Times New Roman"/>
                <w:color w:val="000000"/>
              </w:rPr>
            </w:pPr>
            <w:r w:rsidRPr="0052675B">
              <w:rPr>
                <w:rFonts w:ascii="Times New Roman" w:hAnsi="Times New Roman"/>
                <w:color w:val="000000"/>
              </w:rPr>
              <w:t>Ustaw</w:t>
            </w:r>
            <w:r>
              <w:rPr>
                <w:rFonts w:ascii="Times New Roman" w:hAnsi="Times New Roman"/>
                <w:color w:val="000000"/>
              </w:rPr>
              <w:t>y</w:t>
            </w:r>
            <w:r w:rsidRPr="0052675B">
              <w:rPr>
                <w:rFonts w:ascii="Times New Roman" w:hAnsi="Times New Roman"/>
                <w:color w:val="000000"/>
              </w:rPr>
              <w:t xml:space="preserve"> z dnia 20 lutego 2015 r. o odnawialnych źródłach energii</w:t>
            </w:r>
            <w:r>
              <w:rPr>
                <w:rFonts w:ascii="Times New Roman" w:hAnsi="Times New Roman"/>
                <w:color w:val="000000"/>
              </w:rPr>
              <w:t xml:space="preserve"> (</w:t>
            </w:r>
            <w:r w:rsidRPr="0052675B">
              <w:rPr>
                <w:rFonts w:ascii="Times New Roman" w:hAnsi="Times New Roman"/>
                <w:color w:val="000000"/>
              </w:rPr>
              <w:t>Dz.</w:t>
            </w:r>
            <w:r w:rsidR="00EA14D7">
              <w:rPr>
                <w:rFonts w:ascii="Times New Roman" w:hAnsi="Times New Roman"/>
                <w:color w:val="000000"/>
              </w:rPr>
              <w:t xml:space="preserve"> </w:t>
            </w:r>
            <w:r w:rsidRPr="0052675B">
              <w:rPr>
                <w:rFonts w:ascii="Times New Roman" w:hAnsi="Times New Roman"/>
                <w:color w:val="000000"/>
              </w:rPr>
              <w:t>U. z 202</w:t>
            </w:r>
            <w:r w:rsidR="00534A40">
              <w:rPr>
                <w:rFonts w:ascii="Times New Roman" w:hAnsi="Times New Roman"/>
                <w:color w:val="000000"/>
              </w:rPr>
              <w:t>4</w:t>
            </w:r>
            <w:r w:rsidRPr="0052675B">
              <w:rPr>
                <w:rFonts w:ascii="Times New Roman" w:hAnsi="Times New Roman"/>
                <w:color w:val="000000"/>
              </w:rPr>
              <w:t xml:space="preserve"> r. poz. </w:t>
            </w:r>
            <w:r w:rsidR="00AF4B37" w:rsidRPr="00AF4B37">
              <w:rPr>
                <w:rFonts w:ascii="Times New Roman" w:hAnsi="Times New Roman"/>
                <w:color w:val="000000"/>
              </w:rPr>
              <w:t xml:space="preserve">1361, </w:t>
            </w:r>
            <w:r w:rsidR="00EA14D7">
              <w:rPr>
                <w:rFonts w:ascii="Times New Roman" w:hAnsi="Times New Roman"/>
                <w:color w:val="000000"/>
              </w:rPr>
              <w:t>z późn. zm.</w:t>
            </w:r>
            <w:r>
              <w:rPr>
                <w:rFonts w:ascii="Times New Roman" w:hAnsi="Times New Roman"/>
                <w:color w:val="000000"/>
              </w:rPr>
              <w:t>)</w:t>
            </w:r>
            <w:r w:rsidR="00AF4B37">
              <w:rPr>
                <w:rFonts w:ascii="Times New Roman" w:hAnsi="Times New Roman"/>
                <w:color w:val="000000"/>
              </w:rPr>
              <w:t xml:space="preserve">, </w:t>
            </w:r>
            <w:r w:rsidR="00AF4B37" w:rsidRPr="00AF4B37">
              <w:rPr>
                <w:rFonts w:ascii="Times New Roman" w:hAnsi="Times New Roman"/>
                <w:color w:val="000000"/>
              </w:rPr>
              <w:t>ustaw</w:t>
            </w:r>
            <w:r w:rsidR="00AF4B37">
              <w:rPr>
                <w:rFonts w:ascii="Times New Roman" w:hAnsi="Times New Roman"/>
                <w:color w:val="000000"/>
              </w:rPr>
              <w:t>y</w:t>
            </w:r>
            <w:r w:rsidR="00AF4B37" w:rsidRPr="00AF4B37">
              <w:rPr>
                <w:rFonts w:ascii="Times New Roman" w:hAnsi="Times New Roman"/>
                <w:color w:val="000000"/>
              </w:rPr>
              <w:t xml:space="preserve"> z dnia 10 kwietnia 1997 r. – Prawo energetyczne (Dz.</w:t>
            </w:r>
            <w:r w:rsidR="00EA14D7">
              <w:rPr>
                <w:rFonts w:ascii="Times New Roman" w:hAnsi="Times New Roman"/>
                <w:color w:val="000000"/>
              </w:rPr>
              <w:t xml:space="preserve"> </w:t>
            </w:r>
            <w:r w:rsidR="00AF4B37" w:rsidRPr="00AF4B37">
              <w:rPr>
                <w:rFonts w:ascii="Times New Roman" w:hAnsi="Times New Roman"/>
                <w:color w:val="000000"/>
              </w:rPr>
              <w:t xml:space="preserve">U. z 2024 r. poz. 266, </w:t>
            </w:r>
            <w:r w:rsidR="00EA14D7">
              <w:rPr>
                <w:rFonts w:ascii="Times New Roman" w:hAnsi="Times New Roman"/>
                <w:color w:val="000000"/>
              </w:rPr>
              <w:t>z późn. zm.</w:t>
            </w:r>
            <w:r w:rsidR="00AF4B37" w:rsidRPr="00AF4B37">
              <w:rPr>
                <w:rFonts w:ascii="Times New Roman" w:hAnsi="Times New Roman"/>
                <w:color w:val="000000"/>
              </w:rPr>
              <w:t>)</w:t>
            </w:r>
            <w:r w:rsidR="00AF4B37">
              <w:rPr>
                <w:rFonts w:ascii="Times New Roman" w:hAnsi="Times New Roman"/>
                <w:color w:val="000000"/>
              </w:rPr>
              <w:t xml:space="preserve">, </w:t>
            </w:r>
            <w:r w:rsidR="00AF4B37" w:rsidRPr="00AF4B37">
              <w:rPr>
                <w:rFonts w:ascii="Times New Roman" w:hAnsi="Times New Roman"/>
                <w:color w:val="000000"/>
              </w:rPr>
              <w:t>ustaw</w:t>
            </w:r>
            <w:r w:rsidR="00AF4B37">
              <w:rPr>
                <w:rFonts w:ascii="Times New Roman" w:hAnsi="Times New Roman"/>
                <w:color w:val="000000"/>
              </w:rPr>
              <w:t>y</w:t>
            </w:r>
            <w:r w:rsidR="00AF4B37" w:rsidRPr="00AF4B37">
              <w:rPr>
                <w:rFonts w:ascii="Times New Roman" w:hAnsi="Times New Roman"/>
                <w:color w:val="000000"/>
              </w:rPr>
              <w:t xml:space="preserve"> z</w:t>
            </w:r>
            <w:r w:rsidR="00AF4B37">
              <w:rPr>
                <w:rFonts w:ascii="Times New Roman" w:hAnsi="Times New Roman"/>
                <w:color w:val="000000"/>
              </w:rPr>
              <w:t> </w:t>
            </w:r>
            <w:r w:rsidR="00AF4B37" w:rsidRPr="00AF4B37">
              <w:rPr>
                <w:rFonts w:ascii="Times New Roman" w:hAnsi="Times New Roman"/>
                <w:color w:val="000000"/>
              </w:rPr>
              <w:t>dnia 5 czerwca 1998 r. o samorządzie województwa (Dz.</w:t>
            </w:r>
            <w:r w:rsidR="00EA14D7">
              <w:rPr>
                <w:rFonts w:ascii="Times New Roman" w:hAnsi="Times New Roman"/>
                <w:color w:val="000000"/>
              </w:rPr>
              <w:t xml:space="preserve"> </w:t>
            </w:r>
            <w:r w:rsidR="00AF4B37" w:rsidRPr="00AF4B37">
              <w:rPr>
                <w:rFonts w:ascii="Times New Roman" w:hAnsi="Times New Roman"/>
                <w:color w:val="000000"/>
              </w:rPr>
              <w:t xml:space="preserve">U. z 2024 r. poz. 566, </w:t>
            </w:r>
            <w:r w:rsidR="00EA14D7">
              <w:rPr>
                <w:rFonts w:ascii="Times New Roman" w:hAnsi="Times New Roman"/>
                <w:color w:val="000000"/>
              </w:rPr>
              <w:t>z późn. zm.</w:t>
            </w:r>
            <w:r w:rsidR="00AF4B37" w:rsidRPr="00AF4B37">
              <w:rPr>
                <w:rFonts w:ascii="Times New Roman" w:hAnsi="Times New Roman"/>
                <w:color w:val="000000"/>
              </w:rPr>
              <w:t xml:space="preserve">) </w:t>
            </w:r>
            <w:r w:rsidR="00AF4B37">
              <w:rPr>
                <w:rFonts w:ascii="Times New Roman" w:hAnsi="Times New Roman"/>
                <w:color w:val="000000"/>
              </w:rPr>
              <w:t xml:space="preserve">i </w:t>
            </w:r>
            <w:r w:rsidR="00AF4B37" w:rsidRPr="00AF4B37">
              <w:rPr>
                <w:rFonts w:ascii="Times New Roman" w:hAnsi="Times New Roman"/>
                <w:color w:val="000000"/>
              </w:rPr>
              <w:t>ustaw</w:t>
            </w:r>
            <w:r w:rsidR="00AF4B37">
              <w:rPr>
                <w:rFonts w:ascii="Times New Roman" w:hAnsi="Times New Roman"/>
                <w:color w:val="000000"/>
              </w:rPr>
              <w:t>y</w:t>
            </w:r>
            <w:r w:rsidR="00AF4B37" w:rsidRPr="00AF4B37">
              <w:rPr>
                <w:rFonts w:ascii="Times New Roman" w:hAnsi="Times New Roman"/>
                <w:color w:val="000000"/>
              </w:rPr>
              <w:t xml:space="preserve"> z dnia 3 października 2008 r. o udostępnianiu informacji o środowisku i jego ochronie, udziale społeczeństwa w</w:t>
            </w:r>
            <w:r w:rsidR="00AF4B37">
              <w:rPr>
                <w:rFonts w:ascii="Times New Roman" w:hAnsi="Times New Roman"/>
                <w:color w:val="000000"/>
              </w:rPr>
              <w:t> </w:t>
            </w:r>
            <w:r w:rsidR="00AF4B37" w:rsidRPr="00AF4B37">
              <w:rPr>
                <w:rFonts w:ascii="Times New Roman" w:hAnsi="Times New Roman"/>
                <w:color w:val="000000"/>
              </w:rPr>
              <w:t>ochronie środowiska oraz o ocenach oddziaływania na środowisko (Dz.</w:t>
            </w:r>
            <w:r w:rsidR="00EA14D7">
              <w:rPr>
                <w:rFonts w:ascii="Times New Roman" w:hAnsi="Times New Roman"/>
                <w:color w:val="000000"/>
              </w:rPr>
              <w:t xml:space="preserve"> </w:t>
            </w:r>
            <w:r w:rsidR="00AF4B37" w:rsidRPr="00AF4B37">
              <w:rPr>
                <w:rFonts w:ascii="Times New Roman" w:hAnsi="Times New Roman"/>
                <w:color w:val="000000"/>
              </w:rPr>
              <w:t xml:space="preserve">U. z 2024 r. poz. 1112, </w:t>
            </w:r>
            <w:r w:rsidR="00EA14D7">
              <w:rPr>
                <w:rFonts w:ascii="Times New Roman" w:hAnsi="Times New Roman"/>
                <w:color w:val="000000"/>
              </w:rPr>
              <w:t>z późn. zm.</w:t>
            </w:r>
            <w:r w:rsidR="00AF4B37" w:rsidRPr="00AF4B37">
              <w:rPr>
                <w:rFonts w:ascii="Times New Roman" w:hAnsi="Times New Roman"/>
                <w:color w:val="000000"/>
              </w:rPr>
              <w:t>)</w:t>
            </w:r>
            <w:r w:rsidR="00AF4B37">
              <w:rPr>
                <w:rFonts w:ascii="Times New Roman" w:hAnsi="Times New Roman"/>
                <w:color w:val="000000"/>
              </w:rPr>
              <w:t xml:space="preserve"> </w:t>
            </w:r>
            <w:r>
              <w:rPr>
                <w:rFonts w:ascii="Times New Roman" w:hAnsi="Times New Roman"/>
                <w:color w:val="000000"/>
              </w:rPr>
              <w:t xml:space="preserve">w zakresie </w:t>
            </w:r>
            <w:r w:rsidRPr="0052675B">
              <w:rPr>
                <w:rFonts w:ascii="Times New Roman" w:hAnsi="Times New Roman"/>
                <w:color w:val="000000"/>
              </w:rPr>
              <w:t>now</w:t>
            </w:r>
            <w:r>
              <w:rPr>
                <w:rFonts w:ascii="Times New Roman" w:hAnsi="Times New Roman"/>
                <w:color w:val="000000"/>
              </w:rPr>
              <w:t>ych</w:t>
            </w:r>
            <w:r w:rsidRPr="0052675B">
              <w:rPr>
                <w:rFonts w:ascii="Times New Roman" w:hAnsi="Times New Roman"/>
                <w:color w:val="000000"/>
              </w:rPr>
              <w:t xml:space="preserve"> instrument</w:t>
            </w:r>
            <w:r>
              <w:rPr>
                <w:rFonts w:ascii="Times New Roman" w:hAnsi="Times New Roman"/>
                <w:color w:val="000000"/>
              </w:rPr>
              <w:t>ów</w:t>
            </w:r>
            <w:r w:rsidRPr="0052675B">
              <w:rPr>
                <w:rFonts w:ascii="Times New Roman" w:hAnsi="Times New Roman"/>
                <w:color w:val="000000"/>
              </w:rPr>
              <w:t xml:space="preserve"> realizacji polityki klimatyczno-energetycznej Unii Europejskiej wprowadzon</w:t>
            </w:r>
            <w:r>
              <w:rPr>
                <w:rFonts w:ascii="Times New Roman" w:hAnsi="Times New Roman"/>
                <w:color w:val="000000"/>
              </w:rPr>
              <w:t>ych</w:t>
            </w:r>
            <w:r w:rsidRPr="0052675B">
              <w:rPr>
                <w:rFonts w:ascii="Times New Roman" w:hAnsi="Times New Roman"/>
                <w:color w:val="000000"/>
              </w:rPr>
              <w:t xml:space="preserve"> </w:t>
            </w:r>
            <w:r>
              <w:rPr>
                <w:rFonts w:ascii="Times New Roman" w:hAnsi="Times New Roman"/>
                <w:color w:val="000000"/>
              </w:rPr>
              <w:t>d</w:t>
            </w:r>
            <w:r w:rsidRPr="0052675B">
              <w:rPr>
                <w:rFonts w:ascii="Times New Roman" w:hAnsi="Times New Roman"/>
                <w:color w:val="000000"/>
              </w:rPr>
              <w:t>yrektywą</w:t>
            </w:r>
            <w:r>
              <w:rPr>
                <w:rFonts w:ascii="Times New Roman" w:hAnsi="Times New Roman"/>
                <w:color w:val="000000"/>
              </w:rPr>
              <w:t xml:space="preserve"> RED III, takich jak </w:t>
            </w:r>
            <w:r w:rsidRPr="0052675B">
              <w:rPr>
                <w:rFonts w:ascii="Times New Roman" w:hAnsi="Times New Roman"/>
                <w:color w:val="000000"/>
              </w:rPr>
              <w:t xml:space="preserve">obowiązek zmapowania obszarów niezbędnych do wniesienia krajowych wkładów w realizację ogólnego celu unijnego w zakresie energii odnawialnej wyznaczonego na 2030 r. </w:t>
            </w:r>
            <w:r>
              <w:rPr>
                <w:rFonts w:ascii="Times New Roman" w:hAnsi="Times New Roman"/>
                <w:color w:val="000000"/>
              </w:rPr>
              <w:t xml:space="preserve">oraz </w:t>
            </w:r>
            <w:r w:rsidRPr="0052675B">
              <w:rPr>
                <w:rFonts w:ascii="Times New Roman" w:hAnsi="Times New Roman"/>
                <w:color w:val="000000"/>
              </w:rPr>
              <w:t xml:space="preserve">wprowadzenie </w:t>
            </w:r>
            <w:r>
              <w:rPr>
                <w:rFonts w:ascii="Times New Roman" w:hAnsi="Times New Roman"/>
                <w:color w:val="000000"/>
              </w:rPr>
              <w:t>ram prawnych dla wyznaczania</w:t>
            </w:r>
            <w:r w:rsidRPr="0052675B">
              <w:rPr>
                <w:rFonts w:ascii="Times New Roman" w:hAnsi="Times New Roman"/>
                <w:color w:val="000000"/>
              </w:rPr>
              <w:t xml:space="preserve"> obszarów przyspieszonego rozwoju </w:t>
            </w:r>
            <w:r w:rsidR="001778AA" w:rsidRPr="001778AA">
              <w:rPr>
                <w:rFonts w:ascii="Times New Roman" w:hAnsi="Times New Roman"/>
                <w:color w:val="000000"/>
              </w:rPr>
              <w:t>instalacji odnawialnego źródła energii</w:t>
            </w:r>
            <w:r w:rsidRPr="0052675B">
              <w:rPr>
                <w:rFonts w:ascii="Times New Roman" w:hAnsi="Times New Roman"/>
                <w:color w:val="000000"/>
              </w:rPr>
              <w:t>, dalej „OPRO”</w:t>
            </w:r>
            <w:r>
              <w:rPr>
                <w:rFonts w:ascii="Times New Roman" w:hAnsi="Times New Roman"/>
                <w:color w:val="000000"/>
              </w:rPr>
              <w:t>.</w:t>
            </w:r>
          </w:p>
          <w:p w14:paraId="65F9B66B" w14:textId="13998770" w:rsidR="00FB1A8C" w:rsidRPr="00EA0E7C" w:rsidRDefault="00FB1A8C" w:rsidP="00EA0E7C">
            <w:pPr>
              <w:pStyle w:val="Akapitzlist"/>
              <w:numPr>
                <w:ilvl w:val="0"/>
                <w:numId w:val="73"/>
              </w:numPr>
              <w:contextualSpacing w:val="0"/>
              <w:jc w:val="both"/>
              <w:rPr>
                <w:rFonts w:ascii="Times New Roman" w:hAnsi="Times New Roman"/>
                <w:color w:val="000000"/>
              </w:rPr>
            </w:pPr>
            <w:r w:rsidRPr="0052675B">
              <w:rPr>
                <w:rFonts w:ascii="Times New Roman" w:hAnsi="Times New Roman"/>
                <w:color w:val="000000"/>
              </w:rPr>
              <w:t>Ustaw</w:t>
            </w:r>
            <w:r>
              <w:rPr>
                <w:rFonts w:ascii="Times New Roman" w:hAnsi="Times New Roman"/>
                <w:color w:val="000000"/>
              </w:rPr>
              <w:t>y</w:t>
            </w:r>
            <w:r w:rsidRPr="0052675B">
              <w:rPr>
                <w:rFonts w:ascii="Times New Roman" w:hAnsi="Times New Roman"/>
                <w:color w:val="000000"/>
              </w:rPr>
              <w:t xml:space="preserve"> z dnia 20 lutego 2015 r. o odnawialnych źródłach energii</w:t>
            </w:r>
            <w:r>
              <w:rPr>
                <w:rFonts w:ascii="Times New Roman" w:hAnsi="Times New Roman"/>
                <w:color w:val="000000"/>
              </w:rPr>
              <w:t xml:space="preserve"> (</w:t>
            </w:r>
            <w:r w:rsidRPr="0052675B">
              <w:rPr>
                <w:rFonts w:ascii="Times New Roman" w:hAnsi="Times New Roman"/>
                <w:color w:val="000000"/>
              </w:rPr>
              <w:t>Dz.</w:t>
            </w:r>
            <w:r w:rsidR="00EA14D7">
              <w:rPr>
                <w:rFonts w:ascii="Times New Roman" w:hAnsi="Times New Roman"/>
                <w:color w:val="000000"/>
              </w:rPr>
              <w:t xml:space="preserve"> </w:t>
            </w:r>
            <w:r w:rsidRPr="0052675B">
              <w:rPr>
                <w:rFonts w:ascii="Times New Roman" w:hAnsi="Times New Roman"/>
                <w:color w:val="000000"/>
              </w:rPr>
              <w:t>U. z 202</w:t>
            </w:r>
            <w:r>
              <w:rPr>
                <w:rFonts w:ascii="Times New Roman" w:hAnsi="Times New Roman"/>
                <w:color w:val="000000"/>
              </w:rPr>
              <w:t>4</w:t>
            </w:r>
            <w:r w:rsidRPr="0052675B">
              <w:rPr>
                <w:rFonts w:ascii="Times New Roman" w:hAnsi="Times New Roman"/>
                <w:color w:val="000000"/>
              </w:rPr>
              <w:t xml:space="preserve"> r. poz. </w:t>
            </w:r>
            <w:r w:rsidRPr="00AF4B37">
              <w:rPr>
                <w:rFonts w:ascii="Times New Roman" w:hAnsi="Times New Roman"/>
                <w:color w:val="000000"/>
              </w:rPr>
              <w:t xml:space="preserve">1361, </w:t>
            </w:r>
            <w:r w:rsidR="00EA14D7">
              <w:rPr>
                <w:rFonts w:ascii="Times New Roman" w:hAnsi="Times New Roman"/>
                <w:color w:val="000000"/>
              </w:rPr>
              <w:t>z późn. zm.</w:t>
            </w:r>
            <w:r>
              <w:rPr>
                <w:rFonts w:ascii="Times New Roman" w:hAnsi="Times New Roman"/>
                <w:color w:val="000000"/>
              </w:rPr>
              <w:t>) w zakresie rozszerzenia możliwości powstawania spółdzielni energetycznych na gminy miejskie.</w:t>
            </w:r>
          </w:p>
          <w:p w14:paraId="1B33A940" w14:textId="77777777" w:rsidR="00C40FE0" w:rsidRPr="00093E33" w:rsidRDefault="00C40FE0" w:rsidP="00793ED0">
            <w:pPr>
              <w:pStyle w:val="Akapitzlist"/>
              <w:numPr>
                <w:ilvl w:val="0"/>
                <w:numId w:val="74"/>
              </w:numPr>
              <w:spacing w:before="240" w:after="120"/>
              <w:contextualSpacing w:val="0"/>
              <w:jc w:val="both"/>
              <w:rPr>
                <w:rFonts w:ascii="Times New Roman" w:hAnsi="Times New Roman"/>
                <w:b/>
                <w:color w:val="000000"/>
              </w:rPr>
            </w:pPr>
            <w:r w:rsidRPr="00093E33">
              <w:rPr>
                <w:rFonts w:ascii="Times New Roman" w:hAnsi="Times New Roman"/>
                <w:b/>
                <w:color w:val="000000"/>
              </w:rPr>
              <w:t>Zmiany w aukcyjnym systemie wsparcia</w:t>
            </w:r>
          </w:p>
          <w:p w14:paraId="340C51C1" w14:textId="7AFEF553" w:rsidR="00C40FE0" w:rsidRPr="00093E33" w:rsidRDefault="00C40FE0" w:rsidP="00744650">
            <w:pPr>
              <w:spacing w:after="120"/>
              <w:jc w:val="both"/>
              <w:rPr>
                <w:rFonts w:ascii="Times New Roman" w:hAnsi="Times New Roman"/>
                <w:color w:val="000000"/>
              </w:rPr>
            </w:pPr>
            <w:bookmarkStart w:id="3" w:name="_Hlk172202482"/>
            <w:r w:rsidRPr="00093E33">
              <w:rPr>
                <w:rFonts w:ascii="Times New Roman" w:hAnsi="Times New Roman"/>
                <w:color w:val="000000"/>
              </w:rPr>
              <w:t xml:space="preserve">Aukcyjny system wsparcia dla MFW zakłada przeprowadzenie pierwszej aukcji w 2025 r. </w:t>
            </w:r>
          </w:p>
          <w:p w14:paraId="10FD8D5A" w14:textId="364F6608" w:rsidR="00C40FE0" w:rsidRPr="00093E33" w:rsidRDefault="00C40FE0" w:rsidP="00AB2D33">
            <w:pPr>
              <w:spacing w:after="120"/>
              <w:jc w:val="both"/>
              <w:rPr>
                <w:rFonts w:ascii="Times New Roman" w:hAnsi="Times New Roman"/>
                <w:color w:val="000000"/>
              </w:rPr>
            </w:pPr>
            <w:r w:rsidRPr="00093E33">
              <w:rPr>
                <w:rFonts w:ascii="Times New Roman" w:hAnsi="Times New Roman"/>
                <w:color w:val="000000"/>
              </w:rPr>
              <w:t>Efektywna realizacja procesów przygotowawczych do wzięcia udziału w aukcji, a w konsekwencji skuteczne przeprowadzenie aukcji w 2025 r. jest niezbędnym elementem zapewnienia długoterminowej i stabilnej pracy krajowego systemu elektroenergetycznego oraz uniknięcia tzw. luki generacyjnej, wynikającej ze zwiększającego się zapotrzebowania na energię elektryczną przy jednoczesnym spodziewanym wycofywaniu części jednostek węglowych.</w:t>
            </w:r>
            <w:r w:rsidR="00F56AB6">
              <w:rPr>
                <w:rFonts w:ascii="Times New Roman" w:hAnsi="Times New Roman"/>
                <w:color w:val="000000"/>
              </w:rPr>
              <w:t xml:space="preserve"> Jednocześnie należy zapewnić </w:t>
            </w:r>
            <w:r w:rsidR="00F56AB6" w:rsidRPr="00EA424A">
              <w:rPr>
                <w:rFonts w:ascii="Times New Roman" w:hAnsi="Times New Roman"/>
                <w:color w:val="000000"/>
              </w:rPr>
              <w:t>terminow</w:t>
            </w:r>
            <w:r w:rsidR="00F56AB6">
              <w:rPr>
                <w:rFonts w:ascii="Times New Roman" w:hAnsi="Times New Roman"/>
                <w:color w:val="000000"/>
              </w:rPr>
              <w:t>ą</w:t>
            </w:r>
            <w:r w:rsidR="00F56AB6" w:rsidRPr="00EA424A">
              <w:rPr>
                <w:rFonts w:ascii="Times New Roman" w:hAnsi="Times New Roman"/>
                <w:color w:val="000000"/>
              </w:rPr>
              <w:t xml:space="preserve"> realizacj</w:t>
            </w:r>
            <w:r w:rsidR="00F56AB6">
              <w:rPr>
                <w:rFonts w:ascii="Times New Roman" w:hAnsi="Times New Roman"/>
                <w:color w:val="000000"/>
              </w:rPr>
              <w:t>ę</w:t>
            </w:r>
            <w:r w:rsidR="00F56AB6" w:rsidRPr="00EA424A">
              <w:rPr>
                <w:rFonts w:ascii="Times New Roman" w:hAnsi="Times New Roman"/>
                <w:color w:val="000000"/>
              </w:rPr>
              <w:t xml:space="preserve"> inwestycji </w:t>
            </w:r>
            <w:r w:rsidR="00F56AB6">
              <w:rPr>
                <w:rFonts w:ascii="Times New Roman" w:hAnsi="Times New Roman"/>
                <w:color w:val="000000"/>
              </w:rPr>
              <w:t>realizowanych w ramach I fazy systemu wsparcia</w:t>
            </w:r>
            <w:r w:rsidR="00F56AB6" w:rsidRPr="00EA424A">
              <w:rPr>
                <w:rFonts w:ascii="Times New Roman" w:hAnsi="Times New Roman"/>
                <w:color w:val="000000"/>
              </w:rPr>
              <w:t xml:space="preserve">, a </w:t>
            </w:r>
            <w:r w:rsidR="00F56AB6">
              <w:rPr>
                <w:rFonts w:ascii="Times New Roman" w:hAnsi="Times New Roman"/>
                <w:color w:val="000000"/>
              </w:rPr>
              <w:t>także</w:t>
            </w:r>
            <w:r w:rsidR="00F56AB6" w:rsidRPr="00EA424A">
              <w:rPr>
                <w:rFonts w:ascii="Times New Roman" w:hAnsi="Times New Roman"/>
                <w:color w:val="000000"/>
              </w:rPr>
              <w:t xml:space="preserve"> osiągnięcie celów strategicznych państwa</w:t>
            </w:r>
            <w:r w:rsidR="00F56AB6">
              <w:rPr>
                <w:rFonts w:ascii="Times New Roman" w:hAnsi="Times New Roman"/>
                <w:color w:val="000000"/>
              </w:rPr>
              <w:t>.</w:t>
            </w:r>
          </w:p>
          <w:p w14:paraId="110358BF" w14:textId="099412F7" w:rsidR="00C40FE0" w:rsidRPr="00093E33" w:rsidRDefault="00C40FE0" w:rsidP="00AB2D33">
            <w:pPr>
              <w:spacing w:after="120"/>
              <w:jc w:val="both"/>
              <w:rPr>
                <w:rFonts w:ascii="Times New Roman" w:hAnsi="Times New Roman"/>
                <w:bCs/>
                <w:color w:val="000000"/>
              </w:rPr>
            </w:pPr>
            <w:r w:rsidRPr="00093E33">
              <w:rPr>
                <w:rFonts w:ascii="Times New Roman" w:hAnsi="Times New Roman"/>
                <w:bCs/>
                <w:color w:val="000000"/>
              </w:rPr>
              <w:t xml:space="preserve">Zwiększenie korzyści płynących z budowy MFW dla krajowej gospodarki było jednym z kluczowych założeń tworzenia rozwiązań wspierających sektor MEW. </w:t>
            </w:r>
          </w:p>
          <w:p w14:paraId="191139A5" w14:textId="77777777" w:rsidR="00C40FE0" w:rsidRPr="00093E33" w:rsidRDefault="00C40FE0" w:rsidP="00AB2D33">
            <w:pPr>
              <w:spacing w:after="120"/>
              <w:jc w:val="both"/>
              <w:rPr>
                <w:rFonts w:ascii="Times New Roman" w:hAnsi="Times New Roman"/>
                <w:bCs/>
                <w:color w:val="000000"/>
              </w:rPr>
            </w:pPr>
            <w:r w:rsidRPr="00093E33">
              <w:rPr>
                <w:rFonts w:ascii="Times New Roman" w:hAnsi="Times New Roman"/>
                <w:bCs/>
                <w:color w:val="000000"/>
              </w:rPr>
              <w:lastRenderedPageBreak/>
              <w:t>Wdrożenie dodatkowych rozwiązań prawnych do funkcjonującego aukcyjnego systemu wsparcia zwiększy podaż projektów MFW spełniających ustawowe wymagania, tym samym zwiększając prawdopodobieństwo skutecznej realizacji aukcji w 2025 r. oraz latach kolejnych.</w:t>
            </w:r>
          </w:p>
          <w:bookmarkEnd w:id="3"/>
          <w:p w14:paraId="770D4009" w14:textId="77777777"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Pokrycie ujemnego salda w przypadku redysponowania MFW na zasadach rynkowych</w:t>
            </w:r>
          </w:p>
          <w:p w14:paraId="01837D4A" w14:textId="4A3C9B66" w:rsidR="009D3239" w:rsidRPr="00093E33" w:rsidRDefault="009D3239" w:rsidP="00AB2D33">
            <w:pPr>
              <w:spacing w:after="120"/>
              <w:jc w:val="both"/>
              <w:rPr>
                <w:rFonts w:ascii="Times New Roman" w:hAnsi="Times New Roman"/>
                <w:bCs/>
                <w:color w:val="000000"/>
              </w:rPr>
            </w:pPr>
            <w:r w:rsidRPr="00093E33">
              <w:rPr>
                <w:rFonts w:ascii="Times New Roman" w:hAnsi="Times New Roman"/>
                <w:bCs/>
                <w:color w:val="000000"/>
              </w:rPr>
              <w:t xml:space="preserve">Równolegle z postępami prac nad pierwszymi projektami </w:t>
            </w:r>
            <w:r w:rsidR="004742F9" w:rsidRPr="00093E33">
              <w:rPr>
                <w:rFonts w:ascii="Times New Roman" w:hAnsi="Times New Roman"/>
                <w:bCs/>
                <w:color w:val="000000"/>
              </w:rPr>
              <w:t>MFW</w:t>
            </w:r>
            <w:r w:rsidRPr="00093E33">
              <w:rPr>
                <w:rFonts w:ascii="Times New Roman" w:hAnsi="Times New Roman"/>
                <w:bCs/>
                <w:color w:val="000000"/>
              </w:rPr>
              <w:t xml:space="preserve"> trwa proces zmian zasad funkcjonowania rynku bilansującego, wynikający z implementacji postanowień prawa Unii Europejskiej, w tym wymagań określonych w ramach Decyzji Komisji Europejskiej z dnia 7 lutego 2018 r. zatwierdzającej mechanizm zdolności wytwórczych mających na celu zagwarantowanie bezpieczeństwa dostaw energii elektrycznej (SA.46100). W wyniku zmian przesądzone zostało, że co do zasady </w:t>
            </w:r>
            <w:r w:rsidR="004742F9" w:rsidRPr="00093E33">
              <w:rPr>
                <w:rFonts w:ascii="Times New Roman" w:hAnsi="Times New Roman"/>
                <w:bCs/>
                <w:color w:val="000000"/>
              </w:rPr>
              <w:t>MFW</w:t>
            </w:r>
            <w:r w:rsidRPr="00093E33">
              <w:rPr>
                <w:rFonts w:ascii="Times New Roman" w:hAnsi="Times New Roman"/>
                <w:bCs/>
                <w:color w:val="000000"/>
              </w:rPr>
              <w:t xml:space="preserve"> przyłączone do sieci przesyłowej stanowić będą Jednostki Wytwórcze Centralnie Dysponowane (JWCD), w związku z czym będą miały one obowiązek aktywnego uczestnictwa w bilansowaniu systemu w ramach rynku bilansującego. </w:t>
            </w:r>
          </w:p>
          <w:p w14:paraId="2C6A2B7E" w14:textId="3B95441D" w:rsidR="009D3239" w:rsidRPr="00093E33" w:rsidRDefault="009D3239" w:rsidP="00AB2D33">
            <w:pPr>
              <w:spacing w:after="120"/>
              <w:jc w:val="both"/>
              <w:rPr>
                <w:rFonts w:ascii="Times New Roman" w:hAnsi="Times New Roman"/>
                <w:bCs/>
                <w:color w:val="000000"/>
              </w:rPr>
            </w:pPr>
            <w:r w:rsidRPr="00093E33">
              <w:rPr>
                <w:rFonts w:ascii="Times New Roman" w:hAnsi="Times New Roman"/>
                <w:bCs/>
                <w:color w:val="000000"/>
              </w:rPr>
              <w:t xml:space="preserve">Aktualnie przepisy ustawy offshore wind przewidują rekompensaty dla wytwórców energii w </w:t>
            </w:r>
            <w:r w:rsidR="004742F9" w:rsidRPr="00093E33">
              <w:rPr>
                <w:rFonts w:ascii="Times New Roman" w:hAnsi="Times New Roman"/>
                <w:bCs/>
                <w:color w:val="000000"/>
              </w:rPr>
              <w:t>MFW</w:t>
            </w:r>
            <w:r w:rsidRPr="00093E33">
              <w:rPr>
                <w:rFonts w:ascii="Times New Roman" w:hAnsi="Times New Roman"/>
                <w:bCs/>
                <w:color w:val="000000"/>
              </w:rPr>
              <w:t xml:space="preserve"> w przypadku redysponowania na zasadach nierynkowych. Wynika to z faktu, że w tracie prac nad ustawą offshore wind </w:t>
            </w:r>
            <w:r w:rsidR="004742F9" w:rsidRPr="00093E33">
              <w:rPr>
                <w:rFonts w:ascii="Times New Roman" w:hAnsi="Times New Roman"/>
                <w:bCs/>
                <w:color w:val="000000"/>
              </w:rPr>
              <w:t>MFW</w:t>
            </w:r>
            <w:r w:rsidRPr="00093E33">
              <w:rPr>
                <w:rFonts w:ascii="Times New Roman" w:hAnsi="Times New Roman"/>
                <w:bCs/>
                <w:color w:val="000000"/>
              </w:rPr>
              <w:t xml:space="preserve"> nie były traktowane jak JWCD. W związku ze zmianami zasad funkcjonowania rynku bilansującego </w:t>
            </w:r>
            <w:r w:rsidR="004742F9" w:rsidRPr="00093E33">
              <w:rPr>
                <w:rFonts w:ascii="Times New Roman" w:hAnsi="Times New Roman"/>
                <w:bCs/>
                <w:color w:val="000000"/>
              </w:rPr>
              <w:t>MFW</w:t>
            </w:r>
            <w:r w:rsidRPr="00093E33">
              <w:rPr>
                <w:rFonts w:ascii="Times New Roman" w:hAnsi="Times New Roman"/>
                <w:bCs/>
                <w:color w:val="000000"/>
              </w:rPr>
              <w:t xml:space="preserve"> przyłączone do sieci przesyłowej będą objęte obowiązkiem aktywnego uczestnictwa w rynku bilansującym, a tym samym – w stosunku do żadnej z nich nie zajdzie okoliczność redysponowania na zasadach nierynkowych. Oznacza to, że intencja ustawodawcy dotycząca zagwarantowania </w:t>
            </w:r>
            <w:r w:rsidR="004742F9" w:rsidRPr="00093E33">
              <w:rPr>
                <w:rFonts w:ascii="Times New Roman" w:hAnsi="Times New Roman"/>
                <w:bCs/>
                <w:color w:val="000000"/>
              </w:rPr>
              <w:t>MFW</w:t>
            </w:r>
            <w:r w:rsidRPr="00093E33">
              <w:rPr>
                <w:rFonts w:ascii="Times New Roman" w:hAnsi="Times New Roman"/>
                <w:bCs/>
                <w:color w:val="000000"/>
              </w:rPr>
              <w:t xml:space="preserve"> formy rekompensaty (prawa do pokrycia ujemnego salda od Zarządcy Rozliczeń) z</w:t>
            </w:r>
            <w:r w:rsidR="00347B23">
              <w:rPr>
                <w:rFonts w:ascii="Times New Roman" w:hAnsi="Times New Roman"/>
                <w:bCs/>
                <w:color w:val="000000"/>
              </w:rPr>
              <w:t> </w:t>
            </w:r>
            <w:r w:rsidRPr="00093E33">
              <w:rPr>
                <w:rFonts w:ascii="Times New Roman" w:hAnsi="Times New Roman"/>
                <w:bCs/>
                <w:color w:val="000000"/>
              </w:rPr>
              <w:t>tytułu ograniczania produkcji w wyniku redysponowania nie zostanie zrealizowana.</w:t>
            </w:r>
          </w:p>
          <w:p w14:paraId="0E9AB217" w14:textId="65C61E17" w:rsidR="00C40FE0" w:rsidRPr="00093E33" w:rsidRDefault="009D3239" w:rsidP="00AB2D33">
            <w:pPr>
              <w:spacing w:after="120"/>
              <w:jc w:val="both"/>
              <w:rPr>
                <w:rFonts w:ascii="Times New Roman" w:hAnsi="Times New Roman"/>
                <w:bCs/>
                <w:color w:val="000000"/>
              </w:rPr>
            </w:pPr>
            <w:r w:rsidRPr="00093E33">
              <w:rPr>
                <w:rFonts w:ascii="Times New Roman" w:hAnsi="Times New Roman"/>
                <w:bCs/>
                <w:color w:val="000000"/>
              </w:rPr>
              <w:t>W związku z tym p</w:t>
            </w:r>
            <w:r w:rsidR="00C40FE0" w:rsidRPr="00093E33">
              <w:rPr>
                <w:rFonts w:ascii="Times New Roman" w:hAnsi="Times New Roman"/>
                <w:bCs/>
                <w:color w:val="000000"/>
              </w:rPr>
              <w:t>rzepisy dotyczące możliwości pokrycia ujemnego salda wymagają dostosowania do sytuacji redysponowania na zasadach rynkowych w okresie, w którym operator systemu elektroenergetycznego nie gwarantuje niezawodnych dostaw energii</w:t>
            </w:r>
            <w:r w:rsidRPr="00093E33">
              <w:rPr>
                <w:rFonts w:ascii="Times New Roman" w:hAnsi="Times New Roman"/>
                <w:bCs/>
                <w:color w:val="000000"/>
              </w:rPr>
              <w:t>.</w:t>
            </w:r>
          </w:p>
          <w:p w14:paraId="5389EBF8" w14:textId="77777777"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Sprzedaż energii w okresie rozruchu technologicznego MFW</w:t>
            </w:r>
          </w:p>
          <w:p w14:paraId="03DDFC06" w14:textId="2819209A" w:rsidR="004742F9" w:rsidRPr="00093E33" w:rsidRDefault="00C40FE0" w:rsidP="00AB2D33">
            <w:pPr>
              <w:spacing w:after="120"/>
              <w:jc w:val="both"/>
              <w:rPr>
                <w:rFonts w:ascii="Times New Roman" w:hAnsi="Times New Roman"/>
                <w:bCs/>
                <w:color w:val="000000"/>
              </w:rPr>
            </w:pPr>
            <w:r w:rsidRPr="00093E33">
              <w:rPr>
                <w:rFonts w:ascii="Times New Roman" w:hAnsi="Times New Roman"/>
                <w:bCs/>
                <w:color w:val="000000"/>
              </w:rPr>
              <w:t xml:space="preserve">Możliwość sprzedaży energii elektrycznej z MFW w okresie oddawania ich do użytkowania wyłącznie na rynku bilansującym oznacza brak konieczności informowania operatora systemu przesyłowego o prognozowanej produkcji energii elektrycznej. </w:t>
            </w:r>
            <w:r w:rsidR="008C5680">
              <w:rPr>
                <w:rFonts w:ascii="Times New Roman" w:hAnsi="Times New Roman"/>
                <w:bCs/>
                <w:color w:val="000000"/>
              </w:rPr>
              <w:t>Brak tych</w:t>
            </w:r>
            <w:r w:rsidRPr="00093E33">
              <w:rPr>
                <w:rFonts w:ascii="Times New Roman" w:hAnsi="Times New Roman"/>
                <w:bCs/>
                <w:color w:val="000000"/>
              </w:rPr>
              <w:t xml:space="preserve"> informacji może oznaczać problem dla operatora przy prognozowaniu produkcji </w:t>
            </w:r>
            <w:r w:rsidR="008C5680">
              <w:rPr>
                <w:rFonts w:ascii="Times New Roman" w:hAnsi="Times New Roman"/>
                <w:bCs/>
                <w:color w:val="000000"/>
              </w:rPr>
              <w:t xml:space="preserve">energii </w:t>
            </w:r>
            <w:r w:rsidR="00B7441D" w:rsidRPr="00093E33">
              <w:rPr>
                <w:rFonts w:ascii="Times New Roman" w:hAnsi="Times New Roman"/>
                <w:bCs/>
                <w:color w:val="000000"/>
              </w:rPr>
              <w:t>z</w:t>
            </w:r>
            <w:r w:rsidR="00B7441D">
              <w:rPr>
                <w:rFonts w:ascii="Times New Roman" w:hAnsi="Times New Roman"/>
                <w:bCs/>
                <w:color w:val="000000"/>
              </w:rPr>
              <w:t> </w:t>
            </w:r>
            <w:r w:rsidRPr="00093E33">
              <w:rPr>
                <w:rFonts w:ascii="Times New Roman" w:hAnsi="Times New Roman"/>
                <w:bCs/>
                <w:color w:val="000000"/>
              </w:rPr>
              <w:t xml:space="preserve">MFW co spowodowałby znaczące utrudnienia w bilansowaniu systemu w czasie rzeczywistym. W rezultacie mogłoby to znacząco wpłynąć na koszty bilansowania systemu. </w:t>
            </w:r>
          </w:p>
          <w:p w14:paraId="7B3C3781" w14:textId="371E0C2D" w:rsidR="004742F9" w:rsidRPr="00093E33" w:rsidRDefault="004742F9" w:rsidP="00AB2D33">
            <w:pPr>
              <w:spacing w:after="120"/>
              <w:jc w:val="both"/>
              <w:rPr>
                <w:rFonts w:ascii="Times New Roman" w:hAnsi="Times New Roman"/>
                <w:bCs/>
                <w:color w:val="000000"/>
              </w:rPr>
            </w:pPr>
            <w:r w:rsidRPr="00093E33">
              <w:rPr>
                <w:rFonts w:ascii="Times New Roman" w:hAnsi="Times New Roman"/>
                <w:bCs/>
                <w:color w:val="000000"/>
              </w:rPr>
              <w:t>Doprecyzowanie i jednoznaczne uregulowanie statusu prawnego podmiotów wytwarzających energię elektryczną w</w:t>
            </w:r>
            <w:r w:rsidR="00347B23">
              <w:rPr>
                <w:rFonts w:ascii="Times New Roman" w:hAnsi="Times New Roman"/>
                <w:bCs/>
                <w:color w:val="000000"/>
              </w:rPr>
              <w:t> </w:t>
            </w:r>
            <w:r w:rsidRPr="00093E33">
              <w:rPr>
                <w:rFonts w:ascii="Times New Roman" w:hAnsi="Times New Roman"/>
                <w:bCs/>
                <w:color w:val="000000"/>
              </w:rPr>
              <w:t>okresie rozruchu technologicznego MFW jest niezbędne do zapewnienia prawidłowego działania systemu elektroenergetycznego w Polsce.</w:t>
            </w:r>
          </w:p>
          <w:p w14:paraId="120E93F8" w14:textId="1B5C5F85" w:rsidR="00C40FE0" w:rsidRPr="00093E33" w:rsidRDefault="00243BED"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U</w:t>
            </w:r>
            <w:r w:rsidR="00C40FE0" w:rsidRPr="00093E33">
              <w:rPr>
                <w:rFonts w:ascii="Times New Roman" w:hAnsi="Times New Roman"/>
                <w:b/>
                <w:color w:val="000000"/>
              </w:rPr>
              <w:t>możliwienie mikroprzesunięć fundamentów morskich turbin wiatrowych lub stacji elektroenergetycznych</w:t>
            </w:r>
          </w:p>
          <w:p w14:paraId="5DF1056E" w14:textId="4B4673A3" w:rsidR="00465D81" w:rsidRPr="00093E33" w:rsidRDefault="004742F9" w:rsidP="00AB2D33">
            <w:pPr>
              <w:spacing w:after="120"/>
              <w:jc w:val="both"/>
              <w:rPr>
                <w:rFonts w:ascii="Times New Roman" w:hAnsi="Times New Roman"/>
                <w:bCs/>
                <w:color w:val="000000"/>
              </w:rPr>
            </w:pPr>
            <w:r w:rsidRPr="00093E33">
              <w:rPr>
                <w:rFonts w:ascii="Times New Roman" w:hAnsi="Times New Roman"/>
                <w:bCs/>
                <w:color w:val="000000"/>
              </w:rPr>
              <w:t>Obecnie przepisy ustawy offshore wind umożliwiają zmianę rozmieszczenia morskich turbin wiatrowych lub innych elementów MFW jednakże wymagane jest uzyskanie zgody właściwego dyrektora urzędu morskiego.</w:t>
            </w:r>
            <w:r w:rsidR="00923F3D" w:rsidRPr="00093E33">
              <w:rPr>
                <w:rFonts w:ascii="Times New Roman" w:hAnsi="Times New Roman"/>
                <w:bCs/>
                <w:color w:val="000000"/>
              </w:rPr>
              <w:t xml:space="preserve"> Zgoda dyrektora jest wydawana w terminie 14 dni od wpłynięcia wniosku o zmianę rozmieszczenia, jednakże instalacja infrastruktury na morzu jest przedsięwzięciem bardzo skomplikowany</w:t>
            </w:r>
            <w:r w:rsidR="008C5680">
              <w:rPr>
                <w:rFonts w:ascii="Times New Roman" w:hAnsi="Times New Roman"/>
                <w:bCs/>
                <w:color w:val="000000"/>
              </w:rPr>
              <w:t>m oraz niezwykle kosztochłonnym</w:t>
            </w:r>
            <w:r w:rsidR="00923F3D" w:rsidRPr="00093E33">
              <w:rPr>
                <w:rFonts w:ascii="Times New Roman" w:hAnsi="Times New Roman"/>
                <w:bCs/>
                <w:color w:val="000000"/>
              </w:rPr>
              <w:t xml:space="preserve">. </w:t>
            </w:r>
          </w:p>
          <w:p w14:paraId="544F3908" w14:textId="026A4048" w:rsidR="00C40FE0" w:rsidRPr="00093E33" w:rsidRDefault="00923F3D" w:rsidP="00AB2D33">
            <w:pPr>
              <w:spacing w:after="120"/>
              <w:jc w:val="both"/>
              <w:rPr>
                <w:rFonts w:ascii="Times New Roman" w:hAnsi="Times New Roman"/>
                <w:bCs/>
                <w:color w:val="000000"/>
              </w:rPr>
            </w:pPr>
            <w:r w:rsidRPr="00093E33">
              <w:rPr>
                <w:rFonts w:ascii="Times New Roman" w:hAnsi="Times New Roman"/>
                <w:bCs/>
                <w:color w:val="000000"/>
              </w:rPr>
              <w:t>Ze względu na czynniki atmosferyczne, zakłócenia urządzeń pomiarowych czy niespodziewane uwarunkowania geologiczne, nawet zachowując najwyższe standardy należytej staranności, może dojść do nieznacznego przesunięcia morskich turbin wiatrowych lub innych elementów MFW względem zatwierdzonego projektu zagospodarowania działki lub terenu oraz projektu architektoniczno-budowlanego lub innych warunków pozwolenia na budowę.</w:t>
            </w:r>
          </w:p>
          <w:p w14:paraId="7E4BBAA0" w14:textId="3202C940" w:rsidR="00C40FE0" w:rsidRPr="00093E33" w:rsidRDefault="00465D81" w:rsidP="00AB2D33">
            <w:pPr>
              <w:spacing w:after="120"/>
              <w:jc w:val="both"/>
              <w:rPr>
                <w:rFonts w:ascii="Times New Roman" w:hAnsi="Times New Roman"/>
                <w:bCs/>
                <w:color w:val="000000"/>
              </w:rPr>
            </w:pPr>
            <w:r w:rsidRPr="00093E33">
              <w:rPr>
                <w:rFonts w:ascii="Times New Roman" w:hAnsi="Times New Roman"/>
                <w:bCs/>
                <w:color w:val="000000"/>
              </w:rPr>
              <w:t xml:space="preserve">Z uwagi na dostępne terminy floty instalacyjnej oraz koszty postojowe, </w:t>
            </w:r>
            <w:r w:rsidR="008C5680">
              <w:rPr>
                <w:rFonts w:ascii="Times New Roman" w:hAnsi="Times New Roman"/>
                <w:bCs/>
                <w:color w:val="000000"/>
              </w:rPr>
              <w:t>o</w:t>
            </w:r>
            <w:r w:rsidRPr="00093E33">
              <w:rPr>
                <w:rFonts w:ascii="Times New Roman" w:hAnsi="Times New Roman"/>
                <w:bCs/>
                <w:color w:val="000000"/>
              </w:rPr>
              <w:t>czek</w:t>
            </w:r>
            <w:r w:rsidR="008C5680">
              <w:rPr>
                <w:rFonts w:ascii="Times New Roman" w:hAnsi="Times New Roman"/>
                <w:bCs/>
                <w:color w:val="000000"/>
              </w:rPr>
              <w:t>iwanie</w:t>
            </w:r>
            <w:r w:rsidRPr="00093E33">
              <w:rPr>
                <w:rFonts w:ascii="Times New Roman" w:hAnsi="Times New Roman"/>
                <w:bCs/>
                <w:color w:val="000000"/>
              </w:rPr>
              <w:t xml:space="preserve"> 14 dni na zgodę dyrektora urzędu morskiego i dopiero potem rozpoczęcie palowania w zmienionej lokalizacji</w:t>
            </w:r>
            <w:r w:rsidR="008C5680">
              <w:rPr>
                <w:rFonts w:ascii="Times New Roman" w:hAnsi="Times New Roman"/>
                <w:bCs/>
                <w:color w:val="000000"/>
              </w:rPr>
              <w:t xml:space="preserve"> jest bardzo problematyczne</w:t>
            </w:r>
            <w:r w:rsidRPr="00093E33">
              <w:rPr>
                <w:rFonts w:ascii="Times New Roman" w:hAnsi="Times New Roman"/>
                <w:bCs/>
                <w:color w:val="000000"/>
              </w:rPr>
              <w:t xml:space="preserve">. </w:t>
            </w:r>
            <w:r w:rsidR="00C40FE0" w:rsidRPr="00093E33">
              <w:rPr>
                <w:rFonts w:ascii="Times New Roman" w:hAnsi="Times New Roman"/>
                <w:bCs/>
                <w:color w:val="000000"/>
              </w:rPr>
              <w:t xml:space="preserve">Przepisy </w:t>
            </w:r>
            <w:r w:rsidR="00B7441D" w:rsidRPr="00093E33">
              <w:rPr>
                <w:rFonts w:ascii="Times New Roman" w:hAnsi="Times New Roman"/>
                <w:bCs/>
                <w:color w:val="000000"/>
              </w:rPr>
              <w:t>w</w:t>
            </w:r>
            <w:r w:rsidR="00B7441D">
              <w:rPr>
                <w:rFonts w:ascii="Times New Roman" w:hAnsi="Times New Roman"/>
                <w:bCs/>
                <w:color w:val="000000"/>
              </w:rPr>
              <w:t> </w:t>
            </w:r>
            <w:r w:rsidR="00C40FE0" w:rsidRPr="00093E33">
              <w:rPr>
                <w:rFonts w:ascii="Times New Roman" w:hAnsi="Times New Roman"/>
                <w:bCs/>
                <w:color w:val="000000"/>
              </w:rPr>
              <w:t xml:space="preserve">zakresie zmiany rozmieszczenia morskich turbin wiatrowych lub innych elementów </w:t>
            </w:r>
            <w:r w:rsidRPr="00093E33">
              <w:rPr>
                <w:rFonts w:ascii="Times New Roman" w:hAnsi="Times New Roman"/>
                <w:bCs/>
                <w:color w:val="000000"/>
              </w:rPr>
              <w:t>MFW</w:t>
            </w:r>
            <w:r w:rsidR="00C40FE0" w:rsidRPr="00093E33">
              <w:rPr>
                <w:rFonts w:ascii="Times New Roman" w:hAnsi="Times New Roman"/>
                <w:bCs/>
                <w:color w:val="000000"/>
              </w:rPr>
              <w:t xml:space="preserve"> nie są </w:t>
            </w:r>
            <w:r w:rsidRPr="00093E33">
              <w:rPr>
                <w:rFonts w:ascii="Times New Roman" w:hAnsi="Times New Roman"/>
                <w:bCs/>
                <w:color w:val="000000"/>
              </w:rPr>
              <w:t xml:space="preserve">więc </w:t>
            </w:r>
            <w:r w:rsidR="00C40FE0" w:rsidRPr="00093E33">
              <w:rPr>
                <w:rFonts w:ascii="Times New Roman" w:hAnsi="Times New Roman"/>
                <w:bCs/>
                <w:color w:val="000000"/>
              </w:rPr>
              <w:t>wystarczająco elastyczne i nie przystają do realiów takich przedsięwzięć.</w:t>
            </w:r>
            <w:r w:rsidRPr="00093E33">
              <w:rPr>
                <w:rFonts w:ascii="Times New Roman" w:hAnsi="Times New Roman"/>
                <w:bCs/>
                <w:color w:val="000000"/>
              </w:rPr>
              <w:t xml:space="preserve"> Wymagane jest wprowadzenie przepisów usprawniających </w:t>
            </w:r>
            <w:r w:rsidR="00B7441D" w:rsidRPr="00093E33">
              <w:rPr>
                <w:rFonts w:ascii="Times New Roman" w:hAnsi="Times New Roman"/>
                <w:bCs/>
                <w:color w:val="000000"/>
              </w:rPr>
              <w:t>w</w:t>
            </w:r>
            <w:r w:rsidR="00B7441D">
              <w:rPr>
                <w:rFonts w:ascii="Times New Roman" w:hAnsi="Times New Roman"/>
                <w:bCs/>
                <w:color w:val="000000"/>
              </w:rPr>
              <w:t> </w:t>
            </w:r>
            <w:r w:rsidRPr="00093E33">
              <w:rPr>
                <w:rFonts w:ascii="Times New Roman" w:hAnsi="Times New Roman"/>
                <w:bCs/>
                <w:color w:val="000000"/>
              </w:rPr>
              <w:t>kontekście tzw. mikroprzesunięć.</w:t>
            </w:r>
          </w:p>
          <w:p w14:paraId="3FF212EC" w14:textId="09049BED"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 xml:space="preserve">Współdzielenie przez więcej niż jedną </w:t>
            </w:r>
            <w:r w:rsidR="00597CC0">
              <w:rPr>
                <w:rFonts w:ascii="Times New Roman" w:hAnsi="Times New Roman"/>
                <w:b/>
                <w:color w:val="000000"/>
              </w:rPr>
              <w:t>MFW</w:t>
            </w:r>
            <w:r w:rsidRPr="00093E33">
              <w:rPr>
                <w:rFonts w:ascii="Times New Roman" w:hAnsi="Times New Roman"/>
                <w:b/>
                <w:color w:val="000000"/>
              </w:rPr>
              <w:t xml:space="preserve"> tej samej stacji elektroenergetycznej zlokalizowanej na morzu lub zespołu urządzeń służących do wyprowadzenia mocy lub ich elementów</w:t>
            </w:r>
          </w:p>
          <w:p w14:paraId="7B061A48" w14:textId="0D2A16F0" w:rsidR="00C40FE0" w:rsidRPr="00093E33" w:rsidRDefault="00C40FE0" w:rsidP="00AB2D33">
            <w:pPr>
              <w:spacing w:after="120"/>
              <w:jc w:val="both"/>
              <w:rPr>
                <w:rFonts w:ascii="Times New Roman" w:hAnsi="Times New Roman"/>
                <w:color w:val="000000"/>
              </w:rPr>
            </w:pPr>
            <w:r w:rsidRPr="00093E33">
              <w:rPr>
                <w:rFonts w:ascii="Times New Roman" w:hAnsi="Times New Roman"/>
                <w:color w:val="000000"/>
              </w:rPr>
              <w:lastRenderedPageBreak/>
              <w:t xml:space="preserve">Rozwiązanie </w:t>
            </w:r>
            <w:r w:rsidR="008C5680">
              <w:rPr>
                <w:rFonts w:ascii="Times New Roman" w:hAnsi="Times New Roman"/>
                <w:color w:val="000000"/>
              </w:rPr>
              <w:t>ma na celu</w:t>
            </w:r>
            <w:r w:rsidRPr="00093E33">
              <w:rPr>
                <w:rFonts w:ascii="Times New Roman" w:hAnsi="Times New Roman"/>
                <w:color w:val="000000"/>
              </w:rPr>
              <w:t xml:space="preserve"> ułatwi</w:t>
            </w:r>
            <w:r w:rsidR="008C5680">
              <w:rPr>
                <w:rFonts w:ascii="Times New Roman" w:hAnsi="Times New Roman"/>
                <w:color w:val="000000"/>
              </w:rPr>
              <w:t>enie</w:t>
            </w:r>
            <w:r w:rsidRPr="00093E33">
              <w:rPr>
                <w:rFonts w:ascii="Times New Roman" w:hAnsi="Times New Roman"/>
                <w:color w:val="000000"/>
              </w:rPr>
              <w:t xml:space="preserve"> przyłączani</w:t>
            </w:r>
            <w:r w:rsidR="008C5680">
              <w:rPr>
                <w:rFonts w:ascii="Times New Roman" w:hAnsi="Times New Roman"/>
                <w:color w:val="000000"/>
              </w:rPr>
              <w:t>a</w:t>
            </w:r>
            <w:r w:rsidRPr="00093E33">
              <w:rPr>
                <w:rFonts w:ascii="Times New Roman" w:hAnsi="Times New Roman"/>
                <w:color w:val="000000"/>
              </w:rPr>
              <w:t xml:space="preserve"> projektów z kolejnych faz wsparcia MEW </w:t>
            </w:r>
            <w:r w:rsidR="008C5680">
              <w:rPr>
                <w:rFonts w:ascii="Times New Roman" w:hAnsi="Times New Roman"/>
                <w:color w:val="000000"/>
              </w:rPr>
              <w:t>oraz ograniczenie</w:t>
            </w:r>
            <w:r w:rsidRPr="00093E33">
              <w:rPr>
                <w:rFonts w:ascii="Times New Roman" w:hAnsi="Times New Roman"/>
                <w:color w:val="000000"/>
              </w:rPr>
              <w:t xml:space="preserve"> liczb</w:t>
            </w:r>
            <w:r w:rsidR="008C5680">
              <w:rPr>
                <w:rFonts w:ascii="Times New Roman" w:hAnsi="Times New Roman"/>
                <w:color w:val="000000"/>
              </w:rPr>
              <w:t>y</w:t>
            </w:r>
            <w:r w:rsidRPr="00093E33">
              <w:rPr>
                <w:rFonts w:ascii="Times New Roman" w:hAnsi="Times New Roman"/>
                <w:color w:val="000000"/>
              </w:rPr>
              <w:t xml:space="preserve"> kabli eksportowych lokalizowanych na polskich obszarach morskich.</w:t>
            </w:r>
            <w:r w:rsidRPr="00093E33">
              <w:t xml:space="preserve"> </w:t>
            </w:r>
            <w:r w:rsidRPr="00093E33">
              <w:rPr>
                <w:rFonts w:ascii="Times New Roman" w:hAnsi="Times New Roman"/>
                <w:color w:val="000000"/>
              </w:rPr>
              <w:t>Obszary morskie stanowią ograniczone zasoby, które powinny być zagospodarowane w racjonalny i najbardziej efektywny sposób, dlatego umożliwienie współdzielenia wyprowadzenia mocy pozytywnie wpłynie na środowisko morskie, a także</w:t>
            </w:r>
            <w:r w:rsidR="00347B23">
              <w:rPr>
                <w:rFonts w:ascii="Times New Roman" w:hAnsi="Times New Roman"/>
                <w:color w:val="000000"/>
              </w:rPr>
              <w:t xml:space="preserve"> </w:t>
            </w:r>
            <w:r w:rsidRPr="00093E33">
              <w:rPr>
                <w:rFonts w:ascii="Times New Roman" w:hAnsi="Times New Roman"/>
                <w:color w:val="000000"/>
              </w:rPr>
              <w:t>może mieć przełożenie na niższą cenę energii dla odbiorcy końcowego, poprzez zmniejszenie kosztów inwestycyjnych i</w:t>
            </w:r>
            <w:r w:rsidR="00347B23">
              <w:rPr>
                <w:rFonts w:ascii="Times New Roman" w:hAnsi="Times New Roman"/>
                <w:color w:val="000000"/>
              </w:rPr>
              <w:t> </w:t>
            </w:r>
            <w:r w:rsidRPr="00093E33">
              <w:rPr>
                <w:rFonts w:ascii="Times New Roman" w:hAnsi="Times New Roman"/>
                <w:color w:val="000000"/>
              </w:rPr>
              <w:t>operacyjnych inwestycji MFW.</w:t>
            </w:r>
          </w:p>
          <w:p w14:paraId="74ABD787" w14:textId="74940E45" w:rsidR="00465D81" w:rsidRPr="00093E33" w:rsidRDefault="00465D81" w:rsidP="00AB2D33">
            <w:pPr>
              <w:spacing w:after="120"/>
              <w:jc w:val="both"/>
              <w:rPr>
                <w:rFonts w:ascii="Times New Roman" w:hAnsi="Times New Roman"/>
                <w:color w:val="000000"/>
              </w:rPr>
            </w:pPr>
            <w:r w:rsidRPr="00093E33">
              <w:rPr>
                <w:rFonts w:ascii="Times New Roman" w:hAnsi="Times New Roman"/>
                <w:color w:val="000000"/>
              </w:rPr>
              <w:t>W chwili obecnej nie ma w ustawie offshore wind przepisów precyzujących sposób prawidłowego wyposażenia MFW w</w:t>
            </w:r>
            <w:r w:rsidR="00347B23">
              <w:rPr>
                <w:rFonts w:ascii="Times New Roman" w:hAnsi="Times New Roman"/>
                <w:color w:val="000000"/>
              </w:rPr>
              <w:t> </w:t>
            </w:r>
            <w:r w:rsidRPr="00093E33">
              <w:rPr>
                <w:rFonts w:ascii="Times New Roman" w:hAnsi="Times New Roman"/>
                <w:color w:val="000000"/>
              </w:rPr>
              <w:t>systemy pomiarowo-rozliczeniowe i rozliczania ujemnego salda w przypadku współwykorzystania przez więcej niż jedną morską farmę wiatrową tej samej stacji elektroenergetycznej zlokalizowanej na morzu lub zespołu urządzeń służących do wyprowadzenia mocy lub ich elementów.</w:t>
            </w:r>
          </w:p>
          <w:p w14:paraId="7A1922C5" w14:textId="59485760"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Niezbędne doprecyzowania w zakresie etapowani</w:t>
            </w:r>
            <w:r w:rsidR="00164320" w:rsidRPr="00093E33">
              <w:rPr>
                <w:rFonts w:ascii="Times New Roman" w:hAnsi="Times New Roman"/>
                <w:b/>
                <w:color w:val="000000"/>
              </w:rPr>
              <w:t>a</w:t>
            </w:r>
            <w:r w:rsidRPr="00093E33">
              <w:rPr>
                <w:rFonts w:ascii="Times New Roman" w:hAnsi="Times New Roman"/>
                <w:b/>
                <w:color w:val="000000"/>
              </w:rPr>
              <w:t xml:space="preserve"> inwestycji</w:t>
            </w:r>
          </w:p>
          <w:p w14:paraId="106A5A2F" w14:textId="44869E43" w:rsidR="00C40FE0" w:rsidRPr="00093E33" w:rsidRDefault="00C40FE0" w:rsidP="00AB2D33">
            <w:pPr>
              <w:spacing w:after="120"/>
              <w:jc w:val="both"/>
              <w:rPr>
                <w:rFonts w:ascii="Times New Roman" w:hAnsi="Times New Roman"/>
                <w:bCs/>
                <w:color w:val="000000"/>
              </w:rPr>
            </w:pPr>
            <w:r w:rsidRPr="00093E33">
              <w:rPr>
                <w:rFonts w:ascii="Times New Roman" w:hAnsi="Times New Roman"/>
                <w:bCs/>
                <w:color w:val="000000"/>
              </w:rPr>
              <w:t xml:space="preserve">Na gruncie ustawy offshore wind możliwe jest oddawanie instalacji do użytkowania i uzyskiwania koncesji etapami, jednakże nie wszystkie przepisy ww. ustawy są dostosowane do etapowania inwestycji. </w:t>
            </w:r>
            <w:r w:rsidR="00AF71C5" w:rsidRPr="00093E33">
              <w:rPr>
                <w:rFonts w:ascii="Times New Roman" w:hAnsi="Times New Roman"/>
                <w:bCs/>
                <w:color w:val="000000"/>
              </w:rPr>
              <w:t>Istnieje więc potrzeba doprecyzowania</w:t>
            </w:r>
            <w:r w:rsidRPr="00093E33">
              <w:rPr>
                <w:rFonts w:ascii="Times New Roman" w:hAnsi="Times New Roman"/>
                <w:bCs/>
                <w:color w:val="000000"/>
              </w:rPr>
              <w:t xml:space="preserve"> przepisów tak, aby </w:t>
            </w:r>
            <w:r w:rsidR="008C5680">
              <w:rPr>
                <w:rFonts w:ascii="Times New Roman" w:hAnsi="Times New Roman"/>
                <w:bCs/>
                <w:color w:val="000000"/>
              </w:rPr>
              <w:t xml:space="preserve">uwzględniały one sytuację </w:t>
            </w:r>
            <w:r w:rsidRPr="00093E33">
              <w:rPr>
                <w:rFonts w:ascii="Times New Roman" w:hAnsi="Times New Roman"/>
                <w:bCs/>
                <w:color w:val="000000"/>
              </w:rPr>
              <w:t>oddawani</w:t>
            </w:r>
            <w:r w:rsidR="008C5680">
              <w:rPr>
                <w:rFonts w:ascii="Times New Roman" w:hAnsi="Times New Roman"/>
                <w:bCs/>
                <w:color w:val="000000"/>
              </w:rPr>
              <w:t>a</w:t>
            </w:r>
            <w:r w:rsidRPr="00093E33">
              <w:rPr>
                <w:rFonts w:ascii="Times New Roman" w:hAnsi="Times New Roman"/>
                <w:bCs/>
                <w:color w:val="000000"/>
              </w:rPr>
              <w:t xml:space="preserve"> inwestycji etapami i nie budziły wątpliwości interpretacyjnych.</w:t>
            </w:r>
          </w:p>
          <w:p w14:paraId="7074205D" w14:textId="77777777"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Czas pracy w portach morskich lub bazach serwisowych</w:t>
            </w:r>
          </w:p>
          <w:p w14:paraId="56463C7E" w14:textId="11B4DEAC" w:rsidR="00C40FE0" w:rsidRDefault="00D44179" w:rsidP="00AB2D33">
            <w:pPr>
              <w:spacing w:after="120"/>
              <w:jc w:val="both"/>
              <w:rPr>
                <w:rFonts w:ascii="Times New Roman" w:hAnsi="Times New Roman"/>
                <w:bCs/>
                <w:color w:val="000000"/>
              </w:rPr>
            </w:pPr>
            <w:r w:rsidRPr="00093E33">
              <w:rPr>
                <w:rFonts w:ascii="Times New Roman" w:hAnsi="Times New Roman"/>
                <w:bCs/>
                <w:color w:val="000000"/>
              </w:rPr>
              <w:t xml:space="preserve">Obecne przepisy nie są w pełni dostosowane do specyficznego charakteru zadań związanych z budową i obsługą serwisową morskich farm wiatrowych i powiązanej infrastruktury. </w:t>
            </w:r>
            <w:r w:rsidR="00AF71C5" w:rsidRPr="00093E33">
              <w:rPr>
                <w:rFonts w:ascii="Times New Roman" w:hAnsi="Times New Roman"/>
                <w:bCs/>
                <w:color w:val="000000"/>
              </w:rPr>
              <w:t>Wymagane jest</w:t>
            </w:r>
            <w:r w:rsidR="00C40FE0" w:rsidRPr="00093E33">
              <w:rPr>
                <w:rFonts w:ascii="Times New Roman" w:hAnsi="Times New Roman"/>
                <w:bCs/>
                <w:color w:val="000000"/>
              </w:rPr>
              <w:t xml:space="preserve"> doprecyzowanie, że pracownicy znajdujący się na lądzie, wykonujący pracę w terminalach instalacyjnych i serwisowych, a także w stacji elektroenergetycznej na lądzie, powinni</w:t>
            </w:r>
            <w:r w:rsidR="00AF71C5" w:rsidRPr="00093E33">
              <w:rPr>
                <w:rFonts w:ascii="Times New Roman" w:hAnsi="Times New Roman"/>
                <w:bCs/>
                <w:color w:val="000000"/>
              </w:rPr>
              <w:t xml:space="preserve"> </w:t>
            </w:r>
            <w:r w:rsidR="00C40FE0" w:rsidRPr="00093E33">
              <w:rPr>
                <w:rFonts w:ascii="Times New Roman" w:hAnsi="Times New Roman"/>
                <w:bCs/>
                <w:color w:val="000000"/>
              </w:rPr>
              <w:t xml:space="preserve">podlegać tym samym normom czasu pracy, co pracownicy wykonujący pracę na morzu. </w:t>
            </w:r>
          </w:p>
          <w:p w14:paraId="47F2815A" w14:textId="2FEF575F" w:rsidR="00461E76" w:rsidRPr="00461E76" w:rsidRDefault="00461E76" w:rsidP="00461E76">
            <w:pPr>
              <w:spacing w:after="120"/>
              <w:jc w:val="both"/>
              <w:rPr>
                <w:rFonts w:ascii="Times New Roman" w:hAnsi="Times New Roman"/>
                <w:bCs/>
                <w:color w:val="000000"/>
              </w:rPr>
            </w:pPr>
            <w:r w:rsidRPr="00461E76">
              <w:rPr>
                <w:rFonts w:ascii="Times New Roman" w:hAnsi="Times New Roman"/>
                <w:bCs/>
                <w:color w:val="000000"/>
              </w:rPr>
              <w:t>W obecnie obowiązującym stanie prawnym, odnośnie czasu pracy osób znajdujących się w portach morskich, terminalach instalacyjnych lub bazach serwisowych zastosowanie mają przepisy działu VI ustawy z dnia 26 czerwca 1974 r. - Kodeks Pracy (Dz. U. z 2023 r. poz. 1465 oraz z 2024 r. poz. 878</w:t>
            </w:r>
            <w:r w:rsidR="008A5030">
              <w:rPr>
                <w:rFonts w:ascii="Times New Roman" w:hAnsi="Times New Roman"/>
                <w:bCs/>
                <w:color w:val="000000"/>
              </w:rPr>
              <w:t xml:space="preserve">, </w:t>
            </w:r>
            <w:r w:rsidRPr="00461E76">
              <w:rPr>
                <w:rFonts w:ascii="Times New Roman" w:hAnsi="Times New Roman"/>
                <w:bCs/>
                <w:color w:val="000000"/>
              </w:rPr>
              <w:t>1222</w:t>
            </w:r>
            <w:r w:rsidR="008A5030">
              <w:rPr>
                <w:rFonts w:ascii="Times New Roman" w:hAnsi="Times New Roman"/>
                <w:bCs/>
                <w:color w:val="000000"/>
              </w:rPr>
              <w:t xml:space="preserve">, </w:t>
            </w:r>
            <w:r w:rsidR="008A5030" w:rsidRPr="008A5030">
              <w:rPr>
                <w:rFonts w:ascii="Times New Roman" w:hAnsi="Times New Roman"/>
                <w:bCs/>
                <w:color w:val="000000"/>
              </w:rPr>
              <w:t>1871</w:t>
            </w:r>
            <w:r w:rsidR="008A5030">
              <w:rPr>
                <w:rFonts w:ascii="Times New Roman" w:hAnsi="Times New Roman"/>
                <w:bCs/>
                <w:color w:val="000000"/>
              </w:rPr>
              <w:t xml:space="preserve"> i</w:t>
            </w:r>
            <w:r w:rsidR="008A5030" w:rsidRPr="008A5030">
              <w:rPr>
                <w:rFonts w:ascii="Times New Roman" w:hAnsi="Times New Roman"/>
                <w:bCs/>
                <w:color w:val="000000"/>
              </w:rPr>
              <w:t xml:space="preserve"> 1965</w:t>
            </w:r>
            <w:r w:rsidRPr="00461E76">
              <w:rPr>
                <w:rFonts w:ascii="Times New Roman" w:hAnsi="Times New Roman"/>
                <w:bCs/>
                <w:color w:val="000000"/>
              </w:rPr>
              <w:t xml:space="preserve">). Obowiązuje jednak również uregulowania szczególne w zakresie pracy na morzu, jak np. ustawa z dnia 5 sierpnia 2015 r. o pracy na morzu (Dz. U. z 2023 r. poz. 2257) oraz ustawa z dnia 23 maja 1991 r. o pracy na morskich statkach handlowych (Dz. U. z 2014 r. poz. 430), mające jednak zastosowanie do pracy na statkach </w:t>
            </w:r>
            <w:r w:rsidR="00744650">
              <w:rPr>
                <w:rFonts w:ascii="Times New Roman" w:hAnsi="Times New Roman"/>
                <w:bCs/>
                <w:color w:val="000000"/>
              </w:rPr>
              <w:t>m</w:t>
            </w:r>
            <w:r w:rsidRPr="00461E76">
              <w:rPr>
                <w:rFonts w:ascii="Times New Roman" w:hAnsi="Times New Roman"/>
                <w:bCs/>
                <w:color w:val="000000"/>
              </w:rPr>
              <w:t xml:space="preserve">orskich. </w:t>
            </w:r>
            <w:r w:rsidR="00457280">
              <w:rPr>
                <w:rFonts w:ascii="Times New Roman" w:hAnsi="Times New Roman"/>
                <w:bCs/>
                <w:color w:val="000000"/>
              </w:rPr>
              <w:t>O</w:t>
            </w:r>
            <w:r w:rsidRPr="00461E76">
              <w:rPr>
                <w:rFonts w:ascii="Times New Roman" w:hAnsi="Times New Roman"/>
                <w:bCs/>
                <w:color w:val="000000"/>
              </w:rPr>
              <w:t xml:space="preserve">dnośnie pracowników znajdujących się na lądzie, co do zasady obowiązuje 8-godzinny czas pracy. Na podstawie art. 135 ustawy z dnia 26 czerwca 1974 r. - Kodeks Pracy, jeżeli jest to uzasadnione rodzajem pracy lub jej organizacją, jest dopuszczalne przedłużenie dobowego wymiaru czasu pracy, nie więcej jednak niż do 12 godzin, w okresie rozliczeniowym nieprzekraczającym 1 miesiąca. Zgodnie zaś z art. 136 przy pracach polegających na dozorze urządzeń lub związanych z częściowym pozostawaniem w pogotowiu do pracy może być stosowany system równoważnego czasu pracy, w którym jest dopuszczalne przedłużenie dobowego wymiaru czasu pracy, nie więcej jednak niż do 16 godzin, w okresie rozliczeniowym nieprzekraczającym 1 miesiąca. Jednocześnie na podstawie art. 138 przy pracach, które ze względu na technologię produkcji nie mogą być wstrzymane (praca w ruchu ciągłym), może być stosowany system czasu pracy, w którym jest dopuszczalne przedłużenie czasu pracy do 43 godzin przeciętnie na tydzień w okresie rozliczeniowym nieprzekraczającym 4 tygodni, a jednego dnia w niektórych tygodniach w tym okresie dobowy wymiar czasu pracy może być przedłużony do 12 godzin. Za każdą godzinę pracy powyżej 8 godzin na dobę </w:t>
            </w:r>
            <w:r w:rsidR="00B7441D" w:rsidRPr="00461E76">
              <w:rPr>
                <w:rFonts w:ascii="Times New Roman" w:hAnsi="Times New Roman"/>
                <w:bCs/>
                <w:color w:val="000000"/>
              </w:rPr>
              <w:t>w</w:t>
            </w:r>
            <w:r w:rsidR="00B7441D">
              <w:rPr>
                <w:rFonts w:ascii="Times New Roman" w:hAnsi="Times New Roman"/>
                <w:bCs/>
                <w:color w:val="000000"/>
              </w:rPr>
              <w:t> </w:t>
            </w:r>
            <w:r w:rsidRPr="00461E76">
              <w:rPr>
                <w:rFonts w:ascii="Times New Roman" w:hAnsi="Times New Roman"/>
                <w:bCs/>
                <w:color w:val="000000"/>
              </w:rPr>
              <w:t xml:space="preserve">dniu wykonywania pracy w przedłużonym wymiarze czasu pracy pracownikowi przysługuje dodatek do wynagrodzenia, o którym mowa w art. 1511 § 1 pkt 1. </w:t>
            </w:r>
            <w:r w:rsidR="00CA68C7" w:rsidRPr="00CA68C7">
              <w:rPr>
                <w:rFonts w:ascii="Times New Roman" w:hAnsi="Times New Roman"/>
                <w:bCs/>
                <w:color w:val="000000"/>
              </w:rPr>
              <w:t>Jednocześnie w świetle art. 133 o minimalnym tygodniowym odpoczynku od pracy, pracownikowi przysługuje w każdym tygodniu prawo do co najmniej 35 godzin nieprzerwanego odpoczynku, obejmującego co najmniej 11 godzin nieprzerwanego odpoczynku dobowego.</w:t>
            </w:r>
          </w:p>
          <w:p w14:paraId="432C83DC" w14:textId="0BF7970E" w:rsidR="00461E76" w:rsidRPr="00093E33" w:rsidRDefault="00461E76" w:rsidP="00461E76">
            <w:pPr>
              <w:spacing w:after="120"/>
              <w:jc w:val="both"/>
              <w:rPr>
                <w:rFonts w:ascii="Times New Roman" w:hAnsi="Times New Roman"/>
                <w:bCs/>
                <w:color w:val="000000"/>
              </w:rPr>
            </w:pPr>
            <w:r w:rsidRPr="00461E76">
              <w:rPr>
                <w:rFonts w:ascii="Times New Roman" w:hAnsi="Times New Roman"/>
                <w:bCs/>
                <w:color w:val="000000"/>
              </w:rPr>
              <w:t xml:space="preserve">Tymczasem pracownicy znajdujący się na lądzie, wykonujący pracę w terminalach instalacyjnych i serwisowych, a także w stacji elektroenergetycznej na lądzie, powinni, ze względu na specyficzny charakter realizowanych zadań związanych </w:t>
            </w:r>
            <w:r w:rsidR="00B7441D" w:rsidRPr="00461E76">
              <w:rPr>
                <w:rFonts w:ascii="Times New Roman" w:hAnsi="Times New Roman"/>
                <w:bCs/>
                <w:color w:val="000000"/>
              </w:rPr>
              <w:t>z</w:t>
            </w:r>
            <w:r w:rsidR="00B7441D">
              <w:rPr>
                <w:rFonts w:ascii="Times New Roman" w:hAnsi="Times New Roman"/>
                <w:bCs/>
                <w:color w:val="000000"/>
              </w:rPr>
              <w:t> </w:t>
            </w:r>
            <w:r w:rsidRPr="00461E76">
              <w:rPr>
                <w:rFonts w:ascii="Times New Roman" w:hAnsi="Times New Roman"/>
                <w:bCs/>
                <w:color w:val="000000"/>
              </w:rPr>
              <w:t>budową i obsługa serwisową morskich farm wiatrowych i powiązanej infrastruktury, podlegać tym samym normom czasu pracy, co pracownicy wykonujący pracę na morzu.</w:t>
            </w:r>
          </w:p>
          <w:p w14:paraId="2CB08D48" w14:textId="79BFB4DB" w:rsidR="00B7441D" w:rsidRDefault="00B7441D" w:rsidP="00AB2D33">
            <w:pPr>
              <w:pStyle w:val="Akapitzlist"/>
              <w:numPr>
                <w:ilvl w:val="0"/>
                <w:numId w:val="74"/>
              </w:numPr>
              <w:spacing w:after="120"/>
              <w:contextualSpacing w:val="0"/>
              <w:jc w:val="both"/>
              <w:rPr>
                <w:rFonts w:ascii="Times New Roman" w:hAnsi="Times New Roman"/>
                <w:b/>
                <w:color w:val="000000"/>
              </w:rPr>
            </w:pPr>
            <w:r w:rsidRPr="00B7441D">
              <w:rPr>
                <w:rFonts w:ascii="Times New Roman" w:hAnsi="Times New Roman"/>
                <w:b/>
                <w:color w:val="000000"/>
              </w:rPr>
              <w:t>Uniemożliwienie ponownego przyznania wsparcia dla danego projektu MFW, który wsparcie otrzymał, a</w:t>
            </w:r>
            <w:r>
              <w:rPr>
                <w:rFonts w:ascii="Times New Roman" w:hAnsi="Times New Roman"/>
                <w:b/>
                <w:color w:val="000000"/>
              </w:rPr>
              <w:t> </w:t>
            </w:r>
            <w:r w:rsidRPr="00B7441D">
              <w:rPr>
                <w:rFonts w:ascii="Times New Roman" w:hAnsi="Times New Roman"/>
                <w:b/>
                <w:color w:val="000000"/>
              </w:rPr>
              <w:t>potem inwestor się tego wsparcia zrzekł</w:t>
            </w:r>
          </w:p>
          <w:p w14:paraId="5FFB135A" w14:textId="77777777" w:rsidR="00B7441D" w:rsidRPr="00B7441D" w:rsidRDefault="00B7441D" w:rsidP="00B7441D">
            <w:pPr>
              <w:spacing w:after="120"/>
              <w:jc w:val="both"/>
              <w:rPr>
                <w:rFonts w:ascii="Times New Roman" w:hAnsi="Times New Roman"/>
                <w:bCs/>
                <w:color w:val="000000"/>
              </w:rPr>
            </w:pPr>
            <w:r w:rsidRPr="00B7441D">
              <w:rPr>
                <w:rFonts w:ascii="Times New Roman" w:hAnsi="Times New Roman"/>
                <w:bCs/>
                <w:color w:val="000000"/>
              </w:rPr>
              <w:t>Aktualne przepisy ustawy offshore wind (art. 19) przewidują potencjalną możliwość wycofania danego projektu MFW ze wsparcia w ramach I fazy systemu wsparcia poprzez złożenie stosownego oświadczenia, co otwiera drogę, aby móc wystartować z danym projektem MFW w aukcji.</w:t>
            </w:r>
          </w:p>
          <w:p w14:paraId="3E225151" w14:textId="01AACF5E" w:rsidR="00B7441D" w:rsidRPr="00B7441D" w:rsidRDefault="00B7441D" w:rsidP="00B7441D">
            <w:pPr>
              <w:spacing w:after="120"/>
              <w:jc w:val="both"/>
              <w:rPr>
                <w:rFonts w:ascii="Times New Roman" w:hAnsi="Times New Roman"/>
                <w:bCs/>
                <w:color w:val="000000"/>
              </w:rPr>
            </w:pPr>
            <w:r w:rsidRPr="00B7441D">
              <w:rPr>
                <w:rFonts w:ascii="Times New Roman" w:hAnsi="Times New Roman"/>
                <w:bCs/>
                <w:color w:val="000000"/>
              </w:rPr>
              <w:lastRenderedPageBreak/>
              <w:t>Ustawa offshore wind nie zawiera przepisów zakazujących rezygnacji z prawa do pokrycia ujemnego salda. Należy bowiem wyraźnie podkreślić, że wzięcie udziału w systemie wsparcia jest uprawnieniem, nie zaś obowiązkiem inwestora. Działając w granicach swobody prowadzonej przez siebie działalności powinien być on uprawniony do rezygnacji z</w:t>
            </w:r>
            <w:r>
              <w:rPr>
                <w:rFonts w:ascii="Times New Roman" w:hAnsi="Times New Roman"/>
                <w:bCs/>
                <w:color w:val="000000"/>
              </w:rPr>
              <w:t> </w:t>
            </w:r>
            <w:r w:rsidRPr="00B7441D">
              <w:rPr>
                <w:rFonts w:ascii="Times New Roman" w:hAnsi="Times New Roman"/>
                <w:bCs/>
                <w:color w:val="000000"/>
              </w:rPr>
              <w:t>przyznanych, na jego wniosek uprawnień. Tym bardziej, w sytuacji, w której pomoc nie została jeszcze udzielona. Zważywszy na to, że wsparcie przyznaje się w drodze decyzji, inwestorzy będący ich stroną mogą skorzystać z możliwości, które dają ogólne przepisy postępowania administracyjnego, tj. art. 155 ustawy z dnia 14 czerwca 1960 r. - Kodeks postępowania administracyjnego (Dz.</w:t>
            </w:r>
            <w:r w:rsidR="00EA14D7">
              <w:rPr>
                <w:rFonts w:ascii="Times New Roman" w:hAnsi="Times New Roman"/>
                <w:bCs/>
                <w:color w:val="000000"/>
              </w:rPr>
              <w:t xml:space="preserve"> </w:t>
            </w:r>
            <w:r w:rsidRPr="00B7441D">
              <w:rPr>
                <w:rFonts w:ascii="Times New Roman" w:hAnsi="Times New Roman"/>
                <w:bCs/>
                <w:color w:val="000000"/>
              </w:rPr>
              <w:t>U. z 2024 r. poz. 572).</w:t>
            </w:r>
          </w:p>
          <w:p w14:paraId="505787BE" w14:textId="48C7FB64" w:rsidR="00B7441D" w:rsidRPr="00792646" w:rsidRDefault="00B7441D" w:rsidP="00792646">
            <w:pPr>
              <w:spacing w:after="120"/>
              <w:jc w:val="both"/>
              <w:rPr>
                <w:rFonts w:ascii="Times New Roman" w:hAnsi="Times New Roman"/>
                <w:bCs/>
                <w:color w:val="000000"/>
              </w:rPr>
            </w:pPr>
            <w:r w:rsidRPr="00B7441D">
              <w:rPr>
                <w:rFonts w:ascii="Times New Roman" w:hAnsi="Times New Roman"/>
                <w:bCs/>
                <w:color w:val="000000"/>
              </w:rPr>
              <w:t>Możliwość ponownego przyznania wsparcia dla projektu MFW, który z tego wsparcia zrezygnował, mogłaby powodować że inwestorzy będą wstrzymywać realizację projektów MFW, w przypadku gdy w fazie aukcyjnej mogliby otrzymać wyższe wsparcie. Takie działanie prowadziłoby nie tylko do zagrożenia osiągnięcia celów strategicznych, ale także powodowałoby „kanibalizację” mocy aukcyjnych</w:t>
            </w:r>
            <w:r>
              <w:rPr>
                <w:rFonts w:ascii="Times New Roman" w:hAnsi="Times New Roman"/>
                <w:bCs/>
                <w:color w:val="000000"/>
              </w:rPr>
              <w:t>.</w:t>
            </w:r>
          </w:p>
          <w:p w14:paraId="24004476" w14:textId="4B2D8768"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 xml:space="preserve">Zmiana reguł wydatkowych </w:t>
            </w:r>
          </w:p>
          <w:p w14:paraId="2B974E71" w14:textId="32F0F7BA" w:rsidR="00C40FE0" w:rsidRPr="00093E33" w:rsidRDefault="00AF71C5" w:rsidP="00AB2D33">
            <w:pPr>
              <w:spacing w:after="120"/>
              <w:jc w:val="both"/>
              <w:rPr>
                <w:rFonts w:ascii="Times New Roman" w:hAnsi="Times New Roman"/>
                <w:bCs/>
                <w:color w:val="000000"/>
              </w:rPr>
            </w:pPr>
            <w:r w:rsidRPr="00093E33">
              <w:rPr>
                <w:rFonts w:ascii="Times New Roman" w:hAnsi="Times New Roman"/>
                <w:bCs/>
                <w:color w:val="000000"/>
              </w:rPr>
              <w:t xml:space="preserve">W związku ze zmianami na rynku pracy, a także wzrostem wynagrodzeń w strefie budżetowej konieczne są </w:t>
            </w:r>
            <w:r w:rsidR="00C40FE0" w:rsidRPr="00093E33">
              <w:rPr>
                <w:rFonts w:ascii="Times New Roman" w:hAnsi="Times New Roman"/>
                <w:bCs/>
                <w:color w:val="000000"/>
              </w:rPr>
              <w:t>zmiany w</w:t>
            </w:r>
            <w:r w:rsidR="00347B23">
              <w:rPr>
                <w:rFonts w:ascii="Times New Roman" w:hAnsi="Times New Roman"/>
                <w:bCs/>
                <w:color w:val="000000"/>
              </w:rPr>
              <w:t> </w:t>
            </w:r>
            <w:r w:rsidR="00C40FE0" w:rsidRPr="00093E33">
              <w:rPr>
                <w:rFonts w:ascii="Times New Roman" w:hAnsi="Times New Roman"/>
                <w:bCs/>
                <w:color w:val="000000"/>
              </w:rPr>
              <w:t>limitach wydatków z budżetu państwa, w szczególności w przeznaczonych na wykonywanie zadań ministra właściwego do spraw klimatu i ministra właściwego do spraw środowiska.</w:t>
            </w:r>
            <w:r w:rsidRPr="00093E33">
              <w:rPr>
                <w:rFonts w:ascii="Times New Roman" w:hAnsi="Times New Roman"/>
                <w:bCs/>
                <w:color w:val="000000"/>
              </w:rPr>
              <w:t xml:space="preserve"> Obecne limity nie są dostosowane do charakteru </w:t>
            </w:r>
            <w:r w:rsidR="00A463F6" w:rsidRPr="00093E33">
              <w:rPr>
                <w:rFonts w:ascii="Times New Roman" w:hAnsi="Times New Roman"/>
                <w:bCs/>
                <w:color w:val="000000"/>
              </w:rPr>
              <w:t>realizowanych</w:t>
            </w:r>
            <w:r w:rsidRPr="00093E33">
              <w:rPr>
                <w:rFonts w:ascii="Times New Roman" w:hAnsi="Times New Roman"/>
                <w:bCs/>
                <w:color w:val="000000"/>
              </w:rPr>
              <w:t xml:space="preserve"> obowiązków</w:t>
            </w:r>
            <w:r w:rsidR="00A463F6" w:rsidRPr="00093E33">
              <w:rPr>
                <w:rFonts w:ascii="Times New Roman" w:hAnsi="Times New Roman"/>
                <w:bCs/>
                <w:color w:val="000000"/>
              </w:rPr>
              <w:t>, które wymagają szczegółowej wiedzy eksperckiej i znacznego doświadczenia.</w:t>
            </w:r>
          </w:p>
          <w:p w14:paraId="7F5B1649" w14:textId="77777777" w:rsidR="00C40FE0" w:rsidRPr="00093E33" w:rsidRDefault="00C40FE0" w:rsidP="00AB2D33">
            <w:pPr>
              <w:pStyle w:val="Akapitzlist"/>
              <w:numPr>
                <w:ilvl w:val="0"/>
                <w:numId w:val="74"/>
              </w:numPr>
              <w:spacing w:after="120"/>
              <w:contextualSpacing w:val="0"/>
              <w:jc w:val="both"/>
              <w:rPr>
                <w:rFonts w:ascii="Times New Roman" w:hAnsi="Times New Roman"/>
                <w:b/>
                <w:color w:val="000000"/>
              </w:rPr>
            </w:pPr>
            <w:r w:rsidRPr="00093E33">
              <w:rPr>
                <w:rFonts w:ascii="Times New Roman" w:hAnsi="Times New Roman"/>
                <w:b/>
                <w:color w:val="000000"/>
              </w:rPr>
              <w:t>Modyfikacje redakcyjno-techniczne w celu wyeliminowania wątpliwości interpretacyjnych</w:t>
            </w:r>
          </w:p>
          <w:p w14:paraId="24ED0708" w14:textId="6071ECFB" w:rsidR="00C40FE0" w:rsidRPr="00093E33" w:rsidRDefault="00A463F6" w:rsidP="00AB2D33">
            <w:pPr>
              <w:spacing w:after="120"/>
              <w:jc w:val="both"/>
              <w:rPr>
                <w:rFonts w:ascii="Times New Roman" w:hAnsi="Times New Roman"/>
                <w:color w:val="000000"/>
              </w:rPr>
            </w:pPr>
            <w:r w:rsidRPr="00093E33">
              <w:rPr>
                <w:rFonts w:ascii="Times New Roman" w:hAnsi="Times New Roman"/>
                <w:bCs/>
                <w:color w:val="000000"/>
              </w:rPr>
              <w:t xml:space="preserve">Aktualne przepisy ustawy offshore wind </w:t>
            </w:r>
            <w:r w:rsidR="008C5680">
              <w:rPr>
                <w:rFonts w:ascii="Times New Roman" w:hAnsi="Times New Roman"/>
                <w:bCs/>
                <w:color w:val="000000"/>
              </w:rPr>
              <w:t>wymagają doprecyzowania w celu usunięcia wątpliwości</w:t>
            </w:r>
            <w:r w:rsidR="00C40FE0" w:rsidRPr="00093E33">
              <w:rPr>
                <w:rFonts w:ascii="Times New Roman" w:hAnsi="Times New Roman"/>
                <w:color w:val="000000"/>
              </w:rPr>
              <w:t xml:space="preserve"> interpretacyjn</w:t>
            </w:r>
            <w:r w:rsidR="008C5680">
              <w:rPr>
                <w:rFonts w:ascii="Times New Roman" w:hAnsi="Times New Roman"/>
                <w:color w:val="000000"/>
              </w:rPr>
              <w:t>ych</w:t>
            </w:r>
            <w:r w:rsidRPr="00093E33">
              <w:rPr>
                <w:rFonts w:ascii="Times New Roman" w:hAnsi="Times New Roman"/>
                <w:color w:val="000000"/>
              </w:rPr>
              <w:t xml:space="preserve"> </w:t>
            </w:r>
            <w:r w:rsidR="008C5680">
              <w:rPr>
                <w:rFonts w:ascii="Times New Roman" w:hAnsi="Times New Roman"/>
                <w:color w:val="000000"/>
              </w:rPr>
              <w:t>oraz zaktualizowania pod kątem dokonanego</w:t>
            </w:r>
            <w:r w:rsidRPr="00093E33">
              <w:rPr>
                <w:rFonts w:ascii="Times New Roman" w:hAnsi="Times New Roman"/>
                <w:color w:val="000000"/>
              </w:rPr>
              <w:t xml:space="preserve"> postępu</w:t>
            </w:r>
            <w:r w:rsidR="00C40FE0" w:rsidRPr="00093E33">
              <w:rPr>
                <w:rFonts w:ascii="Times New Roman" w:hAnsi="Times New Roman"/>
                <w:color w:val="000000"/>
              </w:rPr>
              <w:t xml:space="preserve"> technologiczn</w:t>
            </w:r>
            <w:r w:rsidRPr="00093E33">
              <w:rPr>
                <w:rFonts w:ascii="Times New Roman" w:hAnsi="Times New Roman"/>
                <w:color w:val="000000"/>
              </w:rPr>
              <w:t>ego</w:t>
            </w:r>
            <w:r w:rsidR="00C40FE0" w:rsidRPr="00093E33">
              <w:rPr>
                <w:rFonts w:ascii="Times New Roman" w:hAnsi="Times New Roman"/>
                <w:color w:val="000000"/>
              </w:rPr>
              <w:t xml:space="preserve"> w projektowaniu morskich farm wiatrowych</w:t>
            </w:r>
            <w:r w:rsidRPr="00093E33">
              <w:rPr>
                <w:rFonts w:ascii="Times New Roman" w:hAnsi="Times New Roman"/>
                <w:color w:val="000000"/>
              </w:rPr>
              <w:t xml:space="preserve"> i zespołu urządzeń wyprowadzających z nich moc</w:t>
            </w:r>
            <w:r w:rsidR="00C40FE0" w:rsidRPr="00093E33">
              <w:rPr>
                <w:rFonts w:ascii="Times New Roman" w:hAnsi="Times New Roman"/>
                <w:color w:val="000000"/>
              </w:rPr>
              <w:t>.</w:t>
            </w:r>
          </w:p>
          <w:p w14:paraId="135A2300" w14:textId="78DF5428" w:rsidR="00465D81" w:rsidRPr="00093E33" w:rsidRDefault="00B702C3" w:rsidP="00AB2D33">
            <w:pPr>
              <w:spacing w:after="120"/>
              <w:jc w:val="both"/>
              <w:rPr>
                <w:rFonts w:ascii="Times New Roman" w:hAnsi="Times New Roman"/>
                <w:color w:val="000000"/>
              </w:rPr>
            </w:pPr>
            <w:r w:rsidRPr="00093E33">
              <w:rPr>
                <w:rFonts w:ascii="Times New Roman" w:hAnsi="Times New Roman"/>
                <w:color w:val="000000"/>
              </w:rPr>
              <w:t>Ponadto konieczne jest</w:t>
            </w:r>
            <w:r w:rsidR="00465D81" w:rsidRPr="00093E33">
              <w:rPr>
                <w:rFonts w:ascii="Times New Roman" w:hAnsi="Times New Roman"/>
                <w:color w:val="000000"/>
              </w:rPr>
              <w:t xml:space="preserve"> uporządkowanie rozwiązań z punktu widzenia spójności systemu prawnego. </w:t>
            </w:r>
            <w:r w:rsidRPr="00093E33">
              <w:rPr>
                <w:rFonts w:ascii="Times New Roman" w:hAnsi="Times New Roman"/>
                <w:color w:val="000000"/>
              </w:rPr>
              <w:t>Na przykład d</w:t>
            </w:r>
            <w:r w:rsidR="00465D81" w:rsidRPr="00093E33">
              <w:rPr>
                <w:rFonts w:ascii="Times New Roman" w:hAnsi="Times New Roman"/>
                <w:color w:val="000000"/>
              </w:rPr>
              <w:t>ecyzje zatwierdzające dokumentacje geologiczne nie podlegają wykonaniu</w:t>
            </w:r>
            <w:r w:rsidRPr="00093E33">
              <w:rPr>
                <w:rFonts w:ascii="Times New Roman" w:hAnsi="Times New Roman"/>
                <w:color w:val="000000"/>
              </w:rPr>
              <w:t>, zaś r</w:t>
            </w:r>
            <w:r w:rsidR="00465D81" w:rsidRPr="00093E33">
              <w:rPr>
                <w:rFonts w:ascii="Times New Roman" w:hAnsi="Times New Roman"/>
                <w:color w:val="000000"/>
              </w:rPr>
              <w:t>ygor natychmiastowej wykonalności w</w:t>
            </w:r>
            <w:r w:rsidR="00347B23">
              <w:rPr>
                <w:rFonts w:ascii="Times New Roman" w:hAnsi="Times New Roman"/>
                <w:color w:val="000000"/>
              </w:rPr>
              <w:t> </w:t>
            </w:r>
            <w:r w:rsidR="00465D81" w:rsidRPr="00093E33">
              <w:rPr>
                <w:rFonts w:ascii="Times New Roman" w:hAnsi="Times New Roman"/>
                <w:color w:val="000000"/>
              </w:rPr>
              <w:t>przypadku dokumentacji geologicznych nic nie wnosi, ponieważ roboty geologiczne na tym etapie są już zrealizowane.</w:t>
            </w:r>
          </w:p>
          <w:p w14:paraId="38770166" w14:textId="346AA8C3" w:rsidR="00C40FE0" w:rsidRPr="00093E33" w:rsidRDefault="00243BED" w:rsidP="00243BED">
            <w:pPr>
              <w:spacing w:after="120"/>
              <w:ind w:left="344"/>
              <w:jc w:val="both"/>
              <w:rPr>
                <w:rFonts w:ascii="Times New Roman" w:hAnsi="Times New Roman"/>
                <w:b/>
                <w:bCs/>
                <w:color w:val="000000"/>
              </w:rPr>
            </w:pPr>
            <w:r w:rsidRPr="00093E33">
              <w:rPr>
                <w:rFonts w:ascii="Times New Roman" w:hAnsi="Times New Roman"/>
                <w:b/>
                <w:bCs/>
                <w:color w:val="000000"/>
              </w:rPr>
              <w:t>1</w:t>
            </w:r>
            <w:r w:rsidR="00B7441D">
              <w:rPr>
                <w:rFonts w:ascii="Times New Roman" w:hAnsi="Times New Roman"/>
                <w:b/>
                <w:bCs/>
                <w:color w:val="000000"/>
              </w:rPr>
              <w:t>1</w:t>
            </w:r>
            <w:r w:rsidRPr="00093E33">
              <w:rPr>
                <w:rFonts w:ascii="Times New Roman" w:hAnsi="Times New Roman"/>
                <w:b/>
                <w:bCs/>
                <w:color w:val="000000"/>
              </w:rPr>
              <w:t xml:space="preserve">a. </w:t>
            </w:r>
            <w:r w:rsidR="00C40FE0" w:rsidRPr="00093E33">
              <w:rPr>
                <w:rFonts w:ascii="Times New Roman" w:hAnsi="Times New Roman"/>
                <w:b/>
                <w:bCs/>
                <w:color w:val="000000"/>
              </w:rPr>
              <w:t xml:space="preserve">Wydłużenie terminu ważności pozwoleń i uzgodnień lokalizacyjnych dla </w:t>
            </w:r>
            <w:r w:rsidR="00B702C3" w:rsidRPr="00093E33">
              <w:rPr>
                <w:rFonts w:ascii="Times New Roman" w:hAnsi="Times New Roman"/>
                <w:b/>
                <w:bCs/>
                <w:color w:val="000000"/>
              </w:rPr>
              <w:t xml:space="preserve">MFW </w:t>
            </w:r>
            <w:r w:rsidR="00C40FE0" w:rsidRPr="00093E33">
              <w:rPr>
                <w:rFonts w:ascii="Times New Roman" w:hAnsi="Times New Roman"/>
                <w:b/>
                <w:bCs/>
                <w:color w:val="000000"/>
              </w:rPr>
              <w:t xml:space="preserve">oraz zespołu urządzeń wyprowadzających moc; </w:t>
            </w:r>
          </w:p>
          <w:p w14:paraId="5E9499C9" w14:textId="0C137BC1" w:rsidR="00B702C3" w:rsidRPr="00093E33" w:rsidRDefault="00A463F6" w:rsidP="00AB2D33">
            <w:pPr>
              <w:spacing w:after="120"/>
              <w:jc w:val="both"/>
              <w:rPr>
                <w:rFonts w:ascii="Times New Roman" w:hAnsi="Times New Roman"/>
                <w:color w:val="000000"/>
              </w:rPr>
            </w:pPr>
            <w:r w:rsidRPr="00093E33">
              <w:rPr>
                <w:rFonts w:ascii="Times New Roman" w:hAnsi="Times New Roman"/>
                <w:color w:val="000000"/>
              </w:rPr>
              <w:t>W obecnym stanie prawnym istnieje ryzyko, iż w odniesieniu do niektórych inwestorów morskich farm wiatrowych, którzy posiadają już pozwolenia i uzgodnienia lokalizacyjne dla MFW i zespołu urządzeń wyprowadzających moc, pozwolenia/uzgodnienia te wygasną przed rozstrzygnięciem aukcji. W celu uniknięcia niestabilności na rynku</w:t>
            </w:r>
            <w:r w:rsidR="00830ACC" w:rsidRPr="00093E33">
              <w:rPr>
                <w:rFonts w:ascii="Times New Roman" w:hAnsi="Times New Roman"/>
                <w:color w:val="000000"/>
              </w:rPr>
              <w:t>,</w:t>
            </w:r>
            <w:r w:rsidRPr="00093E33">
              <w:rPr>
                <w:rFonts w:ascii="Times New Roman" w:hAnsi="Times New Roman"/>
                <w:color w:val="000000"/>
              </w:rPr>
              <w:t xml:space="preserve"> a także powstania luki inwestycyjnej należy dostosować</w:t>
            </w:r>
            <w:r w:rsidR="00C40FE0" w:rsidRPr="00093E33">
              <w:rPr>
                <w:rFonts w:ascii="Times New Roman" w:hAnsi="Times New Roman"/>
                <w:color w:val="000000"/>
              </w:rPr>
              <w:t xml:space="preserve"> harmonogram realizacji inwestycji wynikając</w:t>
            </w:r>
            <w:r w:rsidRPr="00093E33">
              <w:rPr>
                <w:rFonts w:ascii="Times New Roman" w:hAnsi="Times New Roman"/>
                <w:color w:val="000000"/>
              </w:rPr>
              <w:t>y</w:t>
            </w:r>
            <w:r w:rsidR="00C40FE0" w:rsidRPr="00093E33">
              <w:rPr>
                <w:rFonts w:ascii="Times New Roman" w:hAnsi="Times New Roman"/>
                <w:color w:val="000000"/>
              </w:rPr>
              <w:t xml:space="preserve"> z </w:t>
            </w:r>
            <w:r w:rsidR="006D6669">
              <w:rPr>
                <w:rFonts w:ascii="Times New Roman" w:hAnsi="Times New Roman"/>
                <w:color w:val="000000"/>
              </w:rPr>
              <w:t xml:space="preserve">UOM </w:t>
            </w:r>
            <w:r w:rsidR="00C40FE0" w:rsidRPr="00093E33">
              <w:rPr>
                <w:rFonts w:ascii="Times New Roman" w:hAnsi="Times New Roman"/>
                <w:color w:val="000000"/>
              </w:rPr>
              <w:t xml:space="preserve">do harmonogramu wynikającego z ustawy o promowaniu wytwarzania energii elektrycznej w morskich farmach wiatrowych. </w:t>
            </w:r>
            <w:r w:rsidR="00B702C3" w:rsidRPr="00093E33">
              <w:rPr>
                <w:rFonts w:ascii="Times New Roman" w:hAnsi="Times New Roman"/>
                <w:color w:val="000000"/>
              </w:rPr>
              <w:t xml:space="preserve">Wydłużenie terminu ważności pozwoleń i uzgodnień lokalizacyjnych nie może jednak prowadzić do sytuacji, gdzie inwestor nie będzie posiadał wystarczającego impulsu do realizacji inwestycji w terminie zgodnym z krajowymi celami strategicznymi. </w:t>
            </w:r>
          </w:p>
          <w:p w14:paraId="7A363ABE" w14:textId="59730852" w:rsidR="00C40FE0" w:rsidRPr="00093E33" w:rsidRDefault="00B76211" w:rsidP="00AB2D33">
            <w:pPr>
              <w:spacing w:after="120"/>
              <w:jc w:val="both"/>
              <w:rPr>
                <w:rFonts w:ascii="Times New Roman" w:hAnsi="Times New Roman"/>
                <w:color w:val="000000"/>
              </w:rPr>
            </w:pPr>
            <w:r w:rsidRPr="00093E33">
              <w:rPr>
                <w:rFonts w:ascii="Times New Roman" w:hAnsi="Times New Roman"/>
                <w:color w:val="000000"/>
              </w:rPr>
              <w:t xml:space="preserve">Morska energetyka wiatrowa stanowi obecnie jeden ze strategicznych celów w budowie bezpieczeństwa energetycznego państwa, dlatego należy dołożyć wszelkich starań w celu przyspieszenia rozwoju tego sektora. </w:t>
            </w:r>
          </w:p>
          <w:p w14:paraId="0D789545" w14:textId="741E0B2F" w:rsidR="00C40FE0" w:rsidRPr="00093E33" w:rsidRDefault="00903507" w:rsidP="00903507">
            <w:pPr>
              <w:spacing w:after="120"/>
              <w:ind w:left="360"/>
              <w:jc w:val="both"/>
              <w:rPr>
                <w:rFonts w:ascii="Times New Roman" w:hAnsi="Times New Roman"/>
                <w:b/>
                <w:bCs/>
                <w:color w:val="000000"/>
              </w:rPr>
            </w:pPr>
            <w:r w:rsidRPr="00093E33">
              <w:rPr>
                <w:rFonts w:ascii="Times New Roman" w:hAnsi="Times New Roman"/>
                <w:b/>
                <w:bCs/>
                <w:color w:val="000000"/>
              </w:rPr>
              <w:t>1</w:t>
            </w:r>
            <w:r w:rsidR="00B7441D">
              <w:rPr>
                <w:rFonts w:ascii="Times New Roman" w:hAnsi="Times New Roman"/>
                <w:b/>
                <w:bCs/>
                <w:color w:val="000000"/>
              </w:rPr>
              <w:t>1</w:t>
            </w:r>
            <w:r w:rsidRPr="00093E33">
              <w:rPr>
                <w:rFonts w:ascii="Times New Roman" w:hAnsi="Times New Roman"/>
                <w:b/>
                <w:bCs/>
                <w:color w:val="000000"/>
              </w:rPr>
              <w:t xml:space="preserve">b. </w:t>
            </w:r>
            <w:r w:rsidR="00C40FE0" w:rsidRPr="00093E33">
              <w:rPr>
                <w:rFonts w:ascii="Times New Roman" w:hAnsi="Times New Roman"/>
                <w:b/>
                <w:bCs/>
                <w:color w:val="000000"/>
              </w:rPr>
              <w:t>Tworzenie stref bezpieczeństwa dla MFW</w:t>
            </w:r>
          </w:p>
          <w:p w14:paraId="2367FCA2" w14:textId="3FA004BB" w:rsidR="00C40FE0" w:rsidRPr="00093E33" w:rsidRDefault="0079314E" w:rsidP="00AB2D33">
            <w:pPr>
              <w:spacing w:after="120"/>
              <w:jc w:val="both"/>
              <w:rPr>
                <w:rFonts w:ascii="Times New Roman" w:hAnsi="Times New Roman"/>
                <w:color w:val="000000"/>
              </w:rPr>
            </w:pPr>
            <w:r>
              <w:rPr>
                <w:rFonts w:ascii="Times New Roman" w:hAnsi="Times New Roman"/>
                <w:color w:val="000000"/>
              </w:rPr>
              <w:t xml:space="preserve">Obowiązujące </w:t>
            </w:r>
            <w:r w:rsidR="00B76211" w:rsidRPr="00093E33">
              <w:rPr>
                <w:rFonts w:ascii="Times New Roman" w:hAnsi="Times New Roman"/>
                <w:color w:val="000000"/>
              </w:rPr>
              <w:t xml:space="preserve">przepisy nie regulują w wystarczającym stopniu kwestii ustanawiania stref zamkniętych dla żeglugi </w:t>
            </w:r>
            <w:r w:rsidR="00B7441D" w:rsidRPr="00093E33">
              <w:rPr>
                <w:rFonts w:ascii="Times New Roman" w:hAnsi="Times New Roman"/>
                <w:color w:val="000000"/>
              </w:rPr>
              <w:t>i</w:t>
            </w:r>
            <w:r w:rsidR="00B7441D">
              <w:rPr>
                <w:rFonts w:ascii="Times New Roman" w:hAnsi="Times New Roman"/>
                <w:color w:val="000000"/>
              </w:rPr>
              <w:t> </w:t>
            </w:r>
            <w:r w:rsidR="00B76211" w:rsidRPr="00093E33">
              <w:rPr>
                <w:rFonts w:ascii="Times New Roman" w:hAnsi="Times New Roman"/>
                <w:color w:val="000000"/>
              </w:rPr>
              <w:t>rybołówstwa wokół akwenów zajętych pod budowę MFW (w trakcie ich budowy).</w:t>
            </w:r>
            <w:r w:rsidR="00C40FE0" w:rsidRPr="00093E33">
              <w:rPr>
                <w:rFonts w:ascii="Times New Roman" w:hAnsi="Times New Roman"/>
                <w:color w:val="000000"/>
              </w:rPr>
              <w:t xml:space="preserve"> </w:t>
            </w:r>
            <w:r w:rsidR="00A463F6" w:rsidRPr="00093E33">
              <w:rPr>
                <w:rFonts w:ascii="Times New Roman" w:hAnsi="Times New Roman"/>
                <w:color w:val="000000"/>
              </w:rPr>
              <w:t xml:space="preserve">Wymagane jest doprecyzowanie możliwości ustanawiania </w:t>
            </w:r>
            <w:r w:rsidR="00B76211" w:rsidRPr="00093E33">
              <w:rPr>
                <w:rFonts w:ascii="Times New Roman" w:hAnsi="Times New Roman"/>
                <w:color w:val="000000"/>
              </w:rPr>
              <w:t>takich stref</w:t>
            </w:r>
            <w:r w:rsidR="00A463F6" w:rsidRPr="00093E33">
              <w:rPr>
                <w:rFonts w:ascii="Times New Roman" w:hAnsi="Times New Roman"/>
                <w:color w:val="000000"/>
              </w:rPr>
              <w:t xml:space="preserve"> w celu zachowania spójności z postanowieniami</w:t>
            </w:r>
            <w:r w:rsidR="00C40FE0" w:rsidRPr="00093E33">
              <w:rPr>
                <w:rFonts w:ascii="Times New Roman" w:hAnsi="Times New Roman"/>
                <w:color w:val="000000"/>
              </w:rPr>
              <w:t xml:space="preserve"> plan</w:t>
            </w:r>
            <w:r w:rsidR="00A463F6" w:rsidRPr="00093E33">
              <w:rPr>
                <w:rFonts w:ascii="Times New Roman" w:hAnsi="Times New Roman"/>
                <w:color w:val="000000"/>
              </w:rPr>
              <w:t>u</w:t>
            </w:r>
            <w:r w:rsidR="00C40FE0" w:rsidRPr="00093E33">
              <w:rPr>
                <w:rFonts w:ascii="Times New Roman" w:hAnsi="Times New Roman"/>
                <w:color w:val="000000"/>
              </w:rPr>
              <w:t xml:space="preserve"> zagospodarowania przestrzennego polskich obszarów morskich i jednocześnie w celu zapewnienia bezpieczeństwa w toku procesu inwestycyjnego MFW</w:t>
            </w:r>
            <w:r w:rsidR="00A463F6" w:rsidRPr="00093E33">
              <w:rPr>
                <w:rFonts w:ascii="Times New Roman" w:hAnsi="Times New Roman"/>
                <w:color w:val="000000"/>
              </w:rPr>
              <w:t>.</w:t>
            </w:r>
            <w:r w:rsidR="00C40FE0" w:rsidRPr="00093E33">
              <w:rPr>
                <w:rFonts w:ascii="Times New Roman" w:hAnsi="Times New Roman"/>
                <w:color w:val="000000"/>
              </w:rPr>
              <w:t xml:space="preserve"> </w:t>
            </w:r>
          </w:p>
          <w:p w14:paraId="0E6D3F37" w14:textId="78E2611B" w:rsidR="00C10F9A" w:rsidRPr="00093E33" w:rsidRDefault="00C10F9A" w:rsidP="00903507">
            <w:pPr>
              <w:spacing w:after="120"/>
              <w:ind w:left="486"/>
              <w:jc w:val="both"/>
              <w:rPr>
                <w:rFonts w:ascii="Times New Roman" w:hAnsi="Times New Roman"/>
                <w:b/>
                <w:bCs/>
                <w:color w:val="000000"/>
              </w:rPr>
            </w:pPr>
            <w:r w:rsidRPr="00093E33">
              <w:rPr>
                <w:rFonts w:ascii="Times New Roman" w:hAnsi="Times New Roman"/>
                <w:b/>
                <w:bCs/>
                <w:color w:val="000000"/>
              </w:rPr>
              <w:t>1</w:t>
            </w:r>
            <w:r w:rsidR="00B7441D">
              <w:rPr>
                <w:rFonts w:ascii="Times New Roman" w:hAnsi="Times New Roman"/>
                <w:b/>
                <w:bCs/>
                <w:color w:val="000000"/>
              </w:rPr>
              <w:t>1</w:t>
            </w:r>
            <w:r w:rsidR="00924D78">
              <w:rPr>
                <w:rFonts w:ascii="Times New Roman" w:hAnsi="Times New Roman"/>
                <w:b/>
                <w:bCs/>
                <w:color w:val="000000"/>
              </w:rPr>
              <w:t>c</w:t>
            </w:r>
            <w:r w:rsidRPr="00093E33">
              <w:rPr>
                <w:rFonts w:ascii="Times New Roman" w:hAnsi="Times New Roman"/>
                <w:b/>
                <w:bCs/>
                <w:color w:val="000000"/>
              </w:rPr>
              <w:t>. Niezbędne uproszczenia terminologiczne</w:t>
            </w:r>
          </w:p>
          <w:p w14:paraId="00C6A665" w14:textId="179D7C77" w:rsidR="00C10F9A" w:rsidRDefault="00C10F9A" w:rsidP="00AB2D33">
            <w:pPr>
              <w:spacing w:after="120"/>
              <w:jc w:val="both"/>
              <w:rPr>
                <w:rFonts w:ascii="Times New Roman" w:hAnsi="Times New Roman"/>
                <w:color w:val="000000"/>
              </w:rPr>
            </w:pPr>
            <w:r w:rsidRPr="00093E33">
              <w:rPr>
                <w:rFonts w:ascii="Times New Roman" w:hAnsi="Times New Roman"/>
                <w:color w:val="000000"/>
              </w:rPr>
              <w:t xml:space="preserve">Celem propozycji jest dostosowanie regulacji ustawy o obszarach morskich RP i administracji morskiej do uwarunkowań związanych z budową morskich farm wiatrowych w polskich obszarach morskich. Już w obecnym otoczeniu prawnym prawodawca zdecydował się na wprowadzenie odrębnych norm dla tego rodzaju inwestycji, niemniej nadal konieczne jest doprecyzowanie pojęć, takich jak „rozpoczęcie budowy” czy „rozpoczęcie wykorzystywania” morskich farm wiatrowych w taki sposób, aby uniknąć wszelkich wątpliwości regulacyjnych. </w:t>
            </w:r>
          </w:p>
          <w:p w14:paraId="2E6C11F7" w14:textId="631121DF" w:rsidR="00744650" w:rsidRPr="00E72FB9" w:rsidRDefault="00744650" w:rsidP="00E72FB9">
            <w:pPr>
              <w:spacing w:after="120"/>
              <w:ind w:left="486"/>
              <w:jc w:val="both"/>
              <w:rPr>
                <w:rFonts w:ascii="Times New Roman" w:hAnsi="Times New Roman"/>
                <w:b/>
                <w:bCs/>
                <w:color w:val="000000"/>
              </w:rPr>
            </w:pPr>
            <w:r w:rsidRPr="00744650">
              <w:rPr>
                <w:rFonts w:ascii="Times New Roman" w:hAnsi="Times New Roman"/>
                <w:b/>
                <w:bCs/>
                <w:color w:val="000000"/>
              </w:rPr>
              <w:lastRenderedPageBreak/>
              <w:t>1</w:t>
            </w:r>
            <w:r w:rsidR="00B7441D">
              <w:rPr>
                <w:rFonts w:ascii="Times New Roman" w:hAnsi="Times New Roman"/>
                <w:b/>
                <w:bCs/>
                <w:color w:val="000000"/>
              </w:rPr>
              <w:t>1</w:t>
            </w:r>
            <w:r w:rsidRPr="00744650">
              <w:rPr>
                <w:rFonts w:ascii="Times New Roman" w:hAnsi="Times New Roman"/>
                <w:b/>
                <w:bCs/>
                <w:color w:val="000000"/>
              </w:rPr>
              <w:t xml:space="preserve">d. </w:t>
            </w:r>
            <w:r w:rsidRPr="00E72FB9">
              <w:rPr>
                <w:rFonts w:ascii="Times New Roman" w:hAnsi="Times New Roman"/>
                <w:b/>
                <w:bCs/>
                <w:color w:val="000000"/>
              </w:rPr>
              <w:t xml:space="preserve">wyłączenie możliwości wnioskowania o pozwolenie lub uzgodnienie lokalizacyjne dla kabli MFW </w:t>
            </w:r>
            <w:r w:rsidR="00B7441D" w:rsidRPr="00E72FB9">
              <w:rPr>
                <w:rFonts w:ascii="Times New Roman" w:hAnsi="Times New Roman"/>
                <w:b/>
                <w:bCs/>
                <w:color w:val="000000"/>
              </w:rPr>
              <w:t>w</w:t>
            </w:r>
            <w:r w:rsidR="00B7441D">
              <w:rPr>
                <w:rFonts w:ascii="Times New Roman" w:hAnsi="Times New Roman"/>
                <w:b/>
                <w:bCs/>
                <w:color w:val="000000"/>
              </w:rPr>
              <w:t> </w:t>
            </w:r>
            <w:r w:rsidRPr="00E72FB9">
              <w:rPr>
                <w:rFonts w:ascii="Times New Roman" w:hAnsi="Times New Roman"/>
                <w:b/>
                <w:bCs/>
                <w:color w:val="000000"/>
              </w:rPr>
              <w:t>oparciu o wstępne warunki przyłączenia</w:t>
            </w:r>
          </w:p>
          <w:p w14:paraId="02F9F37F" w14:textId="77777777" w:rsidR="00744650" w:rsidRPr="00744650" w:rsidRDefault="00744650" w:rsidP="00744650">
            <w:pPr>
              <w:spacing w:after="120"/>
              <w:jc w:val="both"/>
              <w:rPr>
                <w:rFonts w:ascii="Times New Roman" w:hAnsi="Times New Roman"/>
                <w:color w:val="000000"/>
              </w:rPr>
            </w:pPr>
            <w:r w:rsidRPr="00744650">
              <w:rPr>
                <w:rFonts w:ascii="Times New Roman" w:hAnsi="Times New Roman"/>
                <w:color w:val="000000"/>
              </w:rPr>
              <w:t>Aktualnie w przypadku wniosku dotyczącego zespołu urządzeń służących do wyprowadzenia mocy lub jego elementów - wnioskodawca dołącza także oryginały lub poświadczone kopie wstępnych warunków przyłączenia albo warunków przyłączenia albo umowy lub umów o przyłączenie do sieci przesyłowej lub dystrybucyjnej dla morskiej farmy wiatrowej, z której wyprowadzana będzie moc za pomocą zespołu urządzeń służących do wyprowadzenia mocy lub jego elementów, objętych wnioskiem.</w:t>
            </w:r>
          </w:p>
          <w:p w14:paraId="49FEFC8B" w14:textId="234D5290" w:rsidR="00744650" w:rsidRPr="00744650" w:rsidRDefault="00744650" w:rsidP="00744650">
            <w:pPr>
              <w:spacing w:after="120"/>
              <w:jc w:val="both"/>
              <w:rPr>
                <w:rFonts w:ascii="Times New Roman" w:hAnsi="Times New Roman"/>
                <w:color w:val="000000"/>
              </w:rPr>
            </w:pPr>
            <w:r w:rsidRPr="00744650">
              <w:rPr>
                <w:rFonts w:ascii="Times New Roman" w:hAnsi="Times New Roman"/>
                <w:color w:val="000000"/>
              </w:rPr>
              <w:t xml:space="preserve">Wstępne warunki przyłączenia MFW nie stanowią zobowiązania operatora systemu przesyłowego do zawarcia umowy </w:t>
            </w:r>
            <w:r w:rsidR="00B7441D" w:rsidRPr="00744650">
              <w:rPr>
                <w:rFonts w:ascii="Times New Roman" w:hAnsi="Times New Roman"/>
                <w:color w:val="000000"/>
              </w:rPr>
              <w:t>o</w:t>
            </w:r>
            <w:r w:rsidR="00B7441D">
              <w:rPr>
                <w:rFonts w:ascii="Times New Roman" w:hAnsi="Times New Roman"/>
                <w:color w:val="000000"/>
              </w:rPr>
              <w:t> </w:t>
            </w:r>
            <w:r w:rsidRPr="00744650">
              <w:rPr>
                <w:rFonts w:ascii="Times New Roman" w:hAnsi="Times New Roman"/>
                <w:color w:val="000000"/>
              </w:rPr>
              <w:t xml:space="preserve">przyłączenie do sieci elektroenergetycznej. Operator systemu przesyłowego może wydać wstępne warunki przyłączenia MFW w zakresie mocy przekraczającej moc dostępną w danym miejscu przyłączenia. </w:t>
            </w:r>
          </w:p>
          <w:p w14:paraId="49DEFFA5" w14:textId="562B3D2F" w:rsidR="00744650" w:rsidRPr="00093E33" w:rsidRDefault="00744650" w:rsidP="00744650">
            <w:pPr>
              <w:spacing w:after="120"/>
              <w:jc w:val="both"/>
              <w:rPr>
                <w:rFonts w:ascii="Times New Roman" w:hAnsi="Times New Roman"/>
                <w:color w:val="000000"/>
              </w:rPr>
            </w:pPr>
            <w:r w:rsidRPr="00744650">
              <w:rPr>
                <w:rFonts w:ascii="Times New Roman" w:hAnsi="Times New Roman"/>
                <w:color w:val="000000"/>
              </w:rPr>
              <w:t>Z uwagi na fakt, że wstępne warunki przyłączenia zmieniają się w warunki przyłączenia dopiero po wygraniu aukcji przez dany podmiot, to należy zapobiec sytuacji, w której podmioty ze wstępnymi warunkami przyłączenia, które nie wygrały aukcji, zablokują podmiotom, które wygrały aukcje możliwość wnioskowania o pozwolenie/uzgodnienie lokalizacyjne dla kabli wyprowadzający moc z MFW w najkorzystniejszych miejscach.</w:t>
            </w:r>
          </w:p>
          <w:p w14:paraId="4DB4424C" w14:textId="4B69FCF6" w:rsidR="00903507" w:rsidRPr="00093E33" w:rsidRDefault="00903507" w:rsidP="00792646">
            <w:pPr>
              <w:pStyle w:val="Akapitzlist"/>
              <w:numPr>
                <w:ilvl w:val="0"/>
                <w:numId w:val="130"/>
              </w:numPr>
              <w:spacing w:after="120"/>
              <w:jc w:val="both"/>
              <w:rPr>
                <w:rFonts w:ascii="Times New Roman" w:hAnsi="Times New Roman"/>
                <w:b/>
                <w:color w:val="000000"/>
              </w:rPr>
            </w:pPr>
            <w:r w:rsidRPr="00093E33">
              <w:rPr>
                <w:rFonts w:ascii="Times New Roman" w:hAnsi="Times New Roman"/>
                <w:b/>
                <w:color w:val="000000"/>
              </w:rPr>
              <w:t>Klasyfikacja elementów MFW jako budowli</w:t>
            </w:r>
          </w:p>
          <w:p w14:paraId="176038CD" w14:textId="42634302" w:rsidR="00903507" w:rsidRPr="00093E33" w:rsidRDefault="00903507" w:rsidP="00903507">
            <w:pPr>
              <w:spacing w:after="120"/>
              <w:jc w:val="both"/>
              <w:rPr>
                <w:rFonts w:ascii="Times New Roman" w:hAnsi="Times New Roman"/>
                <w:bCs/>
                <w:color w:val="000000"/>
              </w:rPr>
            </w:pPr>
            <w:r w:rsidRPr="00093E33">
              <w:rPr>
                <w:rFonts w:ascii="Times New Roman" w:hAnsi="Times New Roman"/>
                <w:bCs/>
                <w:color w:val="000000"/>
              </w:rPr>
              <w:t xml:space="preserve">Aktualnie na gruncie prawa pojawiają się wątpliwości co do kwalifikacji morskich turbin wiatrowych jako budowli. Aktualnie na terenie całej Unii Europejskiej morskie turbiny wiatrowe traktowane </w:t>
            </w:r>
            <w:r w:rsidR="00AB7934">
              <w:rPr>
                <w:rFonts w:ascii="Times New Roman" w:hAnsi="Times New Roman"/>
                <w:bCs/>
                <w:color w:val="000000"/>
              </w:rPr>
              <w:t xml:space="preserve">(bez fundamentów i elementów przejściowych) </w:t>
            </w:r>
            <w:r w:rsidRPr="00093E33">
              <w:rPr>
                <w:rFonts w:ascii="Times New Roman" w:hAnsi="Times New Roman"/>
                <w:bCs/>
                <w:color w:val="000000"/>
              </w:rPr>
              <w:t>są jako urządzenia, które w całości stanowią jedną maszynę</w:t>
            </w:r>
            <w:r w:rsidR="0079314E">
              <w:rPr>
                <w:rFonts w:ascii="Times New Roman" w:hAnsi="Times New Roman"/>
                <w:bCs/>
                <w:color w:val="000000"/>
              </w:rPr>
              <w:t xml:space="preserve"> i</w:t>
            </w:r>
            <w:r w:rsidRPr="00093E33">
              <w:rPr>
                <w:rFonts w:ascii="Times New Roman" w:hAnsi="Times New Roman"/>
                <w:bCs/>
                <w:color w:val="000000"/>
              </w:rPr>
              <w:t xml:space="preserve"> są produkowane i wprowadzane na rynek zgodnie z Dyrektywą maszynową. W konsekwencji morskie turbiny wiatrowe są projektowane, wytwarzane i montowane zgodnie z normą IEC 61400 oraz normami zharmonizowanymi. </w:t>
            </w:r>
          </w:p>
          <w:p w14:paraId="616FC61F" w14:textId="5448F599" w:rsidR="00903507" w:rsidRPr="00093E33" w:rsidRDefault="00903507" w:rsidP="00903507">
            <w:pPr>
              <w:spacing w:after="120"/>
              <w:jc w:val="both"/>
              <w:rPr>
                <w:rFonts w:ascii="Times New Roman" w:hAnsi="Times New Roman"/>
                <w:bCs/>
                <w:color w:val="000000"/>
              </w:rPr>
            </w:pPr>
            <w:r w:rsidRPr="00093E33">
              <w:rPr>
                <w:rFonts w:ascii="Times New Roman" w:hAnsi="Times New Roman"/>
                <w:bCs/>
                <w:color w:val="000000"/>
              </w:rPr>
              <w:t xml:space="preserve">W przypadku kwalifikacji morskiej turbiny wiatrowej jako budowli, budowa morskich farmach wiatrowych w Polsce może być pod istotną presją rynkową i czasową. Producenci </w:t>
            </w:r>
            <w:r w:rsidR="0079314E">
              <w:rPr>
                <w:rFonts w:ascii="Times New Roman" w:hAnsi="Times New Roman"/>
                <w:bCs/>
                <w:color w:val="000000"/>
              </w:rPr>
              <w:t xml:space="preserve">turbin </w:t>
            </w:r>
            <w:r w:rsidRPr="00093E33">
              <w:rPr>
                <w:rFonts w:ascii="Times New Roman" w:hAnsi="Times New Roman"/>
                <w:bCs/>
                <w:color w:val="000000"/>
              </w:rPr>
              <w:t>musieliby dostosować swoje procesy produkcyjne to wymogów jakie obowiązywałyby jedynie w Polsce co wymaga czasu i znaczących nakładów inwestycyjnych. Ze względu na</w:t>
            </w:r>
            <w:r w:rsidR="0079314E">
              <w:rPr>
                <w:rFonts w:ascii="Times New Roman" w:hAnsi="Times New Roman"/>
                <w:bCs/>
                <w:color w:val="000000"/>
              </w:rPr>
              <w:t xml:space="preserve"> dynamiczny</w:t>
            </w:r>
            <w:r w:rsidRPr="00093E33">
              <w:rPr>
                <w:rFonts w:ascii="Times New Roman" w:hAnsi="Times New Roman"/>
                <w:bCs/>
                <w:color w:val="000000"/>
              </w:rPr>
              <w:t xml:space="preserve"> rozwój morskiej energetyki wiatrowej </w:t>
            </w:r>
            <w:r w:rsidR="0079314E">
              <w:rPr>
                <w:rFonts w:ascii="Times New Roman" w:hAnsi="Times New Roman"/>
                <w:bCs/>
                <w:color w:val="000000"/>
              </w:rPr>
              <w:t xml:space="preserve">na świecie </w:t>
            </w:r>
            <w:r w:rsidRPr="00093E33">
              <w:rPr>
                <w:rFonts w:ascii="Times New Roman" w:hAnsi="Times New Roman"/>
                <w:bCs/>
                <w:color w:val="000000"/>
              </w:rPr>
              <w:t xml:space="preserve">obawiać się można presji priorytetyzowania mniej ryzykownych </w:t>
            </w:r>
            <w:r w:rsidR="0079314E">
              <w:rPr>
                <w:rFonts w:ascii="Times New Roman" w:hAnsi="Times New Roman"/>
                <w:bCs/>
                <w:color w:val="000000"/>
              </w:rPr>
              <w:t xml:space="preserve">i problematycznych </w:t>
            </w:r>
            <w:r w:rsidRPr="00093E33">
              <w:rPr>
                <w:rFonts w:ascii="Times New Roman" w:hAnsi="Times New Roman"/>
                <w:bCs/>
                <w:color w:val="000000"/>
              </w:rPr>
              <w:t xml:space="preserve">projektów w innych częściach EU lub świata. </w:t>
            </w:r>
          </w:p>
          <w:p w14:paraId="18106F34" w14:textId="77777777" w:rsidR="00903507" w:rsidRPr="00093E33" w:rsidRDefault="00903507" w:rsidP="00903507">
            <w:pPr>
              <w:spacing w:after="120"/>
              <w:jc w:val="both"/>
              <w:rPr>
                <w:rFonts w:ascii="Times New Roman" w:hAnsi="Times New Roman"/>
                <w:bCs/>
                <w:color w:val="000000"/>
              </w:rPr>
            </w:pPr>
            <w:r w:rsidRPr="00093E33">
              <w:rPr>
                <w:rFonts w:ascii="Times New Roman" w:hAnsi="Times New Roman"/>
                <w:bCs/>
                <w:color w:val="000000"/>
              </w:rPr>
              <w:t>Mając na uwadze powyższe konieczne jest doprecyzowanie definicji budowli i wyeliminowanie wątpliwości interpretacyjnych.</w:t>
            </w:r>
          </w:p>
          <w:p w14:paraId="0F7F5AB3" w14:textId="68651D06" w:rsidR="00C40FE0" w:rsidRPr="00093E33" w:rsidRDefault="00093E33" w:rsidP="00093E33">
            <w:pPr>
              <w:spacing w:after="120"/>
              <w:ind w:left="360"/>
              <w:jc w:val="both"/>
              <w:rPr>
                <w:rFonts w:ascii="Times New Roman" w:hAnsi="Times New Roman"/>
                <w:b/>
                <w:bCs/>
                <w:color w:val="000000"/>
              </w:rPr>
            </w:pPr>
            <w:r w:rsidRPr="00093E33">
              <w:rPr>
                <w:rFonts w:ascii="Times New Roman" w:hAnsi="Times New Roman"/>
                <w:b/>
                <w:bCs/>
                <w:color w:val="000000"/>
              </w:rPr>
              <w:t>1</w:t>
            </w:r>
            <w:r w:rsidR="00B7441D">
              <w:rPr>
                <w:rFonts w:ascii="Times New Roman" w:hAnsi="Times New Roman"/>
                <w:b/>
                <w:bCs/>
                <w:color w:val="000000"/>
              </w:rPr>
              <w:t>3</w:t>
            </w:r>
            <w:r w:rsidRPr="00093E33">
              <w:rPr>
                <w:rFonts w:ascii="Times New Roman" w:hAnsi="Times New Roman"/>
                <w:b/>
                <w:bCs/>
                <w:color w:val="000000"/>
              </w:rPr>
              <w:t xml:space="preserve">a. </w:t>
            </w:r>
            <w:r w:rsidR="00C40FE0" w:rsidRPr="00093E33">
              <w:rPr>
                <w:rFonts w:ascii="Times New Roman" w:hAnsi="Times New Roman"/>
                <w:b/>
                <w:bCs/>
                <w:color w:val="000000"/>
              </w:rPr>
              <w:t>Zdefiniowanie personelu do obsługi MFW</w:t>
            </w:r>
          </w:p>
          <w:p w14:paraId="301C9884" w14:textId="126730B9" w:rsidR="00C40FE0" w:rsidRPr="00093E33" w:rsidRDefault="00C40FE0" w:rsidP="00AB2D33">
            <w:pPr>
              <w:spacing w:after="120"/>
              <w:jc w:val="both"/>
              <w:rPr>
                <w:rFonts w:ascii="Times New Roman" w:hAnsi="Times New Roman"/>
                <w:color w:val="000000"/>
              </w:rPr>
            </w:pPr>
            <w:r w:rsidRPr="00093E33">
              <w:rPr>
                <w:rFonts w:ascii="Times New Roman" w:hAnsi="Times New Roman"/>
                <w:color w:val="000000"/>
              </w:rPr>
              <w:t>Obsługa, budowa i serwis morskich farm wiatrowych wymaga wykwalifikowanego personelu, któremu należy zapewnić odpowiednie standardy bezpieczeństwa wykonywanej pracy. W świetle obecnych przepisów, personel przemysłowy wykonujący tego typu zadania na specjalistycznych jednostkach typu CTV</w:t>
            </w:r>
            <w:r w:rsidR="00B76211" w:rsidRPr="00093E33">
              <w:rPr>
                <w:rFonts w:ascii="Times New Roman" w:hAnsi="Times New Roman"/>
                <w:color w:val="000000"/>
              </w:rPr>
              <w:t xml:space="preserve"> (Crew Transfer Vessel)</w:t>
            </w:r>
            <w:r w:rsidRPr="00093E33">
              <w:rPr>
                <w:rFonts w:ascii="Times New Roman" w:hAnsi="Times New Roman"/>
                <w:color w:val="000000"/>
              </w:rPr>
              <w:t>, SOV</w:t>
            </w:r>
            <w:r w:rsidR="00B76211" w:rsidRPr="00093E33">
              <w:t xml:space="preserve"> (</w:t>
            </w:r>
            <w:r w:rsidR="00B76211" w:rsidRPr="00093E33">
              <w:rPr>
                <w:rFonts w:ascii="Times New Roman" w:hAnsi="Times New Roman"/>
                <w:color w:val="000000"/>
              </w:rPr>
              <w:t>Service Operations Vessel)</w:t>
            </w:r>
            <w:r w:rsidRPr="00093E33">
              <w:rPr>
                <w:rFonts w:ascii="Times New Roman" w:hAnsi="Times New Roman"/>
                <w:color w:val="000000"/>
              </w:rPr>
              <w:t xml:space="preserve"> czy instalacyjnych, traktowany jest jak zwykli pasażerowie. </w:t>
            </w:r>
            <w:r w:rsidR="00A463F6" w:rsidRPr="00093E33">
              <w:rPr>
                <w:rFonts w:ascii="Times New Roman" w:hAnsi="Times New Roman"/>
                <w:color w:val="000000"/>
              </w:rPr>
              <w:t>Istnieje więc konieczność</w:t>
            </w:r>
            <w:r w:rsidRPr="00093E33">
              <w:rPr>
                <w:rFonts w:ascii="Times New Roman" w:hAnsi="Times New Roman"/>
                <w:color w:val="000000"/>
              </w:rPr>
              <w:t xml:space="preserve"> wprowadzeni</w:t>
            </w:r>
            <w:r w:rsidR="00A463F6" w:rsidRPr="00093E33">
              <w:rPr>
                <w:rFonts w:ascii="Times New Roman" w:hAnsi="Times New Roman"/>
                <w:color w:val="000000"/>
              </w:rPr>
              <w:t>a</w:t>
            </w:r>
            <w:r w:rsidRPr="00093E33">
              <w:rPr>
                <w:rFonts w:ascii="Times New Roman" w:hAnsi="Times New Roman"/>
                <w:color w:val="000000"/>
              </w:rPr>
              <w:t xml:space="preserve"> nowej definicji personelu przemysłowego, która pozwoli na sprawniejsze i bezpieczniejsze realizowanie zadań z zakresu budowy i obsługi morskich farm wiatrowych.</w:t>
            </w:r>
          </w:p>
          <w:p w14:paraId="152D39BC" w14:textId="0A1770A9" w:rsidR="00C40FE0" w:rsidRPr="00093E33" w:rsidRDefault="00093E33" w:rsidP="00093E33">
            <w:pPr>
              <w:spacing w:after="120"/>
              <w:ind w:left="360"/>
              <w:jc w:val="both"/>
              <w:rPr>
                <w:rFonts w:ascii="Times New Roman" w:hAnsi="Times New Roman"/>
                <w:b/>
                <w:bCs/>
                <w:color w:val="000000"/>
              </w:rPr>
            </w:pPr>
            <w:r w:rsidRPr="00093E33">
              <w:rPr>
                <w:rFonts w:ascii="Times New Roman" w:hAnsi="Times New Roman"/>
                <w:b/>
                <w:bCs/>
                <w:color w:val="000000"/>
              </w:rPr>
              <w:t>1</w:t>
            </w:r>
            <w:r w:rsidR="00B7441D">
              <w:rPr>
                <w:rFonts w:ascii="Times New Roman" w:hAnsi="Times New Roman"/>
                <w:b/>
                <w:bCs/>
                <w:color w:val="000000"/>
              </w:rPr>
              <w:t>3</w:t>
            </w:r>
            <w:r w:rsidRPr="00093E33">
              <w:rPr>
                <w:rFonts w:ascii="Times New Roman" w:hAnsi="Times New Roman"/>
                <w:b/>
                <w:bCs/>
                <w:color w:val="000000"/>
              </w:rPr>
              <w:t xml:space="preserve">b. </w:t>
            </w:r>
            <w:r w:rsidR="00C40FE0" w:rsidRPr="00093E33">
              <w:rPr>
                <w:rFonts w:ascii="Times New Roman" w:hAnsi="Times New Roman"/>
                <w:b/>
                <w:bCs/>
                <w:color w:val="000000"/>
              </w:rPr>
              <w:t>Udostępniani</w:t>
            </w:r>
            <w:r w:rsidR="00A44D47" w:rsidRPr="00093E33">
              <w:rPr>
                <w:rFonts w:ascii="Times New Roman" w:hAnsi="Times New Roman"/>
                <w:b/>
                <w:bCs/>
                <w:color w:val="000000"/>
              </w:rPr>
              <w:t>e</w:t>
            </w:r>
            <w:r w:rsidR="00C40FE0" w:rsidRPr="00093E33">
              <w:rPr>
                <w:rFonts w:ascii="Times New Roman" w:hAnsi="Times New Roman"/>
                <w:b/>
                <w:bCs/>
                <w:color w:val="000000"/>
              </w:rPr>
              <w:t xml:space="preserve"> danych niezbędnych do sporządzenia ekspertyz technicznych</w:t>
            </w:r>
          </w:p>
          <w:p w14:paraId="486037AF" w14:textId="77777777" w:rsidR="00B76211" w:rsidRPr="00093E33" w:rsidRDefault="00B76211" w:rsidP="00AB2D33">
            <w:pPr>
              <w:spacing w:after="120"/>
              <w:jc w:val="both"/>
              <w:rPr>
                <w:rFonts w:ascii="Times New Roman" w:hAnsi="Times New Roman"/>
                <w:color w:val="000000"/>
              </w:rPr>
            </w:pPr>
            <w:r w:rsidRPr="00093E33">
              <w:rPr>
                <w:rFonts w:ascii="Times New Roman" w:hAnsi="Times New Roman"/>
                <w:color w:val="000000"/>
              </w:rPr>
              <w:t xml:space="preserve">Wytwórcy energii elektrycznej w MFW są obowiązani do sporządzenia ekspertyzy technicznej w zakresie oceny wpływu MFW i zespołu urządzeń na systemy obronności państwa, w tym na system zobrazowania radiolokacyjnego, obserwacji technicznej, morskiej łączności radiowej oraz system kontroli służb ruchu lotniczego Sił Zbrojnych RP. Ekspertyzy podlegają zatwierdzeniu przez Ministra Obrony Narodowej (MON). </w:t>
            </w:r>
          </w:p>
          <w:p w14:paraId="1868D6ED" w14:textId="5E976212" w:rsidR="00C40FE0" w:rsidRDefault="00A463F6" w:rsidP="00AB2D33">
            <w:pPr>
              <w:spacing w:after="120"/>
              <w:jc w:val="both"/>
              <w:rPr>
                <w:rFonts w:ascii="Times New Roman" w:hAnsi="Times New Roman"/>
                <w:color w:val="000000"/>
              </w:rPr>
            </w:pPr>
            <w:r w:rsidRPr="00093E33">
              <w:rPr>
                <w:rFonts w:ascii="Times New Roman" w:hAnsi="Times New Roman"/>
                <w:color w:val="000000"/>
              </w:rPr>
              <w:t xml:space="preserve">W chwili obecnej istnieje możliwość, że </w:t>
            </w:r>
            <w:r w:rsidR="00C40FE0" w:rsidRPr="00093E33">
              <w:rPr>
                <w:rFonts w:ascii="Times New Roman" w:hAnsi="Times New Roman"/>
                <w:color w:val="000000"/>
              </w:rPr>
              <w:t>ekspertyzy sporządzane przez wytwórców nie będą spełniały oczekiwań MON z</w:t>
            </w:r>
            <w:r w:rsidR="00347B23">
              <w:rPr>
                <w:rFonts w:ascii="Times New Roman" w:hAnsi="Times New Roman"/>
                <w:color w:val="000000"/>
              </w:rPr>
              <w:t> </w:t>
            </w:r>
            <w:r w:rsidR="00C40FE0" w:rsidRPr="00093E33">
              <w:rPr>
                <w:rFonts w:ascii="Times New Roman" w:hAnsi="Times New Roman"/>
                <w:color w:val="000000"/>
              </w:rPr>
              <w:t>uwagi na nieuwzględnienie dokumentów i informacji, które znajdują się wyłącznie w posiadaniu MON lub sił zbrojnych.</w:t>
            </w:r>
            <w:r w:rsidRPr="00093E33">
              <w:rPr>
                <w:rFonts w:ascii="Times New Roman" w:hAnsi="Times New Roman"/>
                <w:color w:val="000000"/>
              </w:rPr>
              <w:t xml:space="preserve"> Zachodzi więc konieczność doprecyzowania przepisów w </w:t>
            </w:r>
            <w:r w:rsidR="004B4021" w:rsidRPr="00093E33">
              <w:rPr>
                <w:rFonts w:ascii="Times New Roman" w:hAnsi="Times New Roman"/>
                <w:color w:val="000000"/>
              </w:rPr>
              <w:t xml:space="preserve">taki </w:t>
            </w:r>
            <w:r w:rsidRPr="00093E33">
              <w:rPr>
                <w:rFonts w:ascii="Times New Roman" w:hAnsi="Times New Roman"/>
                <w:color w:val="000000"/>
              </w:rPr>
              <w:t>sposób</w:t>
            </w:r>
            <w:r w:rsidR="004B4021" w:rsidRPr="00093E33">
              <w:rPr>
                <w:rFonts w:ascii="Times New Roman" w:hAnsi="Times New Roman"/>
                <w:color w:val="000000"/>
              </w:rPr>
              <w:t>, aby wytwórcy mogli w sposób n</w:t>
            </w:r>
            <w:r w:rsidRPr="00093E33">
              <w:rPr>
                <w:rFonts w:ascii="Times New Roman" w:hAnsi="Times New Roman"/>
                <w:color w:val="000000"/>
              </w:rPr>
              <w:t>ie budzący wątpliwości</w:t>
            </w:r>
            <w:r w:rsidR="004B4021" w:rsidRPr="00093E33">
              <w:rPr>
                <w:rFonts w:ascii="Times New Roman" w:hAnsi="Times New Roman"/>
                <w:color w:val="000000"/>
              </w:rPr>
              <w:t xml:space="preserve"> sporządzić ekspertyzy techniczne wymagane przepisami </w:t>
            </w:r>
            <w:r w:rsidR="00966AD6">
              <w:rPr>
                <w:rFonts w:ascii="Times New Roman" w:hAnsi="Times New Roman"/>
                <w:color w:val="000000"/>
              </w:rPr>
              <w:t>UBM</w:t>
            </w:r>
            <w:r w:rsidR="004B4021" w:rsidRPr="00093E33">
              <w:rPr>
                <w:rFonts w:ascii="Times New Roman" w:hAnsi="Times New Roman"/>
                <w:color w:val="000000"/>
              </w:rPr>
              <w:t>.</w:t>
            </w:r>
          </w:p>
          <w:p w14:paraId="186AFA99" w14:textId="664162F5" w:rsidR="00431472" w:rsidRDefault="00431472" w:rsidP="00431472">
            <w:pPr>
              <w:spacing w:after="120"/>
              <w:ind w:left="360"/>
              <w:jc w:val="both"/>
              <w:rPr>
                <w:rFonts w:ascii="Times New Roman" w:hAnsi="Times New Roman"/>
                <w:b/>
                <w:bCs/>
                <w:color w:val="000000"/>
              </w:rPr>
            </w:pPr>
            <w:r w:rsidRPr="00093E33">
              <w:rPr>
                <w:rFonts w:ascii="Times New Roman" w:hAnsi="Times New Roman"/>
                <w:b/>
                <w:bCs/>
                <w:color w:val="000000"/>
              </w:rPr>
              <w:t>1</w:t>
            </w:r>
            <w:r w:rsidR="00B7441D">
              <w:rPr>
                <w:rFonts w:ascii="Times New Roman" w:hAnsi="Times New Roman"/>
                <w:b/>
                <w:bCs/>
                <w:color w:val="000000"/>
              </w:rPr>
              <w:t>3</w:t>
            </w:r>
            <w:r w:rsidRPr="00093E33">
              <w:rPr>
                <w:rFonts w:ascii="Times New Roman" w:hAnsi="Times New Roman"/>
                <w:b/>
                <w:bCs/>
                <w:color w:val="000000"/>
              </w:rPr>
              <w:t xml:space="preserve">c. </w:t>
            </w:r>
            <w:r w:rsidRPr="00E72FB9">
              <w:rPr>
                <w:rFonts w:ascii="Times New Roman" w:hAnsi="Times New Roman"/>
                <w:b/>
                <w:bCs/>
                <w:color w:val="000000"/>
              </w:rPr>
              <w:t xml:space="preserve">Ponoszenie kosztów związanych z kompensacją negatywnego wpływu MFW na systemy obronności </w:t>
            </w:r>
            <w:r w:rsidR="009714CD" w:rsidRPr="00E72FB9">
              <w:rPr>
                <w:rFonts w:ascii="Times New Roman" w:hAnsi="Times New Roman"/>
                <w:b/>
                <w:bCs/>
                <w:color w:val="000000"/>
              </w:rPr>
              <w:t>i</w:t>
            </w:r>
            <w:r w:rsidR="009714CD">
              <w:rPr>
                <w:rFonts w:ascii="Times New Roman" w:hAnsi="Times New Roman"/>
                <w:b/>
                <w:bCs/>
                <w:color w:val="000000"/>
              </w:rPr>
              <w:t> </w:t>
            </w:r>
            <w:r w:rsidRPr="00E72FB9">
              <w:rPr>
                <w:rFonts w:ascii="Times New Roman" w:hAnsi="Times New Roman"/>
                <w:b/>
                <w:bCs/>
                <w:color w:val="000000"/>
              </w:rPr>
              <w:t>bezpieczeństwa państwa</w:t>
            </w:r>
          </w:p>
          <w:p w14:paraId="0CF0B793" w14:textId="0934F8FB" w:rsidR="00431472" w:rsidRDefault="00431472" w:rsidP="00431472">
            <w:pPr>
              <w:spacing w:after="120"/>
              <w:jc w:val="both"/>
              <w:rPr>
                <w:rFonts w:ascii="Times New Roman" w:hAnsi="Times New Roman"/>
                <w:color w:val="000000"/>
              </w:rPr>
            </w:pPr>
            <w:r>
              <w:rPr>
                <w:rFonts w:ascii="Times New Roman" w:hAnsi="Times New Roman"/>
                <w:color w:val="000000"/>
              </w:rPr>
              <w:t xml:space="preserve">Obowiązujące </w:t>
            </w:r>
            <w:r w:rsidRPr="00E72FB9">
              <w:rPr>
                <w:rFonts w:ascii="Times New Roman" w:hAnsi="Times New Roman"/>
                <w:color w:val="000000"/>
              </w:rPr>
              <w:t>przepisy nie wskazują kto ponosi koszty związane z kompensacją negatywnego wpływu MFW lub zespołu urządzeń wynikające z ekspertyz</w:t>
            </w:r>
            <w:r>
              <w:rPr>
                <w:rFonts w:ascii="Times New Roman" w:hAnsi="Times New Roman"/>
                <w:color w:val="000000"/>
              </w:rPr>
              <w:t>, do sporządzenia których zobowiązany jest inwestor</w:t>
            </w:r>
            <w:r w:rsidRPr="00E72FB9">
              <w:rPr>
                <w:rFonts w:ascii="Times New Roman" w:hAnsi="Times New Roman"/>
                <w:color w:val="000000"/>
              </w:rPr>
              <w:t xml:space="preserve">, co może prowadzić do sporów </w:t>
            </w:r>
            <w:r w:rsidR="009714CD" w:rsidRPr="00E72FB9">
              <w:rPr>
                <w:rFonts w:ascii="Times New Roman" w:hAnsi="Times New Roman"/>
                <w:color w:val="000000"/>
              </w:rPr>
              <w:t>i</w:t>
            </w:r>
            <w:r w:rsidR="009714CD">
              <w:rPr>
                <w:rFonts w:ascii="Times New Roman" w:hAnsi="Times New Roman"/>
                <w:color w:val="000000"/>
              </w:rPr>
              <w:t> </w:t>
            </w:r>
            <w:r w:rsidR="00744650" w:rsidRPr="00744650">
              <w:rPr>
                <w:rFonts w:ascii="Times New Roman" w:hAnsi="Times New Roman"/>
                <w:color w:val="000000"/>
              </w:rPr>
              <w:t>opóźnień</w:t>
            </w:r>
            <w:r w:rsidRPr="00E72FB9">
              <w:rPr>
                <w:rFonts w:ascii="Times New Roman" w:hAnsi="Times New Roman"/>
                <w:color w:val="000000"/>
              </w:rPr>
              <w:t xml:space="preserve"> w realizacji inwestycji w MFW. Niezbędne jest zatem prawne sprecyzowanie podmiotów odpowiedzialnych za </w:t>
            </w:r>
            <w:r w:rsidRPr="00E72FB9">
              <w:rPr>
                <w:rFonts w:ascii="Times New Roman" w:hAnsi="Times New Roman"/>
                <w:color w:val="000000"/>
              </w:rPr>
              <w:lastRenderedPageBreak/>
              <w:t>poniesienie kosztów kompensacji negatywnego oddziaływania MFW, nie dające powodów do różnej interpretacji przepisu. Należy przy tym zwrócić uwagę, że pozostawienie ponoszenia ww. kosztów po stronie wojska byłoby bardzo niekorzystne dla inwestorów MFW, gdyż  do czasu pozyskania na ten cel środków finansowych przez wojsko (co jest mało prawdopodobne, biorąc pod uwagę brak interesu prawnego, jak i fakt aktualnego spełnienia potrzeb obronnych na przedmiotowym obszarze morskim) oraz do czasu zamontowania stosownych urządzeń kompensujących, MFW nie mogłaby być dopuszczona do użytkowania, zgodnie z przepisami ustawy o bezpieczeństwie morskim - inwestor uzależniony byłby od działań wojska.</w:t>
            </w:r>
          </w:p>
          <w:p w14:paraId="0DE182AD" w14:textId="50407C24" w:rsidR="00537D54" w:rsidRPr="00E43A7D" w:rsidRDefault="00537D54" w:rsidP="00537D54">
            <w:pPr>
              <w:spacing w:after="120"/>
              <w:ind w:left="360"/>
              <w:jc w:val="both"/>
              <w:rPr>
                <w:rFonts w:ascii="Times New Roman" w:hAnsi="Times New Roman"/>
                <w:b/>
                <w:bCs/>
                <w:color w:val="000000"/>
              </w:rPr>
            </w:pPr>
            <w:r>
              <w:rPr>
                <w:rFonts w:ascii="Times New Roman" w:hAnsi="Times New Roman"/>
                <w:b/>
                <w:bCs/>
                <w:color w:val="000000"/>
              </w:rPr>
              <w:t>1</w:t>
            </w:r>
            <w:r w:rsidR="00B7441D">
              <w:rPr>
                <w:rFonts w:ascii="Times New Roman" w:hAnsi="Times New Roman"/>
                <w:b/>
                <w:bCs/>
                <w:color w:val="000000"/>
              </w:rPr>
              <w:t>3</w:t>
            </w:r>
            <w:r>
              <w:rPr>
                <w:rFonts w:ascii="Times New Roman" w:hAnsi="Times New Roman"/>
                <w:b/>
                <w:bCs/>
                <w:color w:val="000000"/>
              </w:rPr>
              <w:t xml:space="preserve">d. </w:t>
            </w:r>
            <w:r w:rsidR="00744650" w:rsidRPr="00744650">
              <w:rPr>
                <w:rFonts w:ascii="Times New Roman" w:hAnsi="Times New Roman"/>
                <w:b/>
                <w:bCs/>
                <w:color w:val="000000"/>
              </w:rPr>
              <w:t>Sprawdzenie spełnienia założeń i wniosków ujętych w ekspertyzach technicznych dotyczących wpływu MFW na systemy obronności państwa, po ich realizacji</w:t>
            </w:r>
          </w:p>
          <w:p w14:paraId="1AE935BF" w14:textId="1ECCADDF" w:rsidR="00537D54" w:rsidRPr="00431472" w:rsidRDefault="00537D54" w:rsidP="00431472">
            <w:pPr>
              <w:spacing w:after="120"/>
              <w:jc w:val="both"/>
              <w:rPr>
                <w:rFonts w:ascii="Times New Roman" w:hAnsi="Times New Roman"/>
                <w:color w:val="000000"/>
              </w:rPr>
            </w:pPr>
            <w:r>
              <w:rPr>
                <w:rFonts w:ascii="Times New Roman" w:hAnsi="Times New Roman"/>
                <w:color w:val="000000"/>
              </w:rPr>
              <w:t>W obecnie obowiązujących przepisach</w:t>
            </w:r>
            <w:r w:rsidRPr="00537D54">
              <w:rPr>
                <w:rFonts w:ascii="Times New Roman" w:hAnsi="Times New Roman"/>
                <w:color w:val="000000"/>
              </w:rPr>
              <w:t xml:space="preserve"> </w:t>
            </w:r>
            <w:r w:rsidR="00966AD6">
              <w:rPr>
                <w:rFonts w:ascii="Times New Roman" w:hAnsi="Times New Roman"/>
                <w:color w:val="000000"/>
              </w:rPr>
              <w:t>UBM</w:t>
            </w:r>
            <w:r w:rsidRPr="00537D54">
              <w:rPr>
                <w:rFonts w:ascii="Times New Roman" w:hAnsi="Times New Roman"/>
                <w:color w:val="000000"/>
              </w:rPr>
              <w:t xml:space="preserve"> w zakresie obowiązku przeprowadz</w:t>
            </w:r>
            <w:r w:rsidR="009A43E0">
              <w:rPr>
                <w:rFonts w:ascii="Times New Roman" w:hAnsi="Times New Roman"/>
                <w:color w:val="000000"/>
              </w:rPr>
              <w:t>enia</w:t>
            </w:r>
            <w:r w:rsidRPr="00537D54">
              <w:rPr>
                <w:rFonts w:ascii="Times New Roman" w:hAnsi="Times New Roman"/>
                <w:color w:val="000000"/>
              </w:rPr>
              <w:t xml:space="preserve"> pomiarów, testów i badań niezbędnych do weryfikacji poprawności założeń i wniosków zawartych w ekspertyzach</w:t>
            </w:r>
            <w:r>
              <w:rPr>
                <w:rFonts w:ascii="Times New Roman" w:hAnsi="Times New Roman"/>
                <w:color w:val="000000"/>
              </w:rPr>
              <w:t xml:space="preserve">, brakuje </w:t>
            </w:r>
            <w:r w:rsidRPr="00537D54">
              <w:rPr>
                <w:rFonts w:ascii="Times New Roman" w:hAnsi="Times New Roman"/>
                <w:color w:val="000000"/>
              </w:rPr>
              <w:t>odniesieni</w:t>
            </w:r>
            <w:r>
              <w:rPr>
                <w:rFonts w:ascii="Times New Roman" w:hAnsi="Times New Roman"/>
                <w:color w:val="000000"/>
              </w:rPr>
              <w:t>a</w:t>
            </w:r>
            <w:r w:rsidRPr="00537D54">
              <w:rPr>
                <w:rFonts w:ascii="Times New Roman" w:hAnsi="Times New Roman"/>
                <w:color w:val="000000"/>
              </w:rPr>
              <w:t xml:space="preserve"> do ekspertyzy technicznej w zakresie oceny wpływu MFW i zespołu urządzeń na systemy obronności państwa, w tym na system zobrazowania radiolokacyjnego, obserwacji technicznej, morskiej łączności radiowej oraz system kontroli służb ruchu lotniczego Sił Zbrojnych RP oraz na system zobrazowania radiolokacyjnego, obserwacji technicznej i morskiej łączności radiowej Straży Granicznej. </w:t>
            </w:r>
            <w:r>
              <w:rPr>
                <w:rFonts w:ascii="Times New Roman" w:hAnsi="Times New Roman"/>
                <w:color w:val="000000"/>
              </w:rPr>
              <w:t xml:space="preserve">Ta oczywista luka prawna wymaga uzupełnienia w celu poprawy bezpieczeństwa na morzu. </w:t>
            </w:r>
          </w:p>
          <w:p w14:paraId="61384D62" w14:textId="54E74B71" w:rsidR="00C40FE0" w:rsidRPr="00093E33" w:rsidRDefault="00093E33" w:rsidP="00093E33">
            <w:pPr>
              <w:spacing w:after="120"/>
              <w:ind w:left="360"/>
              <w:jc w:val="both"/>
              <w:rPr>
                <w:rFonts w:ascii="Times New Roman" w:hAnsi="Times New Roman"/>
                <w:b/>
                <w:bCs/>
                <w:color w:val="000000"/>
              </w:rPr>
            </w:pPr>
            <w:r w:rsidRPr="00093E33">
              <w:rPr>
                <w:rFonts w:ascii="Times New Roman" w:hAnsi="Times New Roman"/>
                <w:b/>
                <w:bCs/>
                <w:color w:val="000000"/>
              </w:rPr>
              <w:t>1</w:t>
            </w:r>
            <w:r w:rsidR="009714CD">
              <w:rPr>
                <w:rFonts w:ascii="Times New Roman" w:hAnsi="Times New Roman"/>
                <w:b/>
                <w:bCs/>
                <w:color w:val="000000"/>
              </w:rPr>
              <w:t>3</w:t>
            </w:r>
            <w:r w:rsidR="008444D3">
              <w:rPr>
                <w:rFonts w:ascii="Times New Roman" w:hAnsi="Times New Roman"/>
                <w:b/>
                <w:bCs/>
                <w:color w:val="000000"/>
              </w:rPr>
              <w:t>e</w:t>
            </w:r>
            <w:r w:rsidRPr="00093E33">
              <w:rPr>
                <w:rFonts w:ascii="Times New Roman" w:hAnsi="Times New Roman"/>
                <w:b/>
                <w:bCs/>
                <w:color w:val="000000"/>
              </w:rPr>
              <w:t xml:space="preserve">. </w:t>
            </w:r>
            <w:bookmarkStart w:id="4" w:name="_Hlk185241139"/>
            <w:r w:rsidR="00C40FE0" w:rsidRPr="00093E33">
              <w:rPr>
                <w:rFonts w:ascii="Times New Roman" w:hAnsi="Times New Roman"/>
                <w:b/>
                <w:bCs/>
                <w:color w:val="000000"/>
              </w:rPr>
              <w:t>Terminy dot. certyfikatu zgodności projektowej</w:t>
            </w:r>
            <w:bookmarkEnd w:id="4"/>
          </w:p>
          <w:p w14:paraId="29775731" w14:textId="77777777" w:rsidR="008C2FD8" w:rsidRPr="00093E33" w:rsidRDefault="00C40FE0" w:rsidP="00AB2D33">
            <w:pPr>
              <w:spacing w:after="120"/>
              <w:jc w:val="both"/>
              <w:rPr>
                <w:rFonts w:ascii="Times New Roman" w:hAnsi="Times New Roman"/>
                <w:color w:val="000000"/>
              </w:rPr>
            </w:pPr>
            <w:r w:rsidRPr="00093E33">
              <w:rPr>
                <w:rFonts w:ascii="Times New Roman" w:hAnsi="Times New Roman"/>
                <w:color w:val="000000"/>
              </w:rPr>
              <w:t xml:space="preserve">Certyfikat zgodności projektowej należy uzyskać przed zawiadomieniem organu nadzoru budowlanego o zamierzonym terminie rozpoczęcia robót budowlanych dotyczących morskiej farmy wiatrowej lub zespołu urządzeń. Problemem wynikającym z obecnej regulacji jest duża luka czasowa między rozpoczęciem robót budowlanych (rozpoczęciem budowy) w myśl – ustawy Prawo Budowlane, a faktycznym rozpoczęciem docelowych prac budowlanych na rzecz MFW oraz zespołu urządzeń tj. instalacji fundamentów oraz układania kabli. </w:t>
            </w:r>
          </w:p>
          <w:p w14:paraId="641A53DE" w14:textId="6258BFE6" w:rsidR="00C40FE0" w:rsidRPr="00093E33" w:rsidRDefault="00C40FE0" w:rsidP="00AB2D33">
            <w:pPr>
              <w:spacing w:after="120"/>
              <w:jc w:val="both"/>
              <w:rPr>
                <w:rFonts w:ascii="Times New Roman" w:hAnsi="Times New Roman"/>
                <w:color w:val="000000"/>
              </w:rPr>
            </w:pPr>
            <w:r w:rsidRPr="00093E33">
              <w:rPr>
                <w:rFonts w:ascii="Times New Roman" w:hAnsi="Times New Roman"/>
                <w:color w:val="000000"/>
              </w:rPr>
              <w:t xml:space="preserve">Opracowany projekt budowlany po rozpoczęciu budowy może ulegać zmianie, co jest związane ze specyfiką inwestycji (np. konieczność modyfikacji trasy kablowej ze względu na napotkane głazy). W takiej sytuacji projekt budowlany musiałby ulec ponownej certyfikacji (co poddaje pod wątpliwość sens wykonywania certyfikacji przed rozpoczęciem budowy). </w:t>
            </w:r>
          </w:p>
          <w:p w14:paraId="682B3D07" w14:textId="48460A23" w:rsidR="00093E33" w:rsidRPr="00017C52" w:rsidRDefault="00AC598F" w:rsidP="00017C52">
            <w:pPr>
              <w:spacing w:after="120"/>
              <w:ind w:left="360"/>
              <w:jc w:val="both"/>
              <w:rPr>
                <w:rFonts w:ascii="Times New Roman" w:hAnsi="Times New Roman"/>
                <w:b/>
                <w:color w:val="000000"/>
              </w:rPr>
            </w:pPr>
            <w:bookmarkStart w:id="5" w:name="_Hlk185241180"/>
            <w:r>
              <w:rPr>
                <w:rFonts w:ascii="Times New Roman" w:hAnsi="Times New Roman"/>
                <w:b/>
                <w:color w:val="000000"/>
              </w:rPr>
              <w:t>1</w:t>
            </w:r>
            <w:r w:rsidR="009714CD">
              <w:rPr>
                <w:rFonts w:ascii="Times New Roman" w:hAnsi="Times New Roman"/>
                <w:b/>
                <w:color w:val="000000"/>
              </w:rPr>
              <w:t>4</w:t>
            </w:r>
            <w:r>
              <w:rPr>
                <w:rFonts w:ascii="Times New Roman" w:hAnsi="Times New Roman"/>
                <w:b/>
                <w:color w:val="000000"/>
              </w:rPr>
              <w:t xml:space="preserve">. </w:t>
            </w:r>
            <w:r w:rsidR="00093E33" w:rsidRPr="00017C52">
              <w:rPr>
                <w:rFonts w:ascii="Times New Roman" w:hAnsi="Times New Roman"/>
                <w:b/>
                <w:color w:val="000000"/>
              </w:rPr>
              <w:t>Sposób dokumentowania utraconych możliwości połowowych oraz wypłaty ewentualnych odszkodowań z</w:t>
            </w:r>
            <w:r w:rsidR="00347B23" w:rsidRPr="00017C52">
              <w:rPr>
                <w:rFonts w:ascii="Times New Roman" w:hAnsi="Times New Roman"/>
                <w:b/>
                <w:color w:val="000000"/>
              </w:rPr>
              <w:t> </w:t>
            </w:r>
            <w:r w:rsidR="00093E33" w:rsidRPr="00017C52">
              <w:rPr>
                <w:rFonts w:ascii="Times New Roman" w:hAnsi="Times New Roman"/>
                <w:b/>
                <w:color w:val="000000"/>
              </w:rPr>
              <w:t xml:space="preserve">tego tytułu oraz warunki wykonywania rybołówstwa komercyjnego na obszarze </w:t>
            </w:r>
            <w:r w:rsidR="00597CC0" w:rsidRPr="00017C52">
              <w:rPr>
                <w:rFonts w:ascii="Times New Roman" w:hAnsi="Times New Roman"/>
                <w:b/>
                <w:color w:val="000000"/>
              </w:rPr>
              <w:t>MFW</w:t>
            </w:r>
            <w:r w:rsidR="00093E33" w:rsidRPr="00017C52">
              <w:rPr>
                <w:rFonts w:ascii="Times New Roman" w:hAnsi="Times New Roman"/>
                <w:b/>
                <w:color w:val="000000"/>
              </w:rPr>
              <w:t xml:space="preserve"> i zespołu urządzeń służących do wyprowadzenia mocy</w:t>
            </w:r>
          </w:p>
          <w:bookmarkEnd w:id="5"/>
          <w:p w14:paraId="3C447D5E" w14:textId="39F64912" w:rsidR="00093E33" w:rsidRPr="00093E33" w:rsidRDefault="00093E33" w:rsidP="00093E33">
            <w:pPr>
              <w:spacing w:after="120"/>
              <w:jc w:val="both"/>
              <w:rPr>
                <w:rFonts w:ascii="Times New Roman" w:hAnsi="Times New Roman"/>
                <w:bCs/>
                <w:color w:val="000000"/>
              </w:rPr>
            </w:pPr>
            <w:r w:rsidRPr="00093E33">
              <w:rPr>
                <w:rFonts w:ascii="Times New Roman" w:hAnsi="Times New Roman"/>
                <w:bCs/>
                <w:color w:val="000000"/>
              </w:rPr>
              <w:t xml:space="preserve">Proponowane przepisy mają na celu </w:t>
            </w:r>
            <w:r w:rsidR="002649F8">
              <w:rPr>
                <w:rFonts w:ascii="Times New Roman" w:hAnsi="Times New Roman"/>
                <w:bCs/>
                <w:color w:val="000000"/>
              </w:rPr>
              <w:t xml:space="preserve">wprowadzenie zasad </w:t>
            </w:r>
            <w:r w:rsidR="002649F8" w:rsidRPr="002649F8">
              <w:rPr>
                <w:rFonts w:ascii="Times New Roman" w:hAnsi="Times New Roman"/>
                <w:bCs/>
                <w:color w:val="000000"/>
              </w:rPr>
              <w:t xml:space="preserve">kompensacji negatywnego wpływu MFW na sektor rybołówstwa morskiego </w:t>
            </w:r>
            <w:r w:rsidR="002649F8">
              <w:rPr>
                <w:rFonts w:ascii="Times New Roman" w:hAnsi="Times New Roman"/>
                <w:bCs/>
                <w:color w:val="000000"/>
              </w:rPr>
              <w:t xml:space="preserve">w ustawie offshore wind oraz </w:t>
            </w:r>
            <w:r w:rsidRPr="00093E33">
              <w:rPr>
                <w:rFonts w:ascii="Times New Roman" w:hAnsi="Times New Roman"/>
                <w:bCs/>
                <w:color w:val="000000"/>
              </w:rPr>
              <w:t xml:space="preserve">umożliwienie </w:t>
            </w:r>
            <w:r w:rsidR="002649F8">
              <w:rPr>
                <w:rFonts w:ascii="Times New Roman" w:hAnsi="Times New Roman"/>
                <w:bCs/>
                <w:color w:val="000000"/>
              </w:rPr>
              <w:t>ministrowi właściwemu do spraw rybołówstwa</w:t>
            </w:r>
            <w:r w:rsidRPr="00093E33">
              <w:rPr>
                <w:rFonts w:ascii="Times New Roman" w:hAnsi="Times New Roman"/>
                <w:bCs/>
                <w:color w:val="000000"/>
              </w:rPr>
              <w:t xml:space="preserve"> wydania rozporządzenia określającego sposób weryfikacji ewentualnych strat i możliwych oraz adekwatnych metod i skali ich kompensacji z tytułu udokumentowania utraconych możliwości połowowych dla właścicieli i armatorów statków rybackich, a także rozporządzenia określającego szczegółowe warunki wykonywania rybołówstwa komercyjnego na obszarze morskiej farmy wiatrowej i zespołu urządzeń służących do wyprowadzenia mocy.</w:t>
            </w:r>
          </w:p>
          <w:p w14:paraId="49F8AA8E" w14:textId="2652F5FB" w:rsidR="00C40FE0" w:rsidRPr="00093E33" w:rsidRDefault="00C40FE0" w:rsidP="00792646">
            <w:pPr>
              <w:pStyle w:val="Akapitzlist"/>
              <w:numPr>
                <w:ilvl w:val="0"/>
                <w:numId w:val="131"/>
              </w:numPr>
              <w:spacing w:after="120"/>
              <w:jc w:val="both"/>
              <w:rPr>
                <w:rFonts w:ascii="Times New Roman" w:hAnsi="Times New Roman"/>
                <w:b/>
                <w:bCs/>
                <w:color w:val="000000"/>
              </w:rPr>
            </w:pPr>
            <w:bookmarkStart w:id="6" w:name="_Hlk185241208"/>
            <w:r w:rsidRPr="00093E33">
              <w:rPr>
                <w:rFonts w:ascii="Times New Roman" w:hAnsi="Times New Roman"/>
                <w:b/>
                <w:bCs/>
                <w:color w:val="000000"/>
              </w:rPr>
              <w:t xml:space="preserve">Czas pracy personelu przemysłowego do obsługi </w:t>
            </w:r>
            <w:r w:rsidR="00597CC0">
              <w:rPr>
                <w:rFonts w:ascii="Times New Roman" w:hAnsi="Times New Roman"/>
                <w:b/>
                <w:bCs/>
                <w:color w:val="000000"/>
              </w:rPr>
              <w:t>MFW</w:t>
            </w:r>
            <w:bookmarkEnd w:id="6"/>
          </w:p>
          <w:p w14:paraId="36AFBB13" w14:textId="77777777" w:rsidR="008C2FD8" w:rsidRPr="00093E33" w:rsidRDefault="00C40FE0" w:rsidP="00AB2D33">
            <w:pPr>
              <w:spacing w:after="120"/>
              <w:jc w:val="both"/>
              <w:rPr>
                <w:rFonts w:ascii="Times New Roman" w:hAnsi="Times New Roman"/>
                <w:color w:val="000000"/>
              </w:rPr>
            </w:pPr>
            <w:r w:rsidRPr="00093E33">
              <w:rPr>
                <w:rFonts w:ascii="Times New Roman" w:hAnsi="Times New Roman"/>
                <w:color w:val="000000"/>
              </w:rPr>
              <w:t>Eksploatacja morskiej farmy wiatrowej to praca 24 godziny na dobę, która ma zapewnić bezpieczne i ekonomiczne prowadzenie całego projektu</w:t>
            </w:r>
            <w:r w:rsidR="004B4021" w:rsidRPr="00093E33">
              <w:rPr>
                <w:rFonts w:ascii="Times New Roman" w:hAnsi="Times New Roman"/>
                <w:color w:val="000000"/>
              </w:rPr>
              <w:t xml:space="preserve">. Obecnie brakuje przepisów, które odnosiłyby się do czasu pracy personelu przemysłowego do obsługi morskich farm wiatrowych. </w:t>
            </w:r>
          </w:p>
          <w:p w14:paraId="05D28DAA" w14:textId="78D9C653" w:rsidR="00C40FE0" w:rsidRPr="00093E33" w:rsidRDefault="004B4021" w:rsidP="00AB2D33">
            <w:pPr>
              <w:spacing w:after="120"/>
              <w:jc w:val="both"/>
              <w:rPr>
                <w:rFonts w:ascii="Times New Roman" w:hAnsi="Times New Roman"/>
                <w:color w:val="000000"/>
              </w:rPr>
            </w:pPr>
            <w:r w:rsidRPr="00093E33">
              <w:rPr>
                <w:rFonts w:ascii="Times New Roman" w:hAnsi="Times New Roman"/>
                <w:color w:val="000000"/>
              </w:rPr>
              <w:t xml:space="preserve">Proponuje się </w:t>
            </w:r>
            <w:r w:rsidR="00C40FE0" w:rsidRPr="00093E33">
              <w:rPr>
                <w:rFonts w:ascii="Times New Roman" w:hAnsi="Times New Roman"/>
                <w:color w:val="000000"/>
              </w:rPr>
              <w:t>wprowadzenie tożsamych przepisów dotyczących czasu pracy jak w przypadku pracy na platformach wiertniczych lub wydobywczych, a także na specjalistycznych statkach technicznych, takich jak holowniki, pogłębiarki i</w:t>
            </w:r>
            <w:r w:rsidR="00347B23">
              <w:rPr>
                <w:rFonts w:ascii="Times New Roman" w:hAnsi="Times New Roman"/>
                <w:color w:val="000000"/>
              </w:rPr>
              <w:t> </w:t>
            </w:r>
            <w:r w:rsidR="00C40FE0" w:rsidRPr="00093E33">
              <w:rPr>
                <w:rFonts w:ascii="Times New Roman" w:hAnsi="Times New Roman"/>
                <w:color w:val="000000"/>
              </w:rPr>
              <w:t>dźwigi pływające, obsługiwanych przez kolejno wymieniające się załogi lub część załogi.</w:t>
            </w:r>
          </w:p>
          <w:p w14:paraId="58BB8C99" w14:textId="77777777" w:rsidR="00C40FE0" w:rsidRPr="00093E33" w:rsidRDefault="00C40FE0" w:rsidP="00792646">
            <w:pPr>
              <w:pStyle w:val="Akapitzlist"/>
              <w:numPr>
                <w:ilvl w:val="0"/>
                <w:numId w:val="131"/>
              </w:numPr>
              <w:spacing w:after="120"/>
              <w:contextualSpacing w:val="0"/>
              <w:jc w:val="both"/>
              <w:rPr>
                <w:rFonts w:ascii="Times New Roman" w:hAnsi="Times New Roman"/>
                <w:b/>
                <w:bCs/>
                <w:color w:val="000000"/>
              </w:rPr>
            </w:pPr>
            <w:bookmarkStart w:id="7" w:name="_Hlk185241229"/>
            <w:r w:rsidRPr="00093E33">
              <w:rPr>
                <w:rFonts w:ascii="Times New Roman" w:hAnsi="Times New Roman"/>
                <w:b/>
                <w:bCs/>
                <w:color w:val="000000"/>
              </w:rPr>
              <w:t xml:space="preserve">Zwolnienie z opłaty za grunty pokryte wodami Skarbu Państwa stref ochronnych i stref bezpieczeństwa dla kabli MFW </w:t>
            </w:r>
          </w:p>
          <w:bookmarkEnd w:id="7"/>
          <w:p w14:paraId="1959B58F" w14:textId="77777777" w:rsidR="00DF5191" w:rsidRDefault="00C40FE0" w:rsidP="00093E33">
            <w:pPr>
              <w:spacing w:after="120"/>
              <w:jc w:val="both"/>
              <w:rPr>
                <w:rFonts w:ascii="Times New Roman" w:hAnsi="Times New Roman"/>
                <w:color w:val="000000"/>
              </w:rPr>
            </w:pPr>
            <w:r w:rsidRPr="00093E33">
              <w:rPr>
                <w:rFonts w:ascii="Times New Roman" w:hAnsi="Times New Roman"/>
                <w:color w:val="000000"/>
              </w:rPr>
              <w:t xml:space="preserve">Zastosowanie aktualnie stosowanych stawek w odniesieniu do strefy ochronnej dla kablowej linii eksportowej, wchodzącej w skład zespołu urządzeń służących do wyprowadzenia mocy z MFW, jest niewspółmierne do obszaru faktycznego użytkowania i korzyści inwestycyjnych wynikających z wykorzystania gruntów zajmowanych przez tę infrastrukturę. </w:t>
            </w:r>
            <w:r w:rsidRPr="00093E33">
              <w:rPr>
                <w:rFonts w:ascii="Times New Roman" w:hAnsi="Times New Roman"/>
                <w:color w:val="000000"/>
              </w:rPr>
              <w:lastRenderedPageBreak/>
              <w:t>Proponowane jest zwolnienie właścicieli urządzeń wyprowadzających moc z MFW z konieczności uiszczenia takiej opłaty rocznej.</w:t>
            </w:r>
          </w:p>
          <w:p w14:paraId="78FB4E33" w14:textId="34D3EF28" w:rsidR="000D252D" w:rsidRDefault="000D252D" w:rsidP="00093E33">
            <w:pPr>
              <w:spacing w:after="120"/>
              <w:jc w:val="both"/>
              <w:rPr>
                <w:rFonts w:ascii="Times New Roman" w:hAnsi="Times New Roman"/>
                <w:color w:val="000000"/>
              </w:rPr>
            </w:pPr>
            <w:bookmarkStart w:id="8" w:name="_Hlk184375147"/>
            <w:r>
              <w:rPr>
                <w:rFonts w:ascii="Times New Roman" w:hAnsi="Times New Roman"/>
                <w:color w:val="000000"/>
              </w:rPr>
              <w:t>Zgodnie z obowiązującymi przepisami</w:t>
            </w:r>
            <w:bookmarkEnd w:id="8"/>
            <w:r>
              <w:rPr>
                <w:rFonts w:ascii="Times New Roman" w:hAnsi="Times New Roman"/>
                <w:color w:val="000000"/>
              </w:rPr>
              <w:t>, m</w:t>
            </w:r>
            <w:r w:rsidRPr="000D252D">
              <w:rPr>
                <w:rFonts w:ascii="Times New Roman" w:hAnsi="Times New Roman"/>
                <w:color w:val="000000"/>
              </w:rPr>
              <w:t>aksymalna stawka opłaty rocznej za użytkowanie 1 m</w:t>
            </w:r>
            <w:r w:rsidRPr="00E72FB9">
              <w:rPr>
                <w:rFonts w:ascii="Times New Roman" w:hAnsi="Times New Roman"/>
                <w:color w:val="000000"/>
                <w:vertAlign w:val="superscript"/>
              </w:rPr>
              <w:t>2</w:t>
            </w:r>
            <w:r w:rsidRPr="000D252D">
              <w:rPr>
                <w:rFonts w:ascii="Times New Roman" w:hAnsi="Times New Roman"/>
                <w:color w:val="000000"/>
              </w:rPr>
              <w:t xml:space="preserve"> gruntu nie może być wyższa niż 10-krotność obowiązującej w danym roku górnej granicy stawki podatku od nieruchomości. Wysokość jednostkowych stawek opłaty rocznej jest określona w rozporządzeniu Rady Ministrów z dnia 28 grudnia 2017 r. w sprawie wysokości jednostkowych stawek opłaty rocznej za użytkowanie gruntów pokrytych wodami</w:t>
            </w:r>
            <w:r w:rsidR="00C00AAD">
              <w:rPr>
                <w:rFonts w:ascii="Times New Roman" w:hAnsi="Times New Roman"/>
                <w:color w:val="000000"/>
              </w:rPr>
              <w:t xml:space="preserve"> (</w:t>
            </w:r>
            <w:r w:rsidR="00C00AAD" w:rsidRPr="00C00AAD">
              <w:rPr>
                <w:rFonts w:ascii="Times New Roman" w:hAnsi="Times New Roman"/>
                <w:color w:val="000000"/>
              </w:rPr>
              <w:t>Dz.U. poz. 2496</w:t>
            </w:r>
            <w:r w:rsidR="00C00AAD">
              <w:rPr>
                <w:rFonts w:ascii="Times New Roman" w:hAnsi="Times New Roman"/>
                <w:color w:val="000000"/>
              </w:rPr>
              <w:t>)</w:t>
            </w:r>
            <w:r w:rsidRPr="000D252D">
              <w:rPr>
                <w:rFonts w:ascii="Times New Roman" w:hAnsi="Times New Roman"/>
                <w:color w:val="000000"/>
              </w:rPr>
              <w:t xml:space="preserve">. Zgodnie z § 2 ust. 1 pkt 6 lit. aa ww. rozporządzenia, układanie i utrzymywanie kabli na obszarach morskich wód wewnętrznych </w:t>
            </w:r>
            <w:r w:rsidR="009714CD" w:rsidRPr="000D252D">
              <w:rPr>
                <w:rFonts w:ascii="Times New Roman" w:hAnsi="Times New Roman"/>
                <w:color w:val="000000"/>
              </w:rPr>
              <w:t>i</w:t>
            </w:r>
            <w:r w:rsidR="009714CD">
              <w:rPr>
                <w:rFonts w:ascii="Times New Roman" w:hAnsi="Times New Roman"/>
                <w:color w:val="000000"/>
              </w:rPr>
              <w:t> </w:t>
            </w:r>
            <w:r w:rsidRPr="000D252D">
              <w:rPr>
                <w:rFonts w:ascii="Times New Roman" w:hAnsi="Times New Roman"/>
                <w:color w:val="000000"/>
              </w:rPr>
              <w:t>morza terytorialnego stanowiących zespół urządzeń służących do wyprowadzenia mocy lub część tego zespołu – wynosi 0,02 zł za 1 m</w:t>
            </w:r>
            <w:r w:rsidRPr="00E72FB9">
              <w:rPr>
                <w:rFonts w:ascii="Times New Roman" w:hAnsi="Times New Roman"/>
                <w:color w:val="000000"/>
                <w:vertAlign w:val="superscript"/>
              </w:rPr>
              <w:t>2</w:t>
            </w:r>
            <w:r w:rsidRPr="000D252D">
              <w:rPr>
                <w:rFonts w:ascii="Times New Roman" w:hAnsi="Times New Roman"/>
                <w:color w:val="000000"/>
              </w:rPr>
              <w:t xml:space="preserve"> powierzchni gruntu stanowiącej rzut akwenu przeznaczonego na realizację i eksploatację przedsięwzięcia określonego w PSZW, albo 1 m</w:t>
            </w:r>
            <w:r w:rsidRPr="00E72FB9">
              <w:rPr>
                <w:rFonts w:ascii="Times New Roman" w:hAnsi="Times New Roman"/>
                <w:color w:val="000000"/>
                <w:vertAlign w:val="superscript"/>
              </w:rPr>
              <w:t>2</w:t>
            </w:r>
            <w:r w:rsidRPr="000D252D">
              <w:rPr>
                <w:rFonts w:ascii="Times New Roman" w:hAnsi="Times New Roman"/>
                <w:color w:val="000000"/>
              </w:rPr>
              <w:t xml:space="preserve"> powierzchni gruntu stanowiącej rzut akwenu wyznaczonego przez lokalizację sie</w:t>
            </w:r>
            <w:r w:rsidR="00DD55FA">
              <w:rPr>
                <w:rFonts w:ascii="Times New Roman" w:hAnsi="Times New Roman"/>
                <w:color w:val="000000"/>
              </w:rPr>
              <w:t>c</w:t>
            </w:r>
            <w:r w:rsidRPr="000D252D">
              <w:rPr>
                <w:rFonts w:ascii="Times New Roman" w:hAnsi="Times New Roman"/>
                <w:color w:val="000000"/>
              </w:rPr>
              <w:t xml:space="preserve">i przesyłowej, oraz powierzchni gruntu objętego strefą ochronną przedsięwzięcia, która powoduje ograniczenie </w:t>
            </w:r>
            <w:r w:rsidR="009714CD" w:rsidRPr="000D252D">
              <w:rPr>
                <w:rFonts w:ascii="Times New Roman" w:hAnsi="Times New Roman"/>
                <w:color w:val="000000"/>
              </w:rPr>
              <w:t>w</w:t>
            </w:r>
            <w:r w:rsidR="009714CD">
              <w:rPr>
                <w:rFonts w:ascii="Times New Roman" w:hAnsi="Times New Roman"/>
                <w:color w:val="000000"/>
              </w:rPr>
              <w:t> </w:t>
            </w:r>
            <w:r w:rsidRPr="000D252D">
              <w:rPr>
                <w:rFonts w:ascii="Times New Roman" w:hAnsi="Times New Roman"/>
                <w:color w:val="000000"/>
              </w:rPr>
              <w:t xml:space="preserve">użytkowaniu gruntu pokrytego wodami, inną niż strefa ochronna. Zgodnie z art. 24 </w:t>
            </w:r>
            <w:r w:rsidR="006D6669">
              <w:rPr>
                <w:rFonts w:ascii="Times New Roman" w:hAnsi="Times New Roman"/>
                <w:color w:val="000000"/>
              </w:rPr>
              <w:t>UOM</w:t>
            </w:r>
            <w:r w:rsidRPr="000D252D">
              <w:rPr>
                <w:rFonts w:ascii="Times New Roman" w:hAnsi="Times New Roman"/>
                <w:color w:val="000000"/>
              </w:rPr>
              <w:t>, strefy bezpieczeństwa są ustalane przez dyrektora urzędu morskiego nie dalej niż 500 m od każdego punktu ich zewnętrznej krawędzi, chyba że inny zasięg strefy jest dozwolony przez powszechnie przyjęte standardy międzynarodowe lub zalecony przez właściwą organizację międzynarodową.</w:t>
            </w:r>
          </w:p>
          <w:p w14:paraId="34CEF92A" w14:textId="77777777" w:rsidR="00EA0E7C" w:rsidRDefault="00EA0E7C" w:rsidP="00792646">
            <w:pPr>
              <w:pStyle w:val="Akapitzlist"/>
              <w:numPr>
                <w:ilvl w:val="0"/>
                <w:numId w:val="131"/>
              </w:numPr>
              <w:spacing w:after="120"/>
              <w:ind w:left="344" w:firstLine="16"/>
              <w:jc w:val="both"/>
              <w:rPr>
                <w:rFonts w:ascii="Times New Roman" w:hAnsi="Times New Roman"/>
                <w:b/>
                <w:color w:val="000000"/>
              </w:rPr>
            </w:pPr>
            <w:bookmarkStart w:id="9" w:name="_Hlk185241249"/>
            <w:r>
              <w:rPr>
                <w:rFonts w:ascii="Times New Roman" w:hAnsi="Times New Roman"/>
                <w:b/>
                <w:color w:val="000000"/>
              </w:rPr>
              <w:t>M</w:t>
            </w:r>
            <w:r w:rsidRPr="005C7A9D">
              <w:rPr>
                <w:rFonts w:ascii="Times New Roman" w:hAnsi="Times New Roman"/>
                <w:b/>
                <w:color w:val="000000"/>
              </w:rPr>
              <w:t>apowani</w:t>
            </w:r>
            <w:r>
              <w:rPr>
                <w:rFonts w:ascii="Times New Roman" w:hAnsi="Times New Roman"/>
                <w:b/>
                <w:color w:val="000000"/>
              </w:rPr>
              <w:t>e</w:t>
            </w:r>
            <w:r w:rsidRPr="005C7A9D">
              <w:rPr>
                <w:rFonts w:ascii="Times New Roman" w:hAnsi="Times New Roman"/>
                <w:b/>
                <w:color w:val="000000"/>
              </w:rPr>
              <w:t xml:space="preserve"> obszarów niezbędnych do wniesienia krajowych wkładów w realizację ogólnego celu unijnego w zakresie energii odnawialnej wyznaczonego na 2030 r. oraz</w:t>
            </w:r>
            <w:r>
              <w:rPr>
                <w:rFonts w:ascii="Times New Roman" w:hAnsi="Times New Roman"/>
                <w:b/>
                <w:color w:val="000000"/>
              </w:rPr>
              <w:t xml:space="preserve"> ramy prawne dla wyznaczania</w:t>
            </w:r>
            <w:r w:rsidRPr="005C7A9D">
              <w:rPr>
                <w:rFonts w:ascii="Times New Roman" w:hAnsi="Times New Roman"/>
                <w:b/>
                <w:color w:val="000000"/>
              </w:rPr>
              <w:t xml:space="preserve"> OPRO</w:t>
            </w:r>
          </w:p>
          <w:bookmarkEnd w:id="9"/>
          <w:p w14:paraId="7DC3780D" w14:textId="3F686DB1" w:rsidR="00EA0E7C" w:rsidRDefault="00EA0E7C" w:rsidP="00EA0E7C">
            <w:pPr>
              <w:spacing w:after="120"/>
              <w:jc w:val="both"/>
              <w:rPr>
                <w:rFonts w:ascii="Times New Roman" w:hAnsi="Times New Roman"/>
                <w:color w:val="000000"/>
              </w:rPr>
            </w:pPr>
            <w:r>
              <w:rPr>
                <w:rFonts w:ascii="Times New Roman" w:hAnsi="Times New Roman"/>
                <w:color w:val="000000"/>
              </w:rPr>
              <w:t>Niezwykle ważnymi elementami zawartymi w projekcie ustawy są także</w:t>
            </w:r>
            <w:r w:rsidRPr="00E63EFC">
              <w:rPr>
                <w:rFonts w:ascii="Times New Roman" w:hAnsi="Times New Roman"/>
                <w:color w:val="000000"/>
              </w:rPr>
              <w:t xml:space="preserve"> nowe instrumenty realizacji polityki klimatyczno-energetycznej Unii Europejskiej</w:t>
            </w:r>
            <w:r>
              <w:rPr>
                <w:rFonts w:ascii="Times New Roman" w:hAnsi="Times New Roman"/>
                <w:color w:val="000000"/>
              </w:rPr>
              <w:t xml:space="preserve"> wprowadzone </w:t>
            </w:r>
            <w:r w:rsidRPr="00E63EFC">
              <w:rPr>
                <w:rFonts w:ascii="Times New Roman" w:hAnsi="Times New Roman"/>
                <w:color w:val="000000"/>
              </w:rPr>
              <w:t>Dyrektyw</w:t>
            </w:r>
            <w:r>
              <w:rPr>
                <w:rFonts w:ascii="Times New Roman" w:hAnsi="Times New Roman"/>
                <w:color w:val="000000"/>
              </w:rPr>
              <w:t>ą</w:t>
            </w:r>
            <w:r w:rsidRPr="00E63EFC">
              <w:rPr>
                <w:rFonts w:ascii="Times New Roman" w:hAnsi="Times New Roman"/>
                <w:color w:val="000000"/>
              </w:rPr>
              <w:t xml:space="preserve"> Parlamentu Europejskiego i Rady (UE) 2023/2413 z dnia 18 października 2023 r. zmieniając</w:t>
            </w:r>
            <w:r>
              <w:rPr>
                <w:rFonts w:ascii="Times New Roman" w:hAnsi="Times New Roman"/>
                <w:color w:val="000000"/>
              </w:rPr>
              <w:t>ą</w:t>
            </w:r>
            <w:r w:rsidRPr="00E63EFC">
              <w:rPr>
                <w:rFonts w:ascii="Times New Roman" w:hAnsi="Times New Roman"/>
                <w:color w:val="000000"/>
              </w:rPr>
              <w:t xml:space="preserve"> Dyrektywę (UE) 2018/2001, rozporządzenie (UE) 2018/1999 i Dyrektywę 98/70/WE </w:t>
            </w:r>
            <w:r w:rsidR="009714CD" w:rsidRPr="00E63EFC">
              <w:rPr>
                <w:rFonts w:ascii="Times New Roman" w:hAnsi="Times New Roman"/>
                <w:color w:val="000000"/>
              </w:rPr>
              <w:t>w</w:t>
            </w:r>
            <w:r w:rsidR="009714CD">
              <w:rPr>
                <w:rFonts w:ascii="Times New Roman" w:hAnsi="Times New Roman"/>
                <w:color w:val="000000"/>
              </w:rPr>
              <w:t> </w:t>
            </w:r>
            <w:r w:rsidRPr="00E63EFC">
              <w:rPr>
                <w:rFonts w:ascii="Times New Roman" w:hAnsi="Times New Roman"/>
                <w:color w:val="000000"/>
              </w:rPr>
              <w:t>zakresie promowania energii ze źródeł odnawialnych oraz uchylając</w:t>
            </w:r>
            <w:r>
              <w:rPr>
                <w:rFonts w:ascii="Times New Roman" w:hAnsi="Times New Roman"/>
                <w:color w:val="000000"/>
              </w:rPr>
              <w:t>ą</w:t>
            </w:r>
            <w:r w:rsidRPr="00E63EFC">
              <w:rPr>
                <w:rFonts w:ascii="Times New Roman" w:hAnsi="Times New Roman"/>
                <w:color w:val="000000"/>
              </w:rPr>
              <w:t xml:space="preserve"> Dyrektywę (UE) 2015/652, dalej „dyrektywa RED III”</w:t>
            </w:r>
            <w:r>
              <w:rPr>
                <w:rFonts w:ascii="Times New Roman" w:hAnsi="Times New Roman"/>
                <w:color w:val="000000"/>
              </w:rPr>
              <w:t>, wynikające z art. 15b i 15c dyrektywy RED III.</w:t>
            </w:r>
          </w:p>
          <w:p w14:paraId="55E5BECA" w14:textId="2444FE1F"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 xml:space="preserve">Do 2030 r. UE ma zwiększyć udział energii ze źródeł odnawialnych w zużyciu energii końcowej do co najmniej 42,5%, </w:t>
            </w:r>
            <w:r w:rsidR="009714CD" w:rsidRPr="00EA0E7C">
              <w:rPr>
                <w:rFonts w:ascii="Times New Roman" w:hAnsi="Times New Roman"/>
                <w:bCs/>
                <w:color w:val="000000"/>
              </w:rPr>
              <w:t>z</w:t>
            </w:r>
            <w:r w:rsidR="009714CD">
              <w:rPr>
                <w:rFonts w:ascii="Times New Roman" w:hAnsi="Times New Roman"/>
                <w:bCs/>
                <w:color w:val="000000"/>
              </w:rPr>
              <w:t> </w:t>
            </w:r>
            <w:r w:rsidRPr="00EA0E7C">
              <w:rPr>
                <w:rFonts w:ascii="Times New Roman" w:hAnsi="Times New Roman"/>
                <w:bCs/>
                <w:color w:val="000000"/>
              </w:rPr>
              <w:t>ambicją dojścia do 45%, co pozwoli na redukcję emisji gazów cieplarnianych o 55% w stosunku do 1990 r., wypełniając tym samym cele wyznaczone w pakiecie „Fit for 55”.</w:t>
            </w:r>
          </w:p>
          <w:p w14:paraId="69D523A5" w14:textId="01E19D59"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Dla zagwarantowania realizacji zakładanych celów, na poziomie unijnym przeprowadzono jednocześnie analizę barier, pozwalającą na zidentyfikowanie największych zagrożeń dla przedmiotowego procesu. W jej wyniku, kluczowym problemem, występującym w przeważającej liczbie państw członkowskich UE okazały się wydłużające się procedury związane z realizacją inwestycji OZE.</w:t>
            </w:r>
          </w:p>
          <w:p w14:paraId="30C57019" w14:textId="77777777"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Z tego względu, największy nacisk w prawodawstwie unijnym położony został na tzw. „permitting”, czyli wszelkie działania mające na celu skracanie czasu na wydawanie niezbędnych pozwoleń inwestycyjno-budowlanych i przyłączanie instalacji OZE do sieci.</w:t>
            </w:r>
          </w:p>
          <w:p w14:paraId="216A2BED" w14:textId="2B5C2F1D"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 xml:space="preserve">Tym samym, dyrektywa RED III wprowadziła m.in. </w:t>
            </w:r>
            <w:r w:rsidR="00EB5E00">
              <w:rPr>
                <w:rFonts w:ascii="Times New Roman" w:hAnsi="Times New Roman"/>
                <w:bCs/>
                <w:color w:val="000000"/>
              </w:rPr>
              <w:t>potrzebę</w:t>
            </w:r>
            <w:r w:rsidRPr="00EA0E7C">
              <w:rPr>
                <w:rFonts w:ascii="Times New Roman" w:hAnsi="Times New Roman"/>
                <w:bCs/>
                <w:color w:val="000000"/>
              </w:rPr>
              <w:t xml:space="preserve"> zmapowania obszarów niezbędnych do wniesienia krajowych wkładów w realizację ogólnego celu unijnego w zakresie energii odnawialnej wyznaczonego na 2030 r. oraz określenia krajowego potencjału i dostępnego obszaru lądowego, podpowierzchniowego, wód morskich lub wód śródlądowych, który jest niezbędny do instalacji elektrowni OZE, a także powiązanej z nimi infrastruktury, takiej jak instalacje sieciowe i magazynowe, w tym do magazynowania energii cieplnej.</w:t>
            </w:r>
            <w:r w:rsidR="00EB5E00">
              <w:rPr>
                <w:rFonts w:ascii="Times New Roman" w:hAnsi="Times New Roman"/>
                <w:bCs/>
                <w:color w:val="000000"/>
              </w:rPr>
              <w:t xml:space="preserve"> P</w:t>
            </w:r>
            <w:r w:rsidR="00EB5E00" w:rsidRPr="00EB5E00">
              <w:rPr>
                <w:rFonts w:ascii="Times New Roman" w:hAnsi="Times New Roman"/>
                <w:bCs/>
                <w:color w:val="000000"/>
              </w:rPr>
              <w:t xml:space="preserve">owstałe mapy zasobów </w:t>
            </w:r>
            <w:r w:rsidR="00EB5E00">
              <w:rPr>
                <w:rFonts w:ascii="Times New Roman" w:hAnsi="Times New Roman"/>
                <w:bCs/>
                <w:color w:val="000000"/>
              </w:rPr>
              <w:t xml:space="preserve">powinny </w:t>
            </w:r>
            <w:r w:rsidR="00EB5E00" w:rsidRPr="00EB5E00">
              <w:rPr>
                <w:rFonts w:ascii="Times New Roman" w:hAnsi="Times New Roman"/>
                <w:bCs/>
                <w:color w:val="000000"/>
              </w:rPr>
              <w:t>z</w:t>
            </w:r>
            <w:r w:rsidR="00EB5E00">
              <w:rPr>
                <w:rFonts w:ascii="Times New Roman" w:hAnsi="Times New Roman"/>
                <w:bCs/>
                <w:color w:val="000000"/>
              </w:rPr>
              <w:t>ostać udostępnione za</w:t>
            </w:r>
            <w:r w:rsidR="00EB5E00" w:rsidRPr="00EB5E00">
              <w:rPr>
                <w:rFonts w:ascii="Times New Roman" w:hAnsi="Times New Roman"/>
                <w:bCs/>
                <w:color w:val="000000"/>
              </w:rPr>
              <w:t xml:space="preserve"> pośrednictwem odpowiedniego kanału cyfrowego</w:t>
            </w:r>
            <w:r w:rsidR="00EB5E00">
              <w:rPr>
                <w:rFonts w:ascii="Times New Roman" w:hAnsi="Times New Roman"/>
                <w:bCs/>
                <w:color w:val="000000"/>
              </w:rPr>
              <w:t>.</w:t>
            </w:r>
          </w:p>
          <w:p w14:paraId="0123E976" w14:textId="2894302E"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 xml:space="preserve">Kolejnym narzędziem, ściśle związanym z mapowaniem potencjału OZE jest wprowadzenie definicji obszarów przyspieszonego rozwoju </w:t>
            </w:r>
            <w:r w:rsidR="001778AA" w:rsidRPr="001778AA">
              <w:rPr>
                <w:rFonts w:ascii="Times New Roman" w:hAnsi="Times New Roman"/>
                <w:bCs/>
                <w:color w:val="000000"/>
              </w:rPr>
              <w:t>instalacji odnawialnego źródła energii</w:t>
            </w:r>
            <w:r w:rsidRPr="00EA0E7C">
              <w:rPr>
                <w:rFonts w:ascii="Times New Roman" w:hAnsi="Times New Roman"/>
                <w:bCs/>
                <w:color w:val="000000"/>
              </w:rPr>
              <w:t xml:space="preserve">. </w:t>
            </w:r>
          </w:p>
          <w:p w14:paraId="59BFF67C" w14:textId="05D5BC30"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 xml:space="preserve">Obszary te mają zostać wyznaczone na powierzchniach i terenach niebudzących wątpliwości z punktu widzenia ochrony środowiska, co docelowo ma pozwolić na znaczące skrócenie etapu wydawania </w:t>
            </w:r>
            <w:r w:rsidR="003671B6">
              <w:rPr>
                <w:rFonts w:ascii="Times New Roman" w:hAnsi="Times New Roman"/>
                <w:bCs/>
                <w:color w:val="000000"/>
              </w:rPr>
              <w:t>decyzji</w:t>
            </w:r>
            <w:r w:rsidRPr="00EA0E7C">
              <w:rPr>
                <w:rFonts w:ascii="Times New Roman" w:hAnsi="Times New Roman"/>
                <w:bCs/>
                <w:color w:val="000000"/>
              </w:rPr>
              <w:t xml:space="preserve"> środowiskow</w:t>
            </w:r>
            <w:r w:rsidR="003671B6">
              <w:rPr>
                <w:rFonts w:ascii="Times New Roman" w:hAnsi="Times New Roman"/>
                <w:bCs/>
                <w:color w:val="000000"/>
              </w:rPr>
              <w:t>ej</w:t>
            </w:r>
            <w:r w:rsidRPr="00EA0E7C">
              <w:rPr>
                <w:rFonts w:ascii="Times New Roman" w:hAnsi="Times New Roman"/>
                <w:bCs/>
                <w:color w:val="000000"/>
              </w:rPr>
              <w:t>, uznawanego za najbardziej czasochłonny, dzięki czemu proces inwestycyjny ma zostać znacząco skrócony (</w:t>
            </w:r>
            <w:r w:rsidR="003671B6">
              <w:rPr>
                <w:rFonts w:ascii="Times New Roman" w:hAnsi="Times New Roman"/>
                <w:bCs/>
                <w:color w:val="000000"/>
              </w:rPr>
              <w:t xml:space="preserve">do </w:t>
            </w:r>
            <w:r w:rsidRPr="00EA0E7C">
              <w:rPr>
                <w:rFonts w:ascii="Times New Roman" w:hAnsi="Times New Roman"/>
                <w:bCs/>
                <w:color w:val="000000"/>
              </w:rPr>
              <w:t>12 miesięcy, z wyjątkiem morskich elektrowni wiatrowych</w:t>
            </w:r>
            <w:r w:rsidR="003671B6">
              <w:rPr>
                <w:rFonts w:ascii="Times New Roman" w:hAnsi="Times New Roman"/>
                <w:bCs/>
                <w:color w:val="000000"/>
              </w:rPr>
              <w:t>, w przypadku których mają to być max 2</w:t>
            </w:r>
            <w:r w:rsidRPr="00EA0E7C">
              <w:rPr>
                <w:rFonts w:ascii="Times New Roman" w:hAnsi="Times New Roman"/>
                <w:bCs/>
                <w:color w:val="000000"/>
              </w:rPr>
              <w:t>).</w:t>
            </w:r>
            <w:r w:rsidR="009F0C0D">
              <w:t xml:space="preserve"> </w:t>
            </w:r>
            <w:r w:rsidR="009F0C0D" w:rsidRPr="009F0C0D">
              <w:rPr>
                <w:rFonts w:ascii="Times New Roman" w:hAnsi="Times New Roman"/>
                <w:bCs/>
                <w:color w:val="000000"/>
              </w:rPr>
              <w:t xml:space="preserve">Warto przy tym podkreślić, że zgodnie z art. 16 ust. 1 dyrektywy RED III, procedura wydawania zezwoleń obejmuje wszystkie etapy administracyjne od potwierdzenia kompletności wniosku o zezwolenie zgodnie z ust. 2 do przedstawienia ostatecznej decyzji w sprawie wyniku procedury wydawania zezwoleń przez odpowiedni właściwy organ lub odpowiednie właściwe organy. Oznacza to, że do terminów na załatwienie sprawy i całego procesu wydawania zezwoleń nie wlicza się przykładowo terminów wynikających </w:t>
            </w:r>
            <w:r w:rsidR="009714CD" w:rsidRPr="009F0C0D">
              <w:rPr>
                <w:rFonts w:ascii="Times New Roman" w:hAnsi="Times New Roman"/>
                <w:bCs/>
                <w:color w:val="000000"/>
              </w:rPr>
              <w:lastRenderedPageBreak/>
              <w:t>z</w:t>
            </w:r>
            <w:r w:rsidR="009714CD">
              <w:rPr>
                <w:rFonts w:ascii="Times New Roman" w:hAnsi="Times New Roman"/>
                <w:bCs/>
                <w:color w:val="000000"/>
              </w:rPr>
              <w:t> </w:t>
            </w:r>
            <w:r w:rsidR="009F0C0D" w:rsidRPr="009F0C0D">
              <w:rPr>
                <w:rFonts w:ascii="Times New Roman" w:hAnsi="Times New Roman"/>
                <w:bCs/>
                <w:color w:val="000000"/>
              </w:rPr>
              <w:t>wezwania do uzupełnienia braków formalnych wniosku, terminów w jakich organ prowadzący postępowanie oczekuje na uzyskanie wymaganych opinii i uzgodnień czy terminów w jakich organ przeprowadza udział społeczeństwa.</w:t>
            </w:r>
          </w:p>
          <w:p w14:paraId="345FC9BE" w14:textId="1022D0C9" w:rsidR="00EA0E7C" w:rsidRP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 xml:space="preserve">Zgodnie z dyrektywą RED III, </w:t>
            </w:r>
            <w:r w:rsidR="004E1CF4">
              <w:rPr>
                <w:rFonts w:ascii="Times New Roman" w:hAnsi="Times New Roman"/>
                <w:bCs/>
                <w:color w:val="000000"/>
              </w:rPr>
              <w:t xml:space="preserve">przynajmniej jeden </w:t>
            </w:r>
            <w:r w:rsidRPr="00EA0E7C">
              <w:rPr>
                <w:rFonts w:ascii="Times New Roman" w:hAnsi="Times New Roman"/>
                <w:bCs/>
                <w:color w:val="000000"/>
              </w:rPr>
              <w:t xml:space="preserve">OPRO </w:t>
            </w:r>
            <w:r w:rsidR="004E1CF4">
              <w:rPr>
                <w:rFonts w:ascii="Times New Roman" w:hAnsi="Times New Roman"/>
                <w:bCs/>
                <w:color w:val="000000"/>
              </w:rPr>
              <w:t>powinien</w:t>
            </w:r>
            <w:r w:rsidRPr="00EA0E7C">
              <w:rPr>
                <w:rFonts w:ascii="Times New Roman" w:hAnsi="Times New Roman"/>
                <w:bCs/>
                <w:color w:val="000000"/>
              </w:rPr>
              <w:t xml:space="preserve"> zostać wyznaczon</w:t>
            </w:r>
            <w:r w:rsidR="004E1CF4">
              <w:rPr>
                <w:rFonts w:ascii="Times New Roman" w:hAnsi="Times New Roman"/>
                <w:bCs/>
                <w:color w:val="000000"/>
              </w:rPr>
              <w:t>y</w:t>
            </w:r>
            <w:r w:rsidRPr="00EA0E7C">
              <w:rPr>
                <w:rFonts w:ascii="Times New Roman" w:hAnsi="Times New Roman"/>
                <w:bCs/>
                <w:color w:val="000000"/>
              </w:rPr>
              <w:t xml:space="preserve"> do</w:t>
            </w:r>
            <w:r w:rsidR="002932D8">
              <w:rPr>
                <w:rFonts w:ascii="Times New Roman" w:hAnsi="Times New Roman"/>
                <w:bCs/>
                <w:color w:val="000000"/>
              </w:rPr>
              <w:t xml:space="preserve"> </w:t>
            </w:r>
            <w:r w:rsidRPr="00EA0E7C">
              <w:rPr>
                <w:rFonts w:ascii="Times New Roman" w:hAnsi="Times New Roman"/>
                <w:bCs/>
                <w:color w:val="000000"/>
              </w:rPr>
              <w:t>21 lutego 2026 r., a ich celem jest znaczące zdynamizowanie rozwoju OZE w całej UE oraz promowanie lokalizowania instalacji wykorzystujących energię odnawialną na terenach o niskim ryzyku środowiskowym.</w:t>
            </w:r>
          </w:p>
          <w:p w14:paraId="647C5EF9" w14:textId="77777777" w:rsidR="00EA0E7C" w:rsidRDefault="00EA0E7C" w:rsidP="00EA0E7C">
            <w:pPr>
              <w:spacing w:after="120"/>
              <w:jc w:val="both"/>
              <w:rPr>
                <w:rFonts w:ascii="Times New Roman" w:hAnsi="Times New Roman"/>
                <w:bCs/>
                <w:color w:val="000000"/>
              </w:rPr>
            </w:pPr>
            <w:r w:rsidRPr="00EA0E7C">
              <w:rPr>
                <w:rFonts w:ascii="Times New Roman" w:hAnsi="Times New Roman"/>
                <w:bCs/>
                <w:color w:val="000000"/>
              </w:rPr>
              <w:t xml:space="preserve">Projektowane przepisy są jednocześnie elementem Krajowego Planu Odbudowy i Zwiększania Odporności (KPO), bowiem konieczność podjęcia działań związanych z mapowaniem potencjału OZE oraz tworzeniem OPRO jest odzwierciedlona w kamieniach milowych, przewidzianych do realizacji w ramach </w:t>
            </w:r>
            <w:r w:rsidR="0012641C">
              <w:rPr>
                <w:rFonts w:ascii="Times New Roman" w:hAnsi="Times New Roman"/>
                <w:bCs/>
                <w:color w:val="000000"/>
              </w:rPr>
              <w:t xml:space="preserve">reformy G3.1.1 </w:t>
            </w:r>
            <w:r w:rsidRPr="00EA0E7C">
              <w:rPr>
                <w:rFonts w:ascii="Times New Roman" w:hAnsi="Times New Roman"/>
                <w:bCs/>
                <w:color w:val="000000"/>
              </w:rPr>
              <w:t>KPO. Pierwszy z nich zakłada opracowanie mapy potencjału dla instalacji PV oraz instalacji wiatrowych na lądzie</w:t>
            </w:r>
            <w:r w:rsidR="003671B6">
              <w:rPr>
                <w:rFonts w:ascii="Times New Roman" w:hAnsi="Times New Roman"/>
                <w:bCs/>
                <w:color w:val="000000"/>
              </w:rPr>
              <w:t xml:space="preserve"> (kamień milowy G1L)</w:t>
            </w:r>
            <w:r w:rsidRPr="00EA0E7C">
              <w:rPr>
                <w:rFonts w:ascii="Times New Roman" w:hAnsi="Times New Roman"/>
                <w:bCs/>
                <w:color w:val="000000"/>
              </w:rPr>
              <w:t>, zaś drugi wypracowanie ram prawnych dla wyznaczania obszarów akceleracji dla instalacji PV i instalacji wiatrowych na lądzie</w:t>
            </w:r>
            <w:r w:rsidR="003671B6">
              <w:rPr>
                <w:rFonts w:ascii="Times New Roman" w:hAnsi="Times New Roman"/>
                <w:bCs/>
                <w:color w:val="000000"/>
              </w:rPr>
              <w:t xml:space="preserve"> (kamień milowy G2L)</w:t>
            </w:r>
            <w:r w:rsidRPr="00EA0E7C">
              <w:rPr>
                <w:rFonts w:ascii="Times New Roman" w:hAnsi="Times New Roman"/>
                <w:bCs/>
                <w:color w:val="000000"/>
              </w:rPr>
              <w:t>, które powinny określać m.in. właściwe organy odpowiedzialne za wyznaczanie OPRO oraz ich obowiązki, w tym w odniesieniu do zapewnienia, aby wyznaczenie tychże obszarów nie miało negatywnego wpływu na ochronę przyrody i różnorodności biologicznej.</w:t>
            </w:r>
          </w:p>
          <w:p w14:paraId="243C0D8C" w14:textId="17F356D6" w:rsidR="002272DE" w:rsidRPr="00792646" w:rsidRDefault="002272DE" w:rsidP="00792646">
            <w:pPr>
              <w:pStyle w:val="Akapitzlist"/>
              <w:numPr>
                <w:ilvl w:val="0"/>
                <w:numId w:val="131"/>
              </w:numPr>
              <w:spacing w:after="120"/>
              <w:jc w:val="both"/>
              <w:rPr>
                <w:rFonts w:ascii="Times New Roman" w:hAnsi="Times New Roman"/>
                <w:b/>
                <w:color w:val="000000"/>
              </w:rPr>
            </w:pPr>
            <w:r w:rsidRPr="00792646">
              <w:rPr>
                <w:rFonts w:ascii="Times New Roman" w:hAnsi="Times New Roman"/>
                <w:b/>
                <w:color w:val="000000"/>
              </w:rPr>
              <w:t>Ograniczenia w zakresie możliwości tworzenia spółdzielni energetycznych</w:t>
            </w:r>
          </w:p>
          <w:p w14:paraId="2EE08B14" w14:textId="0ADB474D" w:rsidR="002272DE" w:rsidRDefault="002272DE" w:rsidP="002272DE">
            <w:pPr>
              <w:spacing w:after="120"/>
              <w:jc w:val="both"/>
              <w:rPr>
                <w:rFonts w:ascii="Times New Roman" w:hAnsi="Times New Roman"/>
                <w:bCs/>
                <w:color w:val="000000"/>
              </w:rPr>
            </w:pPr>
            <w:r w:rsidRPr="00801278">
              <w:rPr>
                <w:rFonts w:ascii="Times New Roman" w:hAnsi="Times New Roman"/>
                <w:bCs/>
                <w:color w:val="000000"/>
              </w:rPr>
              <w:t>Obowiązujące przepisy pozwalają na tworzenie spółdzielni energetycznych wyłącznie na obszarach gmin wiejskich i</w:t>
            </w:r>
            <w:r w:rsidR="009714CD">
              <w:rPr>
                <w:rFonts w:ascii="Times New Roman" w:hAnsi="Times New Roman"/>
                <w:bCs/>
                <w:color w:val="000000"/>
              </w:rPr>
              <w:t> </w:t>
            </w:r>
            <w:r w:rsidRPr="00801278">
              <w:rPr>
                <w:rFonts w:ascii="Times New Roman" w:hAnsi="Times New Roman"/>
                <w:bCs/>
                <w:color w:val="000000"/>
              </w:rPr>
              <w:t>miejsko-wiejskich. Ideą spółdzielni energetycznych jest zapewnienie korzyści jej członkom, w tym energii</w:t>
            </w:r>
            <w:r>
              <w:rPr>
                <w:rFonts w:ascii="Times New Roman" w:hAnsi="Times New Roman"/>
                <w:bCs/>
                <w:color w:val="000000"/>
              </w:rPr>
              <w:t xml:space="preserve"> </w:t>
            </w:r>
            <w:r w:rsidRPr="00801278">
              <w:rPr>
                <w:rFonts w:ascii="Times New Roman" w:hAnsi="Times New Roman"/>
                <w:bCs/>
                <w:color w:val="000000"/>
              </w:rPr>
              <w:t>tańszej niż na rynku poprzez wykorzystanie lokalnie dostępnych zasobów energetycznych.</w:t>
            </w:r>
            <w:r>
              <w:rPr>
                <w:rFonts w:ascii="Times New Roman" w:hAnsi="Times New Roman"/>
                <w:bCs/>
                <w:color w:val="000000"/>
              </w:rPr>
              <w:t xml:space="preserve"> </w:t>
            </w:r>
            <w:r w:rsidRPr="00801278">
              <w:rPr>
                <w:rFonts w:ascii="Times New Roman" w:hAnsi="Times New Roman"/>
                <w:bCs/>
                <w:color w:val="000000"/>
              </w:rPr>
              <w:t>W wyniku współpracy prowadzonej w</w:t>
            </w:r>
            <w:r w:rsidR="009714CD">
              <w:rPr>
                <w:rFonts w:ascii="Times New Roman" w:hAnsi="Times New Roman"/>
                <w:bCs/>
                <w:color w:val="000000"/>
              </w:rPr>
              <w:t> </w:t>
            </w:r>
            <w:r w:rsidRPr="00801278">
              <w:rPr>
                <w:rFonts w:ascii="Times New Roman" w:hAnsi="Times New Roman"/>
                <w:bCs/>
                <w:color w:val="000000"/>
              </w:rPr>
              <w:t>ramach spółdzielni energetycznej zwiększa się</w:t>
            </w:r>
            <w:r>
              <w:rPr>
                <w:rFonts w:ascii="Times New Roman" w:hAnsi="Times New Roman"/>
                <w:bCs/>
                <w:color w:val="000000"/>
              </w:rPr>
              <w:t xml:space="preserve"> </w:t>
            </w:r>
            <w:r w:rsidRPr="00801278">
              <w:rPr>
                <w:rFonts w:ascii="Times New Roman" w:hAnsi="Times New Roman"/>
                <w:bCs/>
                <w:color w:val="000000"/>
              </w:rPr>
              <w:t>bezpieczeństwo energetyczne dla jej członków, gdyż energia zużywana i bilansowana jest</w:t>
            </w:r>
            <w:r>
              <w:rPr>
                <w:rFonts w:ascii="Times New Roman" w:hAnsi="Times New Roman"/>
                <w:bCs/>
                <w:color w:val="000000"/>
              </w:rPr>
              <w:t xml:space="preserve"> </w:t>
            </w:r>
            <w:r w:rsidRPr="00801278">
              <w:rPr>
                <w:rFonts w:ascii="Times New Roman" w:hAnsi="Times New Roman"/>
                <w:bCs/>
                <w:color w:val="000000"/>
              </w:rPr>
              <w:t>lokalnie, na małym obszarze.</w:t>
            </w:r>
          </w:p>
          <w:p w14:paraId="5827D0C0" w14:textId="71A951C1" w:rsidR="002272DE" w:rsidRPr="00830ACC" w:rsidRDefault="002272DE" w:rsidP="00EA0E7C">
            <w:pPr>
              <w:spacing w:after="120"/>
              <w:jc w:val="both"/>
              <w:rPr>
                <w:rFonts w:ascii="Times New Roman" w:hAnsi="Times New Roman"/>
                <w:bCs/>
                <w:color w:val="000000"/>
              </w:rPr>
            </w:pPr>
            <w:r w:rsidRPr="00801278">
              <w:rPr>
                <w:rFonts w:ascii="Times New Roman" w:hAnsi="Times New Roman"/>
                <w:bCs/>
                <w:color w:val="000000"/>
              </w:rPr>
              <w:t>Umożliwienie mieszkańcom gmin miejskich tworzenia spółdzielni energetycznych pozwoli na znaczną redukcję w ich kosztach energii elektrycznej wychodząc jednocześnie naprzeciw problemowi ubóstwa energetycznego</w:t>
            </w:r>
            <w:r>
              <w:rPr>
                <w:rFonts w:ascii="Times New Roman" w:hAnsi="Times New Roman"/>
                <w:bCs/>
                <w:color w:val="000000"/>
              </w:rPr>
              <w:t xml:space="preserve">. </w:t>
            </w:r>
          </w:p>
        </w:tc>
      </w:tr>
      <w:tr w:rsidR="006A701A" w:rsidRPr="00A87B3A" w14:paraId="6E8429FE" w14:textId="77777777" w:rsidTr="00676C8D">
        <w:trPr>
          <w:gridAfter w:val="1"/>
          <w:wAfter w:w="10" w:type="dxa"/>
          <w:trHeight w:val="142"/>
        </w:trPr>
        <w:tc>
          <w:tcPr>
            <w:tcW w:w="10937" w:type="dxa"/>
            <w:gridSpan w:val="27"/>
            <w:shd w:val="clear" w:color="auto" w:fill="99CCFF"/>
            <w:vAlign w:val="center"/>
          </w:tcPr>
          <w:p w14:paraId="76EFF483" w14:textId="77777777" w:rsidR="006A701A" w:rsidRPr="00A87B3A" w:rsidRDefault="0013216E" w:rsidP="009629CE">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spacing w:val="-2"/>
              </w:rPr>
              <w:lastRenderedPageBreak/>
              <w:t>Rekomendowane rozwiązanie, w tym planowane narzędzia interwencji, i oczekiwany efekt</w:t>
            </w:r>
          </w:p>
        </w:tc>
      </w:tr>
      <w:tr w:rsidR="006A701A" w:rsidRPr="00A87B3A" w14:paraId="1C6658FE" w14:textId="77777777" w:rsidTr="001700CF">
        <w:trPr>
          <w:gridAfter w:val="1"/>
          <w:wAfter w:w="10" w:type="dxa"/>
          <w:trHeight w:val="2756"/>
        </w:trPr>
        <w:tc>
          <w:tcPr>
            <w:tcW w:w="10937" w:type="dxa"/>
            <w:gridSpan w:val="27"/>
            <w:shd w:val="clear" w:color="auto" w:fill="auto"/>
          </w:tcPr>
          <w:p w14:paraId="058DAAF0" w14:textId="77777777" w:rsidR="00830ACC" w:rsidRPr="00D802E0" w:rsidRDefault="00830ACC" w:rsidP="00093E33">
            <w:pPr>
              <w:pStyle w:val="Akapitzlist"/>
              <w:numPr>
                <w:ilvl w:val="0"/>
                <w:numId w:val="82"/>
              </w:numPr>
              <w:spacing w:before="240" w:after="120"/>
              <w:contextualSpacing w:val="0"/>
              <w:jc w:val="both"/>
              <w:rPr>
                <w:rFonts w:ascii="Times New Roman" w:hAnsi="Times New Roman"/>
                <w:b/>
                <w:color w:val="000000"/>
              </w:rPr>
            </w:pPr>
            <w:r>
              <w:rPr>
                <w:rFonts w:ascii="Times New Roman" w:hAnsi="Times New Roman"/>
                <w:b/>
                <w:color w:val="000000"/>
              </w:rPr>
              <w:t>Zmiany w aukcyjnym systemie wsparcia</w:t>
            </w:r>
          </w:p>
          <w:p w14:paraId="7C51187F" w14:textId="77777777" w:rsidR="00830ACC" w:rsidRDefault="00830ACC" w:rsidP="00093E33">
            <w:pPr>
              <w:spacing w:after="120"/>
              <w:jc w:val="both"/>
              <w:rPr>
                <w:rFonts w:ascii="Times New Roman" w:hAnsi="Times New Roman"/>
                <w:color w:val="000000"/>
              </w:rPr>
            </w:pPr>
            <w:r w:rsidRPr="002A4C78">
              <w:rPr>
                <w:rFonts w:ascii="Times New Roman" w:hAnsi="Times New Roman"/>
                <w:color w:val="000000"/>
              </w:rPr>
              <w:t>Zakres proponowanych zmian odnosi się do następujących kwestii:</w:t>
            </w:r>
          </w:p>
          <w:p w14:paraId="1A47D03C" w14:textId="3E9EAE3F" w:rsidR="00830ACC" w:rsidRDefault="00830ACC" w:rsidP="00093E33">
            <w:pPr>
              <w:pStyle w:val="Akapitzlist"/>
              <w:numPr>
                <w:ilvl w:val="0"/>
                <w:numId w:val="87"/>
              </w:numPr>
              <w:spacing w:after="120"/>
              <w:contextualSpacing w:val="0"/>
              <w:jc w:val="both"/>
              <w:rPr>
                <w:rFonts w:ascii="Times New Roman" w:hAnsi="Times New Roman"/>
                <w:color w:val="000000"/>
              </w:rPr>
            </w:pPr>
            <w:r w:rsidRPr="002A4C78">
              <w:rPr>
                <w:rFonts w:ascii="Times New Roman" w:hAnsi="Times New Roman"/>
                <w:color w:val="000000"/>
              </w:rPr>
              <w:t>Warunkowa prekwalifikacja</w:t>
            </w:r>
          </w:p>
          <w:p w14:paraId="00CC50A2" w14:textId="2C478B4D" w:rsidR="00830ACC" w:rsidRDefault="00830ACC" w:rsidP="00093E33">
            <w:pPr>
              <w:spacing w:after="120"/>
              <w:jc w:val="both"/>
              <w:rPr>
                <w:rFonts w:ascii="Times New Roman" w:hAnsi="Times New Roman"/>
                <w:color w:val="000000"/>
              </w:rPr>
            </w:pPr>
            <w:bookmarkStart w:id="10" w:name="_Hlk184987245"/>
            <w:r w:rsidRPr="002A4C78">
              <w:rPr>
                <w:rFonts w:ascii="Times New Roman" w:hAnsi="Times New Roman"/>
                <w:color w:val="000000"/>
              </w:rPr>
              <w:t>Proces prekwalifikacji do systemu aukcyjnego to istotny element mający na celu dopuszczenie do aukcji jedynie projektów, które ze względu na stopień zaawansowania dają wysokie prawdopodobieństwo skutecznej realizacji</w:t>
            </w:r>
            <w:r>
              <w:rPr>
                <w:rFonts w:ascii="Times New Roman" w:hAnsi="Times New Roman"/>
                <w:color w:val="000000"/>
              </w:rPr>
              <w:t xml:space="preserve">. </w:t>
            </w:r>
            <w:bookmarkEnd w:id="10"/>
            <w:r>
              <w:rPr>
                <w:rFonts w:ascii="Times New Roman" w:hAnsi="Times New Roman"/>
                <w:color w:val="000000"/>
              </w:rPr>
              <w:t>P</w:t>
            </w:r>
            <w:r w:rsidRPr="002A4C78">
              <w:rPr>
                <w:rFonts w:ascii="Times New Roman" w:hAnsi="Times New Roman"/>
                <w:color w:val="000000"/>
              </w:rPr>
              <w:t xml:space="preserve">roces </w:t>
            </w:r>
            <w:bookmarkStart w:id="11" w:name="_Hlk184987364"/>
            <w:r w:rsidRPr="002A4C78">
              <w:rPr>
                <w:rFonts w:ascii="Times New Roman" w:hAnsi="Times New Roman"/>
                <w:color w:val="000000"/>
              </w:rPr>
              <w:t>uzyskiwania niezbędnych pozwoleń i decyzji jest wyjątkowo skomplikowany i długotrwały, dlatego też zaproponowano, aby możliwe było uzyskanie warunkowe</w:t>
            </w:r>
            <w:r>
              <w:rPr>
                <w:rFonts w:ascii="Times New Roman" w:hAnsi="Times New Roman"/>
                <w:color w:val="000000"/>
              </w:rPr>
              <w:t>go zaświadczenia o dopuszczeniu do aukcji</w:t>
            </w:r>
            <w:r w:rsidRPr="002A4C78">
              <w:rPr>
                <w:rFonts w:ascii="Times New Roman" w:hAnsi="Times New Roman"/>
                <w:color w:val="000000"/>
              </w:rPr>
              <w:t xml:space="preserve"> </w:t>
            </w:r>
            <w:bookmarkEnd w:id="11"/>
            <w:r>
              <w:rPr>
                <w:rFonts w:ascii="Times New Roman" w:hAnsi="Times New Roman"/>
                <w:color w:val="000000"/>
              </w:rPr>
              <w:t>w przypadku, gdy na dzień złożenia wniosku o</w:t>
            </w:r>
            <w:r w:rsidR="00347B23">
              <w:rPr>
                <w:rFonts w:ascii="Times New Roman" w:hAnsi="Times New Roman"/>
                <w:color w:val="000000"/>
              </w:rPr>
              <w:t> </w:t>
            </w:r>
            <w:r>
              <w:rPr>
                <w:rFonts w:ascii="Times New Roman" w:hAnsi="Times New Roman"/>
                <w:color w:val="000000"/>
              </w:rPr>
              <w:t>wydanie zaświadczenia o dopuszczenie do aukcji wytwórca nie posiada jeszcze decyzji o środowiskowych uwarunkowaniach.</w:t>
            </w:r>
            <w:r w:rsidR="001403AD">
              <w:rPr>
                <w:rFonts w:ascii="Times New Roman" w:hAnsi="Times New Roman"/>
                <w:color w:val="000000"/>
              </w:rPr>
              <w:t xml:space="preserve"> </w:t>
            </w:r>
            <w:r w:rsidR="001403AD" w:rsidRPr="001403AD">
              <w:rPr>
                <w:rFonts w:ascii="Times New Roman" w:hAnsi="Times New Roman"/>
                <w:color w:val="000000"/>
              </w:rPr>
              <w:t xml:space="preserve">Termin ważności wstępnego zaświadczenia o dopuszczeniu do aukcji wynosiłby 12 miesięcy od dnia jego wydania. Termin ten nie mógłby być dłuższy niż termin ważności dokumentów, o których mowa w art. 26 ust. 5 pkt 1 i 3 ustawy offshore wind, czyli wstępnych warunków przyłączenia albo umowy lub umów o przyłączenie MFW do sieci przesyłowej lub dystrybucyjnej i PSZW. Wstępne zaświadczenie o dopuszczeniu do aukcji nie będzie uprawniało do udziału w aukcji. Prezes URE w terminie 14 dni od uzupełnienia przez wytwórcę wniosku o wydanie zaświadczenia </w:t>
            </w:r>
            <w:r w:rsidR="009714CD" w:rsidRPr="001403AD">
              <w:rPr>
                <w:rFonts w:ascii="Times New Roman" w:hAnsi="Times New Roman"/>
                <w:color w:val="000000"/>
              </w:rPr>
              <w:t>o</w:t>
            </w:r>
            <w:r w:rsidR="009714CD">
              <w:rPr>
                <w:rFonts w:ascii="Times New Roman" w:hAnsi="Times New Roman"/>
                <w:color w:val="000000"/>
              </w:rPr>
              <w:t> </w:t>
            </w:r>
            <w:r w:rsidR="001403AD" w:rsidRPr="001403AD">
              <w:rPr>
                <w:rFonts w:ascii="Times New Roman" w:hAnsi="Times New Roman"/>
                <w:color w:val="000000"/>
              </w:rPr>
              <w:t>dopuszczeniu do udziału w aukcji o decyzję o środowiskowych uwarunkowaniach, będzie dokonywał ponownej oceny formalnej tego wniosku i wydawał zaświadczenie o dopuszczeniu do udziału w aukcji albo odmawiał jego wydania.</w:t>
            </w:r>
          </w:p>
          <w:p w14:paraId="1AAC3AE0" w14:textId="0703F033" w:rsidR="00830ACC" w:rsidRDefault="009714CD" w:rsidP="00093E33">
            <w:pPr>
              <w:pStyle w:val="Akapitzlist"/>
              <w:numPr>
                <w:ilvl w:val="0"/>
                <w:numId w:val="87"/>
              </w:numPr>
              <w:spacing w:after="120"/>
              <w:contextualSpacing w:val="0"/>
              <w:jc w:val="both"/>
              <w:rPr>
                <w:rFonts w:ascii="Times New Roman" w:hAnsi="Times New Roman"/>
                <w:color w:val="000000"/>
              </w:rPr>
            </w:pPr>
            <w:bookmarkStart w:id="12" w:name="_Hlk172202517"/>
            <w:r w:rsidRPr="009714CD">
              <w:rPr>
                <w:rFonts w:ascii="Times New Roman" w:hAnsi="Times New Roman"/>
                <w:color w:val="000000"/>
              </w:rPr>
              <w:t xml:space="preserve">Umożliwienie przeprowadzenia aukcji interwencyjnej w 2026 r. w przypadku gdyby aukcja w 2025 r. nie została przeprowadzona lub </w:t>
            </w:r>
            <w:r>
              <w:rPr>
                <w:rFonts w:ascii="Times New Roman" w:hAnsi="Times New Roman"/>
                <w:color w:val="000000"/>
              </w:rPr>
              <w:t>rozstrzygnięta</w:t>
            </w:r>
          </w:p>
          <w:p w14:paraId="1F52A355" w14:textId="3D228DA0" w:rsidR="009A43E0" w:rsidRDefault="00830ACC" w:rsidP="00093E33">
            <w:pPr>
              <w:spacing w:after="120"/>
              <w:jc w:val="both"/>
            </w:pPr>
            <w:r>
              <w:rPr>
                <w:rFonts w:ascii="Times New Roman" w:hAnsi="Times New Roman"/>
                <w:color w:val="000000"/>
              </w:rPr>
              <w:t xml:space="preserve">Propozycja ma na celu umożliwienie </w:t>
            </w:r>
            <w:r w:rsidRPr="00DB7AC0">
              <w:rPr>
                <w:rFonts w:ascii="Times New Roman" w:hAnsi="Times New Roman"/>
                <w:color w:val="000000"/>
              </w:rPr>
              <w:t>przeprowadzenia w 2026 r. aukcji w odniesieniu do mocy z aukcji z 2025 r.</w:t>
            </w:r>
            <w:r>
              <w:rPr>
                <w:rFonts w:ascii="Times New Roman" w:hAnsi="Times New Roman"/>
                <w:color w:val="000000"/>
              </w:rPr>
              <w:t xml:space="preserve">, </w:t>
            </w:r>
            <w:r w:rsidRPr="00DB7AC0">
              <w:rPr>
                <w:rFonts w:ascii="Times New Roman" w:hAnsi="Times New Roman"/>
                <w:color w:val="000000"/>
              </w:rPr>
              <w:t xml:space="preserve">gdyby </w:t>
            </w:r>
            <w:r>
              <w:rPr>
                <w:rFonts w:ascii="Times New Roman" w:hAnsi="Times New Roman"/>
                <w:color w:val="000000"/>
              </w:rPr>
              <w:t xml:space="preserve">aukcji w 2025 r. </w:t>
            </w:r>
            <w:r w:rsidRPr="00DB7AC0">
              <w:rPr>
                <w:rFonts w:ascii="Times New Roman" w:hAnsi="Times New Roman"/>
                <w:color w:val="000000"/>
              </w:rPr>
              <w:t xml:space="preserve">nie udało się przeprowadzić </w:t>
            </w:r>
            <w:r>
              <w:rPr>
                <w:rFonts w:ascii="Times New Roman" w:hAnsi="Times New Roman"/>
                <w:color w:val="000000"/>
              </w:rPr>
              <w:t>w wyniku braku wystarczającej liczby zaświadczeń o dopuszczeniu do aukcji</w:t>
            </w:r>
            <w:r w:rsidR="00C929E6">
              <w:rPr>
                <w:rFonts w:ascii="Times New Roman" w:hAnsi="Times New Roman"/>
                <w:color w:val="000000"/>
              </w:rPr>
              <w:t xml:space="preserve"> </w:t>
            </w:r>
            <w:r w:rsidR="00C929E6" w:rsidRPr="00C929E6">
              <w:rPr>
                <w:rFonts w:ascii="Times New Roman" w:hAnsi="Times New Roman"/>
                <w:color w:val="000000"/>
              </w:rPr>
              <w:t>albo aukcji nie rozstrzyg</w:t>
            </w:r>
            <w:r w:rsidR="00C929E6">
              <w:rPr>
                <w:rFonts w:ascii="Times New Roman" w:hAnsi="Times New Roman"/>
                <w:color w:val="000000"/>
              </w:rPr>
              <w:t xml:space="preserve">nięto z powodu </w:t>
            </w:r>
            <w:r w:rsidR="00C929E6" w:rsidRPr="00C929E6">
              <w:rPr>
                <w:rFonts w:ascii="Times New Roman" w:hAnsi="Times New Roman"/>
                <w:color w:val="000000"/>
              </w:rPr>
              <w:t>złoż</w:t>
            </w:r>
            <w:r w:rsidR="00C929E6">
              <w:rPr>
                <w:rFonts w:ascii="Times New Roman" w:hAnsi="Times New Roman"/>
                <w:color w:val="000000"/>
              </w:rPr>
              <w:t>e</w:t>
            </w:r>
            <w:r w:rsidR="00C929E6" w:rsidRPr="00C929E6">
              <w:rPr>
                <w:rFonts w:ascii="Times New Roman" w:hAnsi="Times New Roman"/>
                <w:color w:val="000000"/>
              </w:rPr>
              <w:t>n</w:t>
            </w:r>
            <w:r w:rsidR="00C929E6">
              <w:rPr>
                <w:rFonts w:ascii="Times New Roman" w:hAnsi="Times New Roman"/>
                <w:color w:val="000000"/>
              </w:rPr>
              <w:t>ia</w:t>
            </w:r>
            <w:r w:rsidR="00C929E6" w:rsidRPr="00C929E6">
              <w:rPr>
                <w:rFonts w:ascii="Times New Roman" w:hAnsi="Times New Roman"/>
                <w:color w:val="000000"/>
              </w:rPr>
              <w:t xml:space="preserve"> mniej niż trz</w:t>
            </w:r>
            <w:r w:rsidR="00C929E6">
              <w:rPr>
                <w:rFonts w:ascii="Times New Roman" w:hAnsi="Times New Roman"/>
                <w:color w:val="000000"/>
              </w:rPr>
              <w:t>ech</w:t>
            </w:r>
            <w:r w:rsidR="00C929E6" w:rsidRPr="00C929E6">
              <w:rPr>
                <w:rFonts w:ascii="Times New Roman" w:hAnsi="Times New Roman"/>
                <w:color w:val="000000"/>
              </w:rPr>
              <w:t xml:space="preserve"> ważn</w:t>
            </w:r>
            <w:r w:rsidR="00C929E6">
              <w:rPr>
                <w:rFonts w:ascii="Times New Roman" w:hAnsi="Times New Roman"/>
                <w:color w:val="000000"/>
              </w:rPr>
              <w:t>ych</w:t>
            </w:r>
            <w:r w:rsidR="00C929E6" w:rsidRPr="00C929E6">
              <w:rPr>
                <w:rFonts w:ascii="Times New Roman" w:hAnsi="Times New Roman"/>
                <w:color w:val="000000"/>
              </w:rPr>
              <w:t xml:space="preserve"> ofert spełniając</w:t>
            </w:r>
            <w:r w:rsidR="00C929E6">
              <w:rPr>
                <w:rFonts w:ascii="Times New Roman" w:hAnsi="Times New Roman"/>
                <w:color w:val="000000"/>
              </w:rPr>
              <w:t>ych</w:t>
            </w:r>
            <w:r w:rsidR="00C929E6" w:rsidRPr="00C929E6">
              <w:rPr>
                <w:rFonts w:ascii="Times New Roman" w:hAnsi="Times New Roman"/>
                <w:color w:val="000000"/>
              </w:rPr>
              <w:t xml:space="preserve"> wymagania określone </w:t>
            </w:r>
            <w:r w:rsidR="009714CD" w:rsidRPr="00C929E6">
              <w:rPr>
                <w:rFonts w:ascii="Times New Roman" w:hAnsi="Times New Roman"/>
                <w:color w:val="000000"/>
              </w:rPr>
              <w:t>w</w:t>
            </w:r>
            <w:r w:rsidR="009714CD">
              <w:rPr>
                <w:rFonts w:ascii="Times New Roman" w:hAnsi="Times New Roman"/>
                <w:color w:val="000000"/>
              </w:rPr>
              <w:t> </w:t>
            </w:r>
            <w:r w:rsidR="00C929E6" w:rsidRPr="00C929E6">
              <w:rPr>
                <w:rFonts w:ascii="Times New Roman" w:hAnsi="Times New Roman"/>
                <w:color w:val="000000"/>
              </w:rPr>
              <w:t>ustawie</w:t>
            </w:r>
            <w:r w:rsidRPr="00DB7AC0">
              <w:rPr>
                <w:rFonts w:ascii="Times New Roman" w:hAnsi="Times New Roman"/>
                <w:color w:val="000000"/>
              </w:rPr>
              <w:t>.</w:t>
            </w:r>
            <w:r w:rsidR="009A43E0">
              <w:t xml:space="preserve"> </w:t>
            </w:r>
          </w:p>
          <w:p w14:paraId="1FCF5414" w14:textId="20BA1876" w:rsidR="009A43E0" w:rsidRDefault="009A43E0" w:rsidP="00093E33">
            <w:pPr>
              <w:spacing w:after="120"/>
              <w:jc w:val="both"/>
              <w:rPr>
                <w:rFonts w:ascii="Times New Roman" w:hAnsi="Times New Roman"/>
                <w:color w:val="000000"/>
              </w:rPr>
            </w:pPr>
            <w:r>
              <w:rPr>
                <w:rFonts w:ascii="Times New Roman" w:hAnsi="Times New Roman"/>
                <w:color w:val="000000"/>
              </w:rPr>
              <w:t>Ponadto p</w:t>
            </w:r>
            <w:r w:rsidRPr="009A43E0">
              <w:rPr>
                <w:rFonts w:ascii="Times New Roman" w:hAnsi="Times New Roman"/>
                <w:color w:val="000000"/>
              </w:rPr>
              <w:t>rojekt ustawy dookreśla dla aukcji w 2025 r. sposób obliczania liczby wydanych zaświadczeń o dopuszczeniu do aukcji oraz wniosków o wydanie zaświadczeń o dopuszczeniu do aukcji.</w:t>
            </w:r>
          </w:p>
          <w:p w14:paraId="418D6CDD" w14:textId="77777777" w:rsidR="00830ACC" w:rsidRPr="00E72FB9" w:rsidRDefault="00830ACC" w:rsidP="00E72FB9">
            <w:pPr>
              <w:pStyle w:val="Akapitzlist"/>
              <w:numPr>
                <w:ilvl w:val="0"/>
                <w:numId w:val="87"/>
              </w:numPr>
              <w:spacing w:after="120"/>
              <w:jc w:val="both"/>
              <w:rPr>
                <w:rFonts w:ascii="Times New Roman" w:hAnsi="Times New Roman"/>
                <w:color w:val="000000"/>
              </w:rPr>
            </w:pPr>
            <w:bookmarkStart w:id="13" w:name="_Hlk184992399"/>
            <w:bookmarkEnd w:id="12"/>
            <w:r w:rsidRPr="00E72FB9">
              <w:rPr>
                <w:rFonts w:ascii="Times New Roman" w:hAnsi="Times New Roman"/>
                <w:color w:val="000000"/>
              </w:rPr>
              <w:t>Umożliwienie obszarom z I fazy uczestniczenia w aukcjach w odniesieniu do niewykorzystanej mocy</w:t>
            </w:r>
          </w:p>
          <w:p w14:paraId="416ECBE7" w14:textId="09358CF3" w:rsidR="00830ACC" w:rsidRDefault="00830ACC" w:rsidP="00093E33">
            <w:pPr>
              <w:spacing w:after="120"/>
              <w:jc w:val="both"/>
              <w:rPr>
                <w:rFonts w:ascii="Times New Roman" w:hAnsi="Times New Roman"/>
                <w:color w:val="000000"/>
              </w:rPr>
            </w:pPr>
            <w:r w:rsidRPr="00DB7AC0">
              <w:rPr>
                <w:rFonts w:ascii="Times New Roman" w:hAnsi="Times New Roman"/>
                <w:color w:val="000000"/>
              </w:rPr>
              <w:lastRenderedPageBreak/>
              <w:t xml:space="preserve">W stosunku do niektórych obszarów z tzw. I fazy wsparcia, moc </w:t>
            </w:r>
            <w:r>
              <w:rPr>
                <w:rFonts w:ascii="Times New Roman" w:hAnsi="Times New Roman"/>
                <w:color w:val="000000"/>
              </w:rPr>
              <w:t>wskazana w decyzji lokalizacyjnej dla MFW</w:t>
            </w:r>
            <w:r w:rsidRPr="00DB7AC0">
              <w:rPr>
                <w:rFonts w:ascii="Times New Roman" w:hAnsi="Times New Roman"/>
                <w:color w:val="000000"/>
              </w:rPr>
              <w:t xml:space="preserve"> i wydanych warunk</w:t>
            </w:r>
            <w:r>
              <w:rPr>
                <w:rFonts w:ascii="Times New Roman" w:hAnsi="Times New Roman"/>
                <w:color w:val="000000"/>
              </w:rPr>
              <w:t>ach</w:t>
            </w:r>
            <w:r w:rsidRPr="00DB7AC0">
              <w:rPr>
                <w:rFonts w:ascii="Times New Roman" w:hAnsi="Times New Roman"/>
                <w:color w:val="000000"/>
              </w:rPr>
              <w:t xml:space="preserve"> przyłączenia może być wyższa niż moc, </w:t>
            </w:r>
            <w:r>
              <w:rPr>
                <w:rFonts w:ascii="Times New Roman" w:hAnsi="Times New Roman"/>
                <w:color w:val="000000"/>
              </w:rPr>
              <w:t xml:space="preserve">dla </w:t>
            </w:r>
            <w:r w:rsidRPr="00DB7AC0">
              <w:rPr>
                <w:rFonts w:ascii="Times New Roman" w:hAnsi="Times New Roman"/>
                <w:color w:val="000000"/>
              </w:rPr>
              <w:t xml:space="preserve">której przyznano wsparcie w ramach I fazy. Tym samym, chcąc efektywnie wykorzystać dostępne zasoby morskiej energetyki wiatrowej </w:t>
            </w:r>
            <w:r>
              <w:rPr>
                <w:rFonts w:ascii="Times New Roman" w:hAnsi="Times New Roman"/>
                <w:color w:val="000000"/>
              </w:rPr>
              <w:t>proponuje się</w:t>
            </w:r>
            <w:r w:rsidRPr="00DB7AC0">
              <w:rPr>
                <w:rFonts w:ascii="Times New Roman" w:hAnsi="Times New Roman"/>
                <w:color w:val="000000"/>
              </w:rPr>
              <w:t xml:space="preserve"> rozwiązanie, które umożliwi realizację dodatkowej mocy z danego obszaru.</w:t>
            </w:r>
          </w:p>
          <w:bookmarkEnd w:id="13"/>
          <w:p w14:paraId="26C38F9A" w14:textId="77777777" w:rsidR="00830ACC" w:rsidRPr="005E4639" w:rsidRDefault="00830ACC" w:rsidP="00093E33">
            <w:pPr>
              <w:spacing w:after="120"/>
              <w:jc w:val="both"/>
              <w:rPr>
                <w:rFonts w:ascii="Times New Roman" w:hAnsi="Times New Roman"/>
                <w:color w:val="000000"/>
              </w:rPr>
            </w:pPr>
            <w:r>
              <w:rPr>
                <w:rFonts w:ascii="Times New Roman" w:hAnsi="Times New Roman"/>
                <w:color w:val="000000"/>
              </w:rPr>
              <w:t>U</w:t>
            </w:r>
            <w:r w:rsidRPr="005E4639">
              <w:rPr>
                <w:rFonts w:ascii="Times New Roman" w:hAnsi="Times New Roman"/>
                <w:color w:val="000000"/>
              </w:rPr>
              <w:t xml:space="preserve">możliwienie udziału w aukcji projektów wykorzystujących dodatkową moc, niezagospodarowaną dotychczas w ramach tzw. I fazy wsparcia, </w:t>
            </w:r>
            <w:bookmarkStart w:id="14" w:name="_Hlk184992664"/>
            <w:r w:rsidRPr="005E4639">
              <w:rPr>
                <w:rFonts w:ascii="Times New Roman" w:hAnsi="Times New Roman"/>
                <w:color w:val="000000"/>
              </w:rPr>
              <w:t xml:space="preserve">zwiększy podaż projektów oraz szanse na przeprowadzenie skutecznej aukcji w 2025 r., a także poprawi konkurencyjność aukcji. </w:t>
            </w:r>
            <w:bookmarkEnd w:id="14"/>
            <w:r w:rsidRPr="005E4639">
              <w:rPr>
                <w:rFonts w:ascii="Times New Roman" w:hAnsi="Times New Roman"/>
                <w:color w:val="000000"/>
              </w:rPr>
              <w:t>Dodatkowo zaproponowane rozwiązanie maksymalizuje efektywność wykorzystania polskich obszarów morskich</w:t>
            </w:r>
            <w:r>
              <w:rPr>
                <w:rFonts w:ascii="Times New Roman" w:hAnsi="Times New Roman"/>
                <w:color w:val="000000"/>
              </w:rPr>
              <w:t>. Proponuje się następujące rozwiązania:</w:t>
            </w:r>
          </w:p>
          <w:p w14:paraId="3768C091" w14:textId="4952334D" w:rsidR="00830ACC" w:rsidRPr="005E4639" w:rsidRDefault="006B1732" w:rsidP="00093E33">
            <w:pPr>
              <w:pStyle w:val="Akapitzlist"/>
              <w:numPr>
                <w:ilvl w:val="0"/>
                <w:numId w:val="88"/>
              </w:numPr>
              <w:spacing w:after="120"/>
              <w:contextualSpacing w:val="0"/>
              <w:jc w:val="both"/>
              <w:rPr>
                <w:rFonts w:ascii="Times New Roman" w:hAnsi="Times New Roman"/>
                <w:color w:val="000000"/>
              </w:rPr>
            </w:pPr>
            <w:bookmarkStart w:id="15" w:name="_Hlk184986000"/>
            <w:r w:rsidRPr="006B1732">
              <w:rPr>
                <w:rFonts w:ascii="Times New Roman" w:hAnsi="Times New Roman"/>
                <w:color w:val="000000"/>
              </w:rPr>
              <w:t xml:space="preserve">moc zainstalowana elektryczna drugiej morskiej farmy wiatrowej nie może być większa niż różnica między maksymalną mocą zainstalowaną elektryczną wynikającą z </w:t>
            </w:r>
            <w:r>
              <w:rPr>
                <w:rFonts w:ascii="Times New Roman" w:hAnsi="Times New Roman"/>
                <w:color w:val="000000"/>
              </w:rPr>
              <w:t xml:space="preserve">PSZW </w:t>
            </w:r>
            <w:r w:rsidRPr="006B1732">
              <w:rPr>
                <w:rFonts w:ascii="Times New Roman" w:hAnsi="Times New Roman"/>
                <w:color w:val="000000"/>
              </w:rPr>
              <w:t>wydanego dla przedsięwzięcia zlokalizowanego w granicach danego obszaru określonego w załączniku nr 1 do ustawy, a mocą zainstalowaną elektryczną farmy</w:t>
            </w:r>
            <w:r>
              <w:rPr>
                <w:rFonts w:ascii="Times New Roman" w:hAnsi="Times New Roman"/>
                <w:color w:val="000000"/>
              </w:rPr>
              <w:t xml:space="preserve"> </w:t>
            </w:r>
            <w:r w:rsidRPr="006B1732">
              <w:rPr>
                <w:rFonts w:ascii="Times New Roman" w:hAnsi="Times New Roman"/>
                <w:color w:val="000000"/>
              </w:rPr>
              <w:t xml:space="preserve">zlokalizowanej w granicach obszaru określonego w załączniku nr 1, dla której wytwórca uzyskał prawo do pokrycia ujemnego salda </w:t>
            </w:r>
            <w:r>
              <w:rPr>
                <w:rFonts w:ascii="Times New Roman" w:hAnsi="Times New Roman"/>
                <w:color w:val="000000"/>
              </w:rPr>
              <w:t>w ramach I fazy wsparcia</w:t>
            </w:r>
            <w:bookmarkEnd w:id="15"/>
            <w:r>
              <w:rPr>
                <w:rFonts w:ascii="Times New Roman" w:hAnsi="Times New Roman"/>
                <w:color w:val="000000"/>
              </w:rPr>
              <w:t>,</w:t>
            </w:r>
          </w:p>
          <w:p w14:paraId="48B0484D" w14:textId="6212E667" w:rsidR="00830ACC" w:rsidRPr="005E4639" w:rsidRDefault="00830ACC" w:rsidP="00093E33">
            <w:pPr>
              <w:pStyle w:val="Akapitzlist"/>
              <w:numPr>
                <w:ilvl w:val="0"/>
                <w:numId w:val="88"/>
              </w:numPr>
              <w:spacing w:after="120"/>
              <w:contextualSpacing w:val="0"/>
              <w:jc w:val="both"/>
              <w:rPr>
                <w:rFonts w:ascii="Times New Roman" w:hAnsi="Times New Roman"/>
                <w:color w:val="000000"/>
              </w:rPr>
            </w:pPr>
            <w:r w:rsidRPr="005E4639">
              <w:rPr>
                <w:rFonts w:ascii="Times New Roman" w:hAnsi="Times New Roman"/>
                <w:color w:val="000000"/>
              </w:rPr>
              <w:t>warunki przyłączenia</w:t>
            </w:r>
            <w:r w:rsidR="002D78F2">
              <w:rPr>
                <w:rFonts w:ascii="Times New Roman" w:hAnsi="Times New Roman"/>
                <w:color w:val="000000"/>
              </w:rPr>
              <w:t>,</w:t>
            </w:r>
            <w:r w:rsidRPr="005E4639">
              <w:rPr>
                <w:rFonts w:ascii="Times New Roman" w:hAnsi="Times New Roman"/>
                <w:color w:val="000000"/>
              </w:rPr>
              <w:t xml:space="preserve"> wydane dla tej mocy na podstawie oświadczenia z art. 48 ustawy</w:t>
            </w:r>
            <w:r w:rsidR="002D78F2">
              <w:rPr>
                <w:rFonts w:ascii="Times New Roman" w:hAnsi="Times New Roman"/>
                <w:color w:val="000000"/>
              </w:rPr>
              <w:t xml:space="preserve"> offshore wind,</w:t>
            </w:r>
            <w:r w:rsidRPr="005E4639">
              <w:rPr>
                <w:rFonts w:ascii="Times New Roman" w:hAnsi="Times New Roman"/>
                <w:color w:val="000000"/>
              </w:rPr>
              <w:t xml:space="preserve"> </w:t>
            </w:r>
            <w:r w:rsidR="009A43E0">
              <w:rPr>
                <w:rFonts w:ascii="Times New Roman" w:hAnsi="Times New Roman"/>
                <w:color w:val="000000"/>
              </w:rPr>
              <w:t>muszą ulec zmianie</w:t>
            </w:r>
            <w:r w:rsidRPr="005E4639">
              <w:rPr>
                <w:rFonts w:ascii="Times New Roman" w:hAnsi="Times New Roman"/>
                <w:color w:val="000000"/>
              </w:rPr>
              <w:t xml:space="preserve"> we wstępne warunki przyłączenia, </w:t>
            </w:r>
          </w:p>
          <w:p w14:paraId="2DD292B5" w14:textId="77777777" w:rsidR="00830ACC" w:rsidRDefault="00830ACC" w:rsidP="00093E33">
            <w:pPr>
              <w:pStyle w:val="Akapitzlist"/>
              <w:numPr>
                <w:ilvl w:val="0"/>
                <w:numId w:val="88"/>
              </w:numPr>
              <w:spacing w:after="120"/>
              <w:contextualSpacing w:val="0"/>
              <w:jc w:val="both"/>
              <w:rPr>
                <w:rFonts w:ascii="Times New Roman" w:hAnsi="Times New Roman"/>
                <w:color w:val="000000"/>
              </w:rPr>
            </w:pPr>
            <w:r w:rsidRPr="0078055E">
              <w:rPr>
                <w:rFonts w:ascii="Times New Roman" w:hAnsi="Times New Roman"/>
                <w:color w:val="000000"/>
              </w:rPr>
              <w:t>w celu uniknięcia sytuacji, w której moc z tzw. I fazy mogłaby „skonsumować” w aukcji moc zaplanowaną dla II fazy, ograniczono do 200 MW sumaryczną moc projektów z obszarów objętych załącznikiem nr 1 do ustawy</w:t>
            </w:r>
            <w:r>
              <w:rPr>
                <w:rFonts w:ascii="Times New Roman" w:hAnsi="Times New Roman"/>
                <w:color w:val="000000"/>
              </w:rPr>
              <w:t xml:space="preserve"> offshore wind</w:t>
            </w:r>
            <w:r w:rsidRPr="0078055E">
              <w:rPr>
                <w:rFonts w:ascii="Times New Roman" w:hAnsi="Times New Roman"/>
                <w:color w:val="000000"/>
              </w:rPr>
              <w:t>, w stosunku do której przyznane może zostać wsparcie w drodze aukcji.</w:t>
            </w:r>
          </w:p>
          <w:p w14:paraId="42DAF121" w14:textId="0A1DE559" w:rsidR="00830ACC" w:rsidRDefault="00830ACC" w:rsidP="00093E33">
            <w:pPr>
              <w:pStyle w:val="Akapitzlist"/>
              <w:numPr>
                <w:ilvl w:val="0"/>
                <w:numId w:val="87"/>
              </w:numPr>
              <w:spacing w:after="120"/>
              <w:contextualSpacing w:val="0"/>
              <w:jc w:val="both"/>
              <w:rPr>
                <w:rFonts w:ascii="Times New Roman" w:hAnsi="Times New Roman"/>
                <w:color w:val="000000"/>
              </w:rPr>
            </w:pPr>
            <w:bookmarkStart w:id="16" w:name="_Hlk184993657"/>
            <w:r w:rsidRPr="00F7010F">
              <w:rPr>
                <w:rFonts w:ascii="Times New Roman" w:hAnsi="Times New Roman"/>
                <w:color w:val="000000"/>
              </w:rPr>
              <w:t>Umożliwienie</w:t>
            </w:r>
            <w:r>
              <w:rPr>
                <w:rFonts w:ascii="Times New Roman" w:hAnsi="Times New Roman"/>
                <w:color w:val="000000"/>
              </w:rPr>
              <w:t xml:space="preserve"> złożenia dwóch oddzielnych ofert aukcyjnych dla</w:t>
            </w:r>
            <w:r w:rsidRPr="00F7010F">
              <w:rPr>
                <w:rFonts w:ascii="Times New Roman" w:hAnsi="Times New Roman"/>
                <w:color w:val="000000"/>
              </w:rPr>
              <w:t xml:space="preserve"> dwóch </w:t>
            </w:r>
            <w:r w:rsidR="00597CC0">
              <w:rPr>
                <w:rFonts w:ascii="Times New Roman" w:hAnsi="Times New Roman"/>
                <w:color w:val="000000"/>
              </w:rPr>
              <w:t>MFW</w:t>
            </w:r>
            <w:r w:rsidRPr="00F7010F">
              <w:rPr>
                <w:rFonts w:ascii="Times New Roman" w:hAnsi="Times New Roman"/>
                <w:color w:val="000000"/>
              </w:rPr>
              <w:t xml:space="preserve"> zlokalizowanych w granicach tego samego obszaru </w:t>
            </w:r>
            <w:r>
              <w:rPr>
                <w:rFonts w:ascii="Times New Roman" w:hAnsi="Times New Roman"/>
                <w:color w:val="000000"/>
              </w:rPr>
              <w:t>wskazanego w załączniku 2 do ustawy offshore wind</w:t>
            </w:r>
            <w:r w:rsidRPr="00F7010F">
              <w:rPr>
                <w:rFonts w:ascii="Times New Roman" w:hAnsi="Times New Roman"/>
                <w:color w:val="000000"/>
              </w:rPr>
              <w:t xml:space="preserve"> pod warunkiem posiadania osobnego wyprowadzenia mocy</w:t>
            </w:r>
          </w:p>
          <w:bookmarkEnd w:id="16"/>
          <w:p w14:paraId="0346A077" w14:textId="2A5B46CD" w:rsidR="00830ACC" w:rsidRDefault="00830ACC" w:rsidP="00093E33">
            <w:pPr>
              <w:spacing w:after="120"/>
              <w:jc w:val="both"/>
              <w:rPr>
                <w:rFonts w:ascii="Times New Roman" w:hAnsi="Times New Roman"/>
                <w:color w:val="000000"/>
              </w:rPr>
            </w:pPr>
            <w:r w:rsidRPr="00F7010F">
              <w:rPr>
                <w:rFonts w:ascii="Times New Roman" w:hAnsi="Times New Roman"/>
                <w:color w:val="000000"/>
              </w:rPr>
              <w:t xml:space="preserve">Umożliwienie projektom z tzw. II fazy przedstawienia ofert aukcyjnych </w:t>
            </w:r>
            <w:r>
              <w:rPr>
                <w:rFonts w:ascii="Times New Roman" w:hAnsi="Times New Roman"/>
                <w:color w:val="000000"/>
              </w:rPr>
              <w:t xml:space="preserve">dla dwóch farm wiatrowych zlokalizowanych na tym samym obszarze </w:t>
            </w:r>
            <w:r w:rsidRPr="00F7010F">
              <w:rPr>
                <w:rFonts w:ascii="Times New Roman" w:hAnsi="Times New Roman"/>
                <w:color w:val="000000"/>
              </w:rPr>
              <w:t>stanowi rozwiązanie zwiększające podaż ofert aukcyjnych, a tym samym zwiększa prawdopodobieństwo skutecznego rozstrzygnięcia aukcji.</w:t>
            </w:r>
            <w:r>
              <w:rPr>
                <w:rFonts w:ascii="Times New Roman" w:hAnsi="Times New Roman"/>
                <w:color w:val="000000"/>
              </w:rPr>
              <w:t xml:space="preserve"> </w:t>
            </w:r>
            <w:r w:rsidRPr="00F7010F">
              <w:rPr>
                <w:rFonts w:ascii="Times New Roman" w:hAnsi="Times New Roman"/>
                <w:color w:val="000000"/>
              </w:rPr>
              <w:t>W takim przypadku w ramach jednego obszaru funkcjonowałyby de facto dwie farmy wiatrowe, a każda z nich musiałaby posiadać osobne wyprowadzenie mocy</w:t>
            </w:r>
            <w:r w:rsidR="009A43E0">
              <w:rPr>
                <w:rFonts w:ascii="Times New Roman" w:hAnsi="Times New Roman"/>
                <w:color w:val="000000"/>
              </w:rPr>
              <w:t>, jeśli ich oferty wygrałyby w ramach tej samej aukcji</w:t>
            </w:r>
            <w:r w:rsidRPr="00F7010F">
              <w:rPr>
                <w:rFonts w:ascii="Times New Roman" w:hAnsi="Times New Roman"/>
                <w:color w:val="000000"/>
              </w:rPr>
              <w:t xml:space="preserve">. </w:t>
            </w:r>
          </w:p>
          <w:p w14:paraId="7170EDF9" w14:textId="364C6C01" w:rsidR="0081624E" w:rsidRPr="00F7010F" w:rsidRDefault="0081624E" w:rsidP="00093E33">
            <w:pPr>
              <w:spacing w:after="120"/>
              <w:jc w:val="both"/>
              <w:rPr>
                <w:rFonts w:ascii="Times New Roman" w:hAnsi="Times New Roman"/>
                <w:color w:val="000000"/>
              </w:rPr>
            </w:pPr>
            <w:r w:rsidRPr="0081624E">
              <w:rPr>
                <w:rFonts w:ascii="Times New Roman" w:hAnsi="Times New Roman"/>
                <w:color w:val="000000"/>
              </w:rPr>
              <w:t xml:space="preserve">W tej sytuacji sumaryczna moc zainstalowana obu MFW nie będzie mogła przekraczać maksymalnej mocy zainstalowanej wynikającej z PSZW wydanego dla przedsięwzięcia zlokalizowanego w granicach danego obszaru określonego </w:t>
            </w:r>
            <w:r w:rsidR="009714CD" w:rsidRPr="0081624E">
              <w:rPr>
                <w:rFonts w:ascii="Times New Roman" w:hAnsi="Times New Roman"/>
                <w:color w:val="000000"/>
              </w:rPr>
              <w:t>w</w:t>
            </w:r>
            <w:r w:rsidR="009714CD">
              <w:rPr>
                <w:rFonts w:ascii="Times New Roman" w:hAnsi="Times New Roman"/>
                <w:color w:val="000000"/>
              </w:rPr>
              <w:t> </w:t>
            </w:r>
            <w:r w:rsidRPr="0081624E">
              <w:rPr>
                <w:rFonts w:ascii="Times New Roman" w:hAnsi="Times New Roman"/>
                <w:color w:val="000000"/>
              </w:rPr>
              <w:t>załączniku nr 2 do ustawy. Dodatkowym warunkiem będzie wymóg dotyczący mocy zainstalowanej mniejszej morskiej farmy wiatrowej. Nie będzie ona mogła być mniejsza niż 25% maksymalnej mocy zainstalowanej wynikającej z PSZW. Powyższe rozwiązanie zapewni przestrzeganie wcześniej ustalonych wymagań lokalizacyjnych dla danej inwestycji oraz brak rozdrobnienia w zakresie MFW, co przy obowiązku oddzielnego wyprowadzenia mocy stanowi gwarancję rzeczywistej realizacji całego przedsięwzięcia.</w:t>
            </w:r>
          </w:p>
          <w:p w14:paraId="13F1BA35" w14:textId="77777777" w:rsidR="00830ACC" w:rsidRDefault="00830ACC" w:rsidP="00093E33">
            <w:pPr>
              <w:spacing w:after="120"/>
              <w:jc w:val="both"/>
              <w:rPr>
                <w:rFonts w:ascii="Times New Roman" w:hAnsi="Times New Roman"/>
                <w:color w:val="000000"/>
              </w:rPr>
            </w:pPr>
            <w:r w:rsidRPr="00F7010F">
              <w:rPr>
                <w:rFonts w:ascii="Times New Roman" w:hAnsi="Times New Roman"/>
                <w:color w:val="000000"/>
              </w:rPr>
              <w:t xml:space="preserve">Część obszarów z Załącznika 2 charakteryzuje się znaczącym potencjałem mocy zainstalowanej. Dodatkowo, część z nich znajduje się w znacznej odległości od punktu przyłączenia, co uzasadnia zastosowanie wyprowadzenia mocy w technologii prądu stałego (HVDC). Z perspektywy Krajowej Sieci Elektroenergetycznej korzystny jest podział znaczących mocy zainstalowanych na mniejsze części, co może jednak nie być możliwe w przypadku HVDC – w szczególności w technologii tzw. single monopole. </w:t>
            </w:r>
            <w:r>
              <w:rPr>
                <w:rFonts w:ascii="Times New Roman" w:hAnsi="Times New Roman"/>
                <w:color w:val="000000"/>
              </w:rPr>
              <w:t xml:space="preserve">Podział obszaru na dwie farmy wprowadzi </w:t>
            </w:r>
            <w:r w:rsidRPr="00F7010F">
              <w:rPr>
                <w:rFonts w:ascii="Times New Roman" w:hAnsi="Times New Roman"/>
                <w:color w:val="000000"/>
              </w:rPr>
              <w:t xml:space="preserve">zachętę do obniżania pojedynczej mocy przyłączeniowej jednej farmy. </w:t>
            </w:r>
          </w:p>
          <w:p w14:paraId="68738637" w14:textId="77777777" w:rsidR="00830ACC" w:rsidRDefault="00830ACC" w:rsidP="00093E33">
            <w:pPr>
              <w:spacing w:after="120"/>
              <w:jc w:val="both"/>
              <w:rPr>
                <w:rFonts w:ascii="Times New Roman" w:hAnsi="Times New Roman"/>
                <w:color w:val="000000"/>
              </w:rPr>
            </w:pPr>
            <w:r>
              <w:rPr>
                <w:rFonts w:ascii="Times New Roman" w:hAnsi="Times New Roman"/>
                <w:color w:val="000000"/>
              </w:rPr>
              <w:t xml:space="preserve">Dodatkowo </w:t>
            </w:r>
            <w:r w:rsidRPr="00F7010F">
              <w:rPr>
                <w:rFonts w:ascii="Times New Roman" w:hAnsi="Times New Roman"/>
                <w:color w:val="000000"/>
              </w:rPr>
              <w:t>zdefiniowani</w:t>
            </w:r>
            <w:r>
              <w:rPr>
                <w:rFonts w:ascii="Times New Roman" w:hAnsi="Times New Roman"/>
                <w:color w:val="000000"/>
              </w:rPr>
              <w:t>e</w:t>
            </w:r>
            <w:r w:rsidRPr="00F7010F">
              <w:rPr>
                <w:rFonts w:ascii="Times New Roman" w:hAnsi="Times New Roman"/>
                <w:color w:val="000000"/>
              </w:rPr>
              <w:t xml:space="preserve"> </w:t>
            </w:r>
            <w:r>
              <w:rPr>
                <w:rFonts w:ascii="Times New Roman" w:hAnsi="Times New Roman"/>
                <w:color w:val="000000"/>
              </w:rPr>
              <w:t xml:space="preserve">możliwości podziału obszaru na </w:t>
            </w:r>
            <w:r w:rsidRPr="00F7010F">
              <w:rPr>
                <w:rFonts w:ascii="Times New Roman" w:hAnsi="Times New Roman"/>
                <w:color w:val="000000"/>
              </w:rPr>
              <w:t>maksymalnie dw</w:t>
            </w:r>
            <w:r>
              <w:rPr>
                <w:rFonts w:ascii="Times New Roman" w:hAnsi="Times New Roman"/>
                <w:color w:val="000000"/>
              </w:rPr>
              <w:t>a</w:t>
            </w:r>
            <w:r w:rsidRPr="00F7010F">
              <w:rPr>
                <w:rFonts w:ascii="Times New Roman" w:hAnsi="Times New Roman"/>
                <w:color w:val="000000"/>
              </w:rPr>
              <w:t xml:space="preserve"> projekt</w:t>
            </w:r>
            <w:r>
              <w:rPr>
                <w:rFonts w:ascii="Times New Roman" w:hAnsi="Times New Roman"/>
                <w:color w:val="000000"/>
              </w:rPr>
              <w:t>y morskich farm ma zapobiec dzieleniu lokalizacji na nieadekwatnie dużą ilość obszarów, a co za tym idzie ofert aukcyjnych</w:t>
            </w:r>
            <w:r w:rsidRPr="00F7010F">
              <w:rPr>
                <w:rFonts w:ascii="Times New Roman" w:hAnsi="Times New Roman"/>
                <w:color w:val="000000"/>
              </w:rPr>
              <w:t>.</w:t>
            </w:r>
          </w:p>
          <w:p w14:paraId="5B0FAD61" w14:textId="77777777" w:rsidR="00830ACC" w:rsidRDefault="00830ACC" w:rsidP="00093E33">
            <w:pPr>
              <w:spacing w:after="120"/>
              <w:jc w:val="both"/>
              <w:rPr>
                <w:rFonts w:ascii="Times New Roman" w:hAnsi="Times New Roman"/>
                <w:color w:val="000000"/>
              </w:rPr>
            </w:pPr>
            <w:r>
              <w:rPr>
                <w:rFonts w:ascii="Times New Roman" w:hAnsi="Times New Roman"/>
                <w:color w:val="000000"/>
              </w:rPr>
              <w:t xml:space="preserve">Oddzielne wprowadzenie mocy dla każdej z farm zlokalizowanych w ramach jednego obszaru ma na celu zapewnienie odpowiedniego rozzielenia </w:t>
            </w:r>
            <w:r w:rsidRPr="008411E5">
              <w:rPr>
                <w:rFonts w:ascii="Times New Roman" w:hAnsi="Times New Roman"/>
                <w:color w:val="000000"/>
              </w:rPr>
              <w:t>energii produkowanej przez obie farmy na podstawie specjalnych urządzeń pomiarowych</w:t>
            </w:r>
            <w:r>
              <w:rPr>
                <w:rFonts w:ascii="Times New Roman" w:hAnsi="Times New Roman"/>
                <w:color w:val="000000"/>
              </w:rPr>
              <w:t>.</w:t>
            </w:r>
          </w:p>
          <w:p w14:paraId="585D12AB" w14:textId="1A34CFFB" w:rsidR="00A35592" w:rsidRDefault="00E207E3" w:rsidP="00093E33">
            <w:pPr>
              <w:pStyle w:val="Akapitzlist"/>
              <w:numPr>
                <w:ilvl w:val="0"/>
                <w:numId w:val="87"/>
              </w:numPr>
              <w:spacing w:after="120"/>
              <w:contextualSpacing w:val="0"/>
              <w:jc w:val="both"/>
              <w:rPr>
                <w:rFonts w:ascii="Times New Roman" w:hAnsi="Times New Roman"/>
                <w:bCs/>
                <w:color w:val="000000"/>
              </w:rPr>
            </w:pPr>
            <w:r>
              <w:rPr>
                <w:rFonts w:ascii="Times New Roman" w:hAnsi="Times New Roman"/>
                <w:bCs/>
                <w:color w:val="000000"/>
              </w:rPr>
              <w:t>Dostosowanie przepisów do</w:t>
            </w:r>
            <w:r w:rsidRPr="00E207E3">
              <w:rPr>
                <w:rFonts w:ascii="Times New Roman" w:hAnsi="Times New Roman"/>
                <w:bCs/>
                <w:color w:val="000000"/>
              </w:rPr>
              <w:t xml:space="preserve"> rozliczania ujemnego salda w całości lub części w euro</w:t>
            </w:r>
          </w:p>
          <w:p w14:paraId="6CCD3A9B" w14:textId="77777777" w:rsidR="0048130F" w:rsidRDefault="00E207E3" w:rsidP="00093E33">
            <w:pPr>
              <w:spacing w:after="120"/>
              <w:jc w:val="both"/>
              <w:rPr>
                <w:rFonts w:ascii="Times New Roman" w:hAnsi="Times New Roman"/>
                <w:bCs/>
                <w:color w:val="000000"/>
              </w:rPr>
            </w:pPr>
            <w:bookmarkStart w:id="17" w:name="_Hlk184999301"/>
            <w:r>
              <w:rPr>
                <w:rFonts w:ascii="Times New Roman" w:hAnsi="Times New Roman"/>
                <w:bCs/>
                <w:color w:val="000000"/>
              </w:rPr>
              <w:t xml:space="preserve">Ustawodawca w ustawie offshore wind przewidział możliwość </w:t>
            </w:r>
            <w:r w:rsidRPr="00E207E3">
              <w:rPr>
                <w:rFonts w:ascii="Times New Roman" w:hAnsi="Times New Roman"/>
                <w:bCs/>
                <w:color w:val="000000"/>
              </w:rPr>
              <w:t>rozliczania ujemnego salda</w:t>
            </w:r>
            <w:r>
              <w:rPr>
                <w:rFonts w:ascii="Times New Roman" w:hAnsi="Times New Roman"/>
                <w:bCs/>
                <w:color w:val="000000"/>
              </w:rPr>
              <w:t xml:space="preserve"> </w:t>
            </w:r>
            <w:r w:rsidRPr="00E207E3">
              <w:rPr>
                <w:rFonts w:ascii="Times New Roman" w:hAnsi="Times New Roman"/>
                <w:bCs/>
                <w:color w:val="000000"/>
              </w:rPr>
              <w:t>przy wykorzystaniu ceny maksymalnej wyrażonej w całości lub części w euro</w:t>
            </w:r>
            <w:r w:rsidR="0048130F">
              <w:rPr>
                <w:rFonts w:ascii="Times New Roman" w:hAnsi="Times New Roman"/>
                <w:bCs/>
                <w:color w:val="000000"/>
              </w:rPr>
              <w:t xml:space="preserve"> zarówno dla projektów realizowanych w I fazie systemu wsparcia, jak i w fazie aukcyjnej</w:t>
            </w:r>
            <w:r w:rsidRPr="00E207E3">
              <w:rPr>
                <w:rFonts w:ascii="Times New Roman" w:hAnsi="Times New Roman"/>
                <w:bCs/>
                <w:color w:val="000000"/>
              </w:rPr>
              <w:t>.</w:t>
            </w:r>
            <w:r>
              <w:rPr>
                <w:rFonts w:ascii="Times New Roman" w:hAnsi="Times New Roman"/>
                <w:bCs/>
                <w:color w:val="000000"/>
              </w:rPr>
              <w:t xml:space="preserve"> </w:t>
            </w:r>
          </w:p>
          <w:p w14:paraId="671A09FE" w14:textId="21837D1E" w:rsidR="00E207E3" w:rsidRDefault="00E207E3" w:rsidP="00093E33">
            <w:pPr>
              <w:spacing w:after="120"/>
              <w:jc w:val="both"/>
              <w:rPr>
                <w:rFonts w:ascii="Times New Roman" w:hAnsi="Times New Roman"/>
                <w:bCs/>
                <w:color w:val="000000"/>
              </w:rPr>
            </w:pPr>
            <w:r>
              <w:rPr>
                <w:rFonts w:ascii="Times New Roman" w:hAnsi="Times New Roman"/>
                <w:bCs/>
                <w:color w:val="000000"/>
              </w:rPr>
              <w:lastRenderedPageBreak/>
              <w:t xml:space="preserve">Dla </w:t>
            </w:r>
            <w:r w:rsidR="0048130F">
              <w:rPr>
                <w:rFonts w:ascii="Times New Roman" w:hAnsi="Times New Roman"/>
                <w:bCs/>
                <w:color w:val="000000"/>
              </w:rPr>
              <w:t>projektów</w:t>
            </w:r>
            <w:r>
              <w:rPr>
                <w:rFonts w:ascii="Times New Roman" w:hAnsi="Times New Roman"/>
                <w:bCs/>
                <w:color w:val="000000"/>
              </w:rPr>
              <w:t xml:space="preserve"> I fazy systemu wsparcia</w:t>
            </w:r>
            <w:r w:rsidR="0048130F">
              <w:rPr>
                <w:rFonts w:ascii="Times New Roman" w:hAnsi="Times New Roman"/>
                <w:bCs/>
                <w:color w:val="000000"/>
              </w:rPr>
              <w:t>,</w:t>
            </w:r>
            <w:r>
              <w:rPr>
                <w:rFonts w:ascii="Times New Roman" w:hAnsi="Times New Roman"/>
                <w:bCs/>
                <w:color w:val="000000"/>
              </w:rPr>
              <w:t xml:space="preserve"> na potrzeby tego rozliczenia</w:t>
            </w:r>
            <w:r w:rsidR="0048130F">
              <w:rPr>
                <w:rFonts w:ascii="Times New Roman" w:hAnsi="Times New Roman"/>
                <w:bCs/>
                <w:color w:val="000000"/>
              </w:rPr>
              <w:t>,</w:t>
            </w:r>
            <w:r>
              <w:rPr>
                <w:rFonts w:ascii="Times New Roman" w:hAnsi="Times New Roman"/>
                <w:bCs/>
                <w:color w:val="000000"/>
              </w:rPr>
              <w:t xml:space="preserve"> w ustawie offshore wind zawarto delegację ustawową do wydania obwieszczenia</w:t>
            </w:r>
            <w:r w:rsidR="0058039C">
              <w:rPr>
                <w:rFonts w:ascii="Times New Roman" w:hAnsi="Times New Roman"/>
                <w:bCs/>
                <w:color w:val="000000"/>
              </w:rPr>
              <w:t>,</w:t>
            </w:r>
            <w:r>
              <w:rPr>
                <w:rFonts w:ascii="Times New Roman" w:hAnsi="Times New Roman"/>
                <w:bCs/>
                <w:color w:val="000000"/>
              </w:rPr>
              <w:t xml:space="preserve"> w którym ogłasza się </w:t>
            </w:r>
            <w:r w:rsidRPr="00E207E3">
              <w:rPr>
                <w:rFonts w:ascii="Times New Roman" w:hAnsi="Times New Roman"/>
                <w:bCs/>
                <w:color w:val="000000"/>
              </w:rPr>
              <w:t>kurs wymiany euro, przyjęty do obliczenia ceny maksymalnej określonej w przepisach wykonawczych wydanych na podstawie art. 25 ust. 2</w:t>
            </w:r>
            <w:r>
              <w:rPr>
                <w:rFonts w:ascii="Times New Roman" w:hAnsi="Times New Roman"/>
                <w:bCs/>
                <w:color w:val="000000"/>
              </w:rPr>
              <w:t xml:space="preserve"> ustawy offshore. Obowiązująca regulacja nie zawiera tożsamej delegacji dla aukcyjnej fazy systemu wsparcia. Należy więc zniwelować tę lukę prawną.</w:t>
            </w:r>
          </w:p>
          <w:p w14:paraId="7BEB76AB" w14:textId="5BE553FD" w:rsidR="0048130F" w:rsidRDefault="0048130F" w:rsidP="00093E33">
            <w:pPr>
              <w:pStyle w:val="Akapitzlist"/>
              <w:numPr>
                <w:ilvl w:val="0"/>
                <w:numId w:val="87"/>
              </w:numPr>
              <w:spacing w:after="120"/>
              <w:contextualSpacing w:val="0"/>
              <w:jc w:val="both"/>
              <w:rPr>
                <w:rFonts w:ascii="Times New Roman" w:hAnsi="Times New Roman"/>
                <w:bCs/>
                <w:color w:val="000000"/>
              </w:rPr>
            </w:pPr>
            <w:bookmarkStart w:id="18" w:name="_Hlk185240294"/>
            <w:bookmarkEnd w:id="17"/>
            <w:r>
              <w:rPr>
                <w:rFonts w:ascii="Times New Roman" w:hAnsi="Times New Roman"/>
                <w:bCs/>
                <w:color w:val="000000"/>
              </w:rPr>
              <w:t xml:space="preserve">Zmiana sposobu waloryzacji wsparcia w przypadku </w:t>
            </w:r>
            <w:r w:rsidRPr="0048130F">
              <w:rPr>
                <w:rFonts w:ascii="Times New Roman" w:hAnsi="Times New Roman"/>
                <w:bCs/>
                <w:color w:val="000000"/>
              </w:rPr>
              <w:t xml:space="preserve">przyznania prawa do pokrycia ujemnego salda na zasadach określonych w rozdziale </w:t>
            </w:r>
            <w:bookmarkEnd w:id="18"/>
            <w:r w:rsidRPr="0048130F">
              <w:rPr>
                <w:rFonts w:ascii="Times New Roman" w:hAnsi="Times New Roman"/>
                <w:bCs/>
                <w:color w:val="000000"/>
              </w:rPr>
              <w:t>4</w:t>
            </w:r>
          </w:p>
          <w:p w14:paraId="4AAAFAB5" w14:textId="07D3EF40" w:rsidR="0048130F" w:rsidRDefault="0048130F" w:rsidP="00093E33">
            <w:pPr>
              <w:spacing w:after="120"/>
              <w:jc w:val="both"/>
              <w:rPr>
                <w:rFonts w:ascii="Times New Roman" w:hAnsi="Times New Roman"/>
                <w:bCs/>
                <w:color w:val="000000"/>
              </w:rPr>
            </w:pPr>
            <w:bookmarkStart w:id="19" w:name="_Hlk185000783"/>
            <w:r>
              <w:rPr>
                <w:rFonts w:ascii="Times New Roman" w:hAnsi="Times New Roman"/>
                <w:bCs/>
                <w:color w:val="000000"/>
              </w:rPr>
              <w:t xml:space="preserve">Obecne przepisy ustawy offshore wind przewidują, że wsparcie przyznane uczestnikowi aukcji </w:t>
            </w:r>
            <w:r w:rsidRPr="0048130F">
              <w:rPr>
                <w:rFonts w:ascii="Times New Roman" w:hAnsi="Times New Roman"/>
                <w:bCs/>
                <w:color w:val="000000"/>
              </w:rPr>
              <w:t>podleg</w:t>
            </w:r>
            <w:r>
              <w:rPr>
                <w:rFonts w:ascii="Times New Roman" w:hAnsi="Times New Roman"/>
                <w:bCs/>
                <w:color w:val="000000"/>
              </w:rPr>
              <w:t>a</w:t>
            </w:r>
            <w:r w:rsidRPr="0048130F">
              <w:rPr>
                <w:rFonts w:ascii="Times New Roman" w:hAnsi="Times New Roman"/>
                <w:bCs/>
                <w:color w:val="000000"/>
              </w:rPr>
              <w:t xml:space="preserve"> corocznej waloryzacji średniorocznym wskaźnikiem cen towarów i usług konsumpcyjnych ogółem z poprzedniego roku kalendarzowego, określonym w komunikacie Prezesa Głównego Urzędu Statystycznego, ogłoszonym w Dzienniku Urzędowym Rzeczypospolitej Polskiej ,,Monitor Polski'</w:t>
            </w:r>
            <w:r w:rsidR="008A3D69">
              <w:rPr>
                <w:rFonts w:ascii="Times New Roman" w:hAnsi="Times New Roman"/>
                <w:bCs/>
                <w:color w:val="000000"/>
              </w:rPr>
              <w:t>”</w:t>
            </w:r>
            <w:r w:rsidRPr="0048130F">
              <w:rPr>
                <w:rFonts w:ascii="Times New Roman" w:hAnsi="Times New Roman"/>
                <w:bCs/>
                <w:color w:val="000000"/>
              </w:rPr>
              <w:t>, począwszy od</w:t>
            </w:r>
            <w:r>
              <w:rPr>
                <w:rFonts w:ascii="Times New Roman" w:hAnsi="Times New Roman"/>
                <w:bCs/>
                <w:color w:val="000000"/>
              </w:rPr>
              <w:t xml:space="preserve"> </w:t>
            </w:r>
            <w:r w:rsidRPr="0048130F">
              <w:rPr>
                <w:rFonts w:ascii="Times New Roman" w:hAnsi="Times New Roman"/>
                <w:bCs/>
                <w:color w:val="000000"/>
              </w:rPr>
              <w:t>roku następującego po roku rozstrzygnięcia aukcji</w:t>
            </w:r>
            <w:bookmarkEnd w:id="19"/>
            <w:r>
              <w:rPr>
                <w:rFonts w:ascii="Times New Roman" w:hAnsi="Times New Roman"/>
                <w:bCs/>
                <w:color w:val="000000"/>
              </w:rPr>
              <w:t>.</w:t>
            </w:r>
          </w:p>
          <w:p w14:paraId="448643DA" w14:textId="77777777" w:rsidR="00957EEB" w:rsidRDefault="006172DA" w:rsidP="00336BF8">
            <w:pPr>
              <w:spacing w:after="120"/>
              <w:jc w:val="both"/>
              <w:rPr>
                <w:rFonts w:ascii="Times New Roman" w:hAnsi="Times New Roman"/>
                <w:bCs/>
                <w:color w:val="000000"/>
              </w:rPr>
            </w:pPr>
            <w:r>
              <w:rPr>
                <w:rFonts w:ascii="Times New Roman" w:hAnsi="Times New Roman"/>
                <w:bCs/>
                <w:color w:val="000000"/>
              </w:rPr>
              <w:t xml:space="preserve">Indeksacja wsparcia </w:t>
            </w:r>
            <w:r w:rsidRPr="006172DA">
              <w:rPr>
                <w:rFonts w:ascii="Times New Roman" w:hAnsi="Times New Roman"/>
                <w:bCs/>
                <w:color w:val="000000"/>
              </w:rPr>
              <w:t>średniorocznym wskaźnikiem cen towarów i usług konsumpcyjnych ogółem z poprzedniego roku kalendarzowego</w:t>
            </w:r>
            <w:r>
              <w:rPr>
                <w:rFonts w:ascii="Times New Roman" w:hAnsi="Times New Roman"/>
                <w:bCs/>
                <w:color w:val="000000"/>
              </w:rPr>
              <w:t xml:space="preserve"> </w:t>
            </w:r>
            <w:bookmarkStart w:id="20" w:name="_Hlk185000912"/>
            <w:r w:rsidR="0079314E">
              <w:rPr>
                <w:rFonts w:ascii="Times New Roman" w:hAnsi="Times New Roman"/>
                <w:bCs/>
                <w:color w:val="000000"/>
              </w:rPr>
              <w:t>jest problematyczna z punktu widzenia długofalowej przewidywalności przepływów pieniężnych MFW oraz może być potencjalnie nie</w:t>
            </w:r>
            <w:r>
              <w:rPr>
                <w:rFonts w:ascii="Times New Roman" w:hAnsi="Times New Roman"/>
                <w:bCs/>
                <w:color w:val="000000"/>
              </w:rPr>
              <w:t xml:space="preserve">korzystna </w:t>
            </w:r>
            <w:r w:rsidR="0079314E">
              <w:rPr>
                <w:rFonts w:ascii="Times New Roman" w:hAnsi="Times New Roman"/>
                <w:bCs/>
                <w:color w:val="000000"/>
              </w:rPr>
              <w:t xml:space="preserve">i nieadekwatna </w:t>
            </w:r>
            <w:r>
              <w:rPr>
                <w:rFonts w:ascii="Times New Roman" w:hAnsi="Times New Roman"/>
                <w:bCs/>
                <w:color w:val="000000"/>
              </w:rPr>
              <w:t>z punktu widzenia finansów publicznych i odbiorców końcowych</w:t>
            </w:r>
            <w:r w:rsidR="0079314E">
              <w:rPr>
                <w:rFonts w:ascii="Times New Roman" w:hAnsi="Times New Roman"/>
                <w:bCs/>
                <w:color w:val="000000"/>
              </w:rPr>
              <w:t xml:space="preserve">, włączając ryzyko </w:t>
            </w:r>
            <w:r w:rsidR="004F4098">
              <w:rPr>
                <w:rFonts w:ascii="Times New Roman" w:hAnsi="Times New Roman"/>
                <w:bCs/>
                <w:color w:val="000000"/>
              </w:rPr>
              <w:t>wystąpienia nadmiernego, nieuzasadnionego w</w:t>
            </w:r>
            <w:r w:rsidR="0079314E">
              <w:rPr>
                <w:rFonts w:ascii="Times New Roman" w:hAnsi="Times New Roman"/>
                <w:bCs/>
                <w:color w:val="000000"/>
              </w:rPr>
              <w:t>sparcia dla inwestora</w:t>
            </w:r>
            <w:r>
              <w:rPr>
                <w:rFonts w:ascii="Times New Roman" w:hAnsi="Times New Roman"/>
                <w:bCs/>
                <w:color w:val="000000"/>
              </w:rPr>
              <w:t xml:space="preserve">. </w:t>
            </w:r>
            <w:bookmarkEnd w:id="20"/>
            <w:r w:rsidR="004F4098">
              <w:rPr>
                <w:rFonts w:ascii="Times New Roman" w:hAnsi="Times New Roman"/>
                <w:bCs/>
                <w:color w:val="000000"/>
              </w:rPr>
              <w:t>Aby unormować to zagadnienie proponuje</w:t>
            </w:r>
            <w:r>
              <w:rPr>
                <w:rFonts w:ascii="Times New Roman" w:hAnsi="Times New Roman"/>
                <w:bCs/>
                <w:color w:val="000000"/>
              </w:rPr>
              <w:t xml:space="preserve"> się </w:t>
            </w:r>
            <w:r w:rsidR="0079314E">
              <w:rPr>
                <w:rFonts w:ascii="Times New Roman" w:hAnsi="Times New Roman"/>
                <w:bCs/>
                <w:color w:val="000000"/>
              </w:rPr>
              <w:t>wprowadzenie rozwiązania</w:t>
            </w:r>
            <w:r w:rsidR="004F4098">
              <w:rPr>
                <w:rFonts w:ascii="Times New Roman" w:hAnsi="Times New Roman"/>
                <w:bCs/>
                <w:color w:val="000000"/>
              </w:rPr>
              <w:t xml:space="preserve"> polegającego na </w:t>
            </w:r>
            <w:bookmarkStart w:id="21" w:name="_Hlk185001865"/>
            <w:r w:rsidR="004F4098">
              <w:rPr>
                <w:rFonts w:ascii="Times New Roman" w:hAnsi="Times New Roman"/>
                <w:bCs/>
                <w:color w:val="000000"/>
              </w:rPr>
              <w:t xml:space="preserve">ustaleniu tunelu waloryzacyjnego ograniczonego od góry </w:t>
            </w:r>
            <w:r>
              <w:rPr>
                <w:rFonts w:ascii="Times New Roman" w:hAnsi="Times New Roman"/>
                <w:bCs/>
                <w:color w:val="000000"/>
              </w:rPr>
              <w:t>celem inflacyjnym przyjętym przez Radę Polityki Pieniężnej</w:t>
            </w:r>
            <w:r w:rsidR="000C421E">
              <w:rPr>
                <w:rFonts w:ascii="Times New Roman" w:hAnsi="Times New Roman"/>
                <w:bCs/>
                <w:color w:val="000000"/>
              </w:rPr>
              <w:t xml:space="preserve">. </w:t>
            </w:r>
            <w:r w:rsidR="00AB1DA8">
              <w:rPr>
                <w:rFonts w:ascii="Times New Roman" w:hAnsi="Times New Roman"/>
                <w:bCs/>
                <w:color w:val="000000"/>
              </w:rPr>
              <w:t xml:space="preserve">Jednocześnie brak jest konieczności określania </w:t>
            </w:r>
            <w:r w:rsidR="00AB1DA8" w:rsidRPr="00E17B22">
              <w:rPr>
                <w:rFonts w:ascii="Times New Roman" w:hAnsi="Times New Roman"/>
                <w:bCs/>
                <w:color w:val="000000"/>
              </w:rPr>
              <w:t>dolnych granic wprowadzanego tunelu waloryzacyjnego</w:t>
            </w:r>
            <w:r w:rsidR="00AB1DA8">
              <w:rPr>
                <w:rFonts w:ascii="Times New Roman" w:hAnsi="Times New Roman"/>
                <w:bCs/>
                <w:color w:val="000000"/>
              </w:rPr>
              <w:t xml:space="preserve">, bowiem należy przyjąć, że tą granicą jest </w:t>
            </w:r>
            <w:r w:rsidR="00AB1DA8" w:rsidRPr="00E17B22">
              <w:rPr>
                <w:rFonts w:ascii="Times New Roman" w:hAnsi="Times New Roman"/>
                <w:bCs/>
                <w:color w:val="000000"/>
              </w:rPr>
              <w:t>średnioroczny wskaźnik cen towarów i usług konsumpcyjnych ogółem z poprzedniego roku kalendarzowego</w:t>
            </w:r>
            <w:r w:rsidR="00AB1DA8">
              <w:rPr>
                <w:rFonts w:ascii="Times New Roman" w:hAnsi="Times New Roman"/>
                <w:bCs/>
                <w:color w:val="000000"/>
              </w:rPr>
              <w:t xml:space="preserve">. A jedynie w przypadku przekroczenia przez ten wskaźnik </w:t>
            </w:r>
            <w:r w:rsidR="00AB1DA8" w:rsidRPr="00E17B22">
              <w:rPr>
                <w:rFonts w:ascii="Times New Roman" w:hAnsi="Times New Roman"/>
                <w:bCs/>
                <w:color w:val="000000"/>
              </w:rPr>
              <w:t>wartoś</w:t>
            </w:r>
            <w:r w:rsidR="00AB1DA8">
              <w:rPr>
                <w:rFonts w:ascii="Times New Roman" w:hAnsi="Times New Roman"/>
                <w:bCs/>
                <w:color w:val="000000"/>
              </w:rPr>
              <w:t>ci</w:t>
            </w:r>
            <w:r w:rsidR="00AB1DA8" w:rsidRPr="00E17B22">
              <w:rPr>
                <w:rFonts w:ascii="Times New Roman" w:hAnsi="Times New Roman"/>
                <w:bCs/>
                <w:color w:val="000000"/>
              </w:rPr>
              <w:t xml:space="preserve"> średniookresowego celu</w:t>
            </w:r>
            <w:r w:rsidR="00AB1DA8">
              <w:rPr>
                <w:rFonts w:ascii="Times New Roman" w:hAnsi="Times New Roman"/>
                <w:bCs/>
                <w:color w:val="000000"/>
              </w:rPr>
              <w:t xml:space="preserve"> inflacyjnego, </w:t>
            </w:r>
            <w:r w:rsidR="00AB1DA8" w:rsidRPr="00E17B22">
              <w:rPr>
                <w:rFonts w:ascii="Times New Roman" w:hAnsi="Times New Roman"/>
                <w:bCs/>
                <w:color w:val="000000"/>
              </w:rPr>
              <w:t>waloryzacji</w:t>
            </w:r>
            <w:r w:rsidR="00AB1DA8">
              <w:rPr>
                <w:rFonts w:ascii="Times New Roman" w:hAnsi="Times New Roman"/>
                <w:bCs/>
                <w:color w:val="000000"/>
              </w:rPr>
              <w:t xml:space="preserve"> będzie</w:t>
            </w:r>
            <w:r w:rsidR="00AB1DA8" w:rsidRPr="00E17B22">
              <w:rPr>
                <w:rFonts w:ascii="Times New Roman" w:hAnsi="Times New Roman"/>
                <w:bCs/>
                <w:color w:val="000000"/>
              </w:rPr>
              <w:t xml:space="preserve"> dokon</w:t>
            </w:r>
            <w:r w:rsidR="00AB1DA8">
              <w:rPr>
                <w:rFonts w:ascii="Times New Roman" w:hAnsi="Times New Roman"/>
                <w:bCs/>
                <w:color w:val="000000"/>
              </w:rPr>
              <w:t>ywać</w:t>
            </w:r>
            <w:r w:rsidR="00AB1DA8" w:rsidRPr="00E17B22">
              <w:rPr>
                <w:rFonts w:ascii="Times New Roman" w:hAnsi="Times New Roman"/>
                <w:bCs/>
                <w:color w:val="000000"/>
              </w:rPr>
              <w:t xml:space="preserve"> się maksymalnie do poziomu</w:t>
            </w:r>
            <w:r w:rsidR="00AB1DA8">
              <w:rPr>
                <w:rFonts w:ascii="Times New Roman" w:hAnsi="Times New Roman"/>
                <w:bCs/>
                <w:color w:val="000000"/>
              </w:rPr>
              <w:t xml:space="preserve"> tego</w:t>
            </w:r>
            <w:r w:rsidR="00AB1DA8" w:rsidRPr="00E17B22">
              <w:rPr>
                <w:rFonts w:ascii="Times New Roman" w:hAnsi="Times New Roman"/>
                <w:bCs/>
                <w:color w:val="000000"/>
              </w:rPr>
              <w:t xml:space="preserve"> celu</w:t>
            </w:r>
            <w:r w:rsidR="00AB1DA8">
              <w:rPr>
                <w:rFonts w:ascii="Times New Roman" w:hAnsi="Times New Roman"/>
                <w:bCs/>
                <w:color w:val="000000"/>
              </w:rPr>
              <w:t xml:space="preserve">. </w:t>
            </w:r>
          </w:p>
          <w:p w14:paraId="35A35362" w14:textId="2CD82D98" w:rsidR="00957EEB" w:rsidRDefault="00AB1DA8" w:rsidP="00336BF8">
            <w:pPr>
              <w:spacing w:after="120"/>
              <w:jc w:val="both"/>
              <w:rPr>
                <w:rFonts w:ascii="Times New Roman" w:hAnsi="Times New Roman"/>
                <w:bCs/>
                <w:color w:val="000000"/>
              </w:rPr>
            </w:pPr>
            <w:r>
              <w:rPr>
                <w:rFonts w:ascii="Times New Roman" w:hAnsi="Times New Roman"/>
                <w:bCs/>
                <w:color w:val="000000"/>
              </w:rPr>
              <w:t>Zgodnie z u</w:t>
            </w:r>
            <w:r w:rsidRPr="00887EC1">
              <w:rPr>
                <w:rFonts w:ascii="Times New Roman" w:hAnsi="Times New Roman"/>
                <w:bCs/>
                <w:color w:val="000000"/>
              </w:rPr>
              <w:t>chwał</w:t>
            </w:r>
            <w:r>
              <w:rPr>
                <w:rFonts w:ascii="Times New Roman" w:hAnsi="Times New Roman"/>
                <w:bCs/>
                <w:color w:val="000000"/>
              </w:rPr>
              <w:t>ą</w:t>
            </w:r>
            <w:r w:rsidRPr="00887EC1">
              <w:rPr>
                <w:rFonts w:ascii="Times New Roman" w:hAnsi="Times New Roman"/>
                <w:bCs/>
                <w:color w:val="000000"/>
              </w:rPr>
              <w:t xml:space="preserve"> nr 38 Rady Ministrów z dnia 30 kwietnia 2024 r. w sprawie Wieloletniego Planu Finansowego Państwa na lata 2024-2027</w:t>
            </w:r>
            <w:r>
              <w:rPr>
                <w:rFonts w:ascii="Times New Roman" w:hAnsi="Times New Roman"/>
                <w:bCs/>
                <w:color w:val="000000"/>
              </w:rPr>
              <w:t xml:space="preserve"> (</w:t>
            </w:r>
            <w:r w:rsidRPr="00887EC1">
              <w:rPr>
                <w:rFonts w:ascii="Times New Roman" w:hAnsi="Times New Roman"/>
                <w:bCs/>
                <w:color w:val="000000"/>
              </w:rPr>
              <w:t>M.P. 2024 poz. 334</w:t>
            </w:r>
            <w:r>
              <w:rPr>
                <w:rFonts w:ascii="Times New Roman" w:hAnsi="Times New Roman"/>
                <w:bCs/>
                <w:color w:val="000000"/>
              </w:rPr>
              <w:t>), przewiduje się, że ś</w:t>
            </w:r>
            <w:r w:rsidRPr="00887EC1">
              <w:rPr>
                <w:rFonts w:ascii="Times New Roman" w:hAnsi="Times New Roman"/>
                <w:bCs/>
                <w:color w:val="000000"/>
              </w:rPr>
              <w:t>rednioroczny wzrost cen towarów i usług</w:t>
            </w:r>
            <w:r>
              <w:rPr>
                <w:rFonts w:ascii="Times New Roman" w:hAnsi="Times New Roman"/>
                <w:bCs/>
                <w:color w:val="000000"/>
              </w:rPr>
              <w:t xml:space="preserve"> </w:t>
            </w:r>
            <w:r w:rsidRPr="00887EC1">
              <w:rPr>
                <w:rFonts w:ascii="Times New Roman" w:hAnsi="Times New Roman"/>
                <w:bCs/>
                <w:color w:val="000000"/>
              </w:rPr>
              <w:t>konsumpcyjnych</w:t>
            </w:r>
            <w:r>
              <w:rPr>
                <w:rFonts w:ascii="Times New Roman" w:hAnsi="Times New Roman"/>
                <w:bCs/>
                <w:color w:val="000000"/>
              </w:rPr>
              <w:t xml:space="preserve"> </w:t>
            </w:r>
            <w:r w:rsidR="009714CD">
              <w:rPr>
                <w:rFonts w:ascii="Times New Roman" w:hAnsi="Times New Roman"/>
                <w:bCs/>
                <w:color w:val="000000"/>
              </w:rPr>
              <w:t>w </w:t>
            </w:r>
            <w:r>
              <w:rPr>
                <w:rFonts w:ascii="Times New Roman" w:hAnsi="Times New Roman"/>
                <w:bCs/>
                <w:color w:val="000000"/>
              </w:rPr>
              <w:t xml:space="preserve">latach 2025-2027 będzie wynosił odpowiednio 4,1%, 3,3% i 2,5%. Ze względu na krótką perspektywę ww. Planu, oraz biorąc pod uwagę, że </w:t>
            </w:r>
            <w:r w:rsidRPr="008F75CF">
              <w:rPr>
                <w:rFonts w:ascii="Times New Roman" w:hAnsi="Times New Roman"/>
                <w:bCs/>
                <w:color w:val="000000"/>
              </w:rPr>
              <w:t>cen</w:t>
            </w:r>
            <w:r>
              <w:rPr>
                <w:rFonts w:ascii="Times New Roman" w:hAnsi="Times New Roman"/>
                <w:bCs/>
                <w:color w:val="000000"/>
              </w:rPr>
              <w:t>a</w:t>
            </w:r>
            <w:r w:rsidRPr="008F75CF">
              <w:rPr>
                <w:rFonts w:ascii="Times New Roman" w:hAnsi="Times New Roman"/>
                <w:bCs/>
                <w:color w:val="000000"/>
              </w:rPr>
              <w:t xml:space="preserve"> </w:t>
            </w:r>
            <w:r>
              <w:rPr>
                <w:rFonts w:ascii="Times New Roman" w:hAnsi="Times New Roman"/>
                <w:bCs/>
                <w:color w:val="000000"/>
              </w:rPr>
              <w:t xml:space="preserve">podlegająca corocznej waloryzacji odnosi się </w:t>
            </w:r>
            <w:r w:rsidRPr="008F75CF">
              <w:rPr>
                <w:rFonts w:ascii="Times New Roman" w:hAnsi="Times New Roman"/>
                <w:bCs/>
                <w:color w:val="000000"/>
              </w:rPr>
              <w:t>do</w:t>
            </w:r>
            <w:r>
              <w:rPr>
                <w:rFonts w:ascii="Times New Roman" w:hAnsi="Times New Roman"/>
                <w:bCs/>
                <w:color w:val="000000"/>
              </w:rPr>
              <w:t xml:space="preserve"> </w:t>
            </w:r>
            <w:r w:rsidRPr="008F75CF">
              <w:rPr>
                <w:rFonts w:ascii="Times New Roman" w:hAnsi="Times New Roman"/>
                <w:bCs/>
                <w:color w:val="000000"/>
              </w:rPr>
              <w:t>pokrycia ujemnego salda w okresie, o którym mowa w art. 6</w:t>
            </w:r>
            <w:r>
              <w:rPr>
                <w:rFonts w:ascii="Times New Roman" w:hAnsi="Times New Roman"/>
                <w:bCs/>
                <w:color w:val="000000"/>
              </w:rPr>
              <w:t xml:space="preserve">, czyli </w:t>
            </w:r>
            <w:r w:rsidRPr="008F75CF">
              <w:rPr>
                <w:rFonts w:ascii="Times New Roman" w:hAnsi="Times New Roman"/>
                <w:bCs/>
                <w:color w:val="000000"/>
              </w:rPr>
              <w:t xml:space="preserve">25 lat </w:t>
            </w:r>
            <w:r w:rsidR="00957EEB" w:rsidRPr="00957EEB">
              <w:rPr>
                <w:rFonts w:ascii="Times New Roman" w:hAnsi="Times New Roman"/>
                <w:bCs/>
                <w:color w:val="000000"/>
              </w:rPr>
              <w:t>od pierwszego dnia, za który wytwórca wystąpił o przyznanie prawa do pokrycia ujemnego salda</w:t>
            </w:r>
            <w:r>
              <w:rPr>
                <w:rFonts w:ascii="Times New Roman" w:hAnsi="Times New Roman"/>
                <w:bCs/>
                <w:color w:val="000000"/>
              </w:rPr>
              <w:t xml:space="preserve">, nie przewiduje się większego wpływu niniejszej regulacji na wytwórców MFW albo trudno jest przewidzieć ten wpływ (w roku 2027 gdy energia elektryczna będzie już produkowana przez pierwsze MFW przewidywany </w:t>
            </w:r>
            <w:r w:rsidRPr="009C0EE3">
              <w:rPr>
                <w:rFonts w:ascii="Times New Roman" w:hAnsi="Times New Roman"/>
                <w:bCs/>
                <w:color w:val="000000"/>
              </w:rPr>
              <w:t>średnioroczny wzrost cen towarów i usług konsumpcyjnych</w:t>
            </w:r>
            <w:r>
              <w:rPr>
                <w:rFonts w:ascii="Times New Roman" w:hAnsi="Times New Roman"/>
                <w:bCs/>
                <w:color w:val="000000"/>
              </w:rPr>
              <w:t xml:space="preserve"> będzie równy </w:t>
            </w:r>
            <w:r w:rsidRPr="009C0EE3">
              <w:rPr>
                <w:rFonts w:ascii="Times New Roman" w:hAnsi="Times New Roman"/>
                <w:bCs/>
                <w:color w:val="000000"/>
              </w:rPr>
              <w:t>wartości średniookresowego celu inflacyjnego</w:t>
            </w:r>
            <w:r>
              <w:rPr>
                <w:rFonts w:ascii="Times New Roman" w:hAnsi="Times New Roman"/>
                <w:bCs/>
                <w:color w:val="000000"/>
              </w:rPr>
              <w:t xml:space="preserve"> na rok 2025 (na kolejne lata cel ten nie jest </w:t>
            </w:r>
            <w:r w:rsidR="00957EEB">
              <w:rPr>
                <w:rFonts w:ascii="Times New Roman" w:hAnsi="Times New Roman"/>
                <w:bCs/>
                <w:color w:val="000000"/>
              </w:rPr>
              <w:t>znan</w:t>
            </w:r>
            <w:r>
              <w:rPr>
                <w:rFonts w:ascii="Times New Roman" w:hAnsi="Times New Roman"/>
                <w:bCs/>
                <w:color w:val="000000"/>
              </w:rPr>
              <w:t xml:space="preserve">y)). </w:t>
            </w:r>
            <w:r w:rsidR="00147345">
              <w:rPr>
                <w:rFonts w:ascii="Times New Roman" w:hAnsi="Times New Roman"/>
                <w:bCs/>
                <w:color w:val="000000"/>
              </w:rPr>
              <w:t>Dodatkowo, nie planuje się wprowadzenia w tunelu waloryzacyjnym</w:t>
            </w:r>
            <w:r w:rsidR="00147345" w:rsidRPr="00147345">
              <w:rPr>
                <w:rFonts w:ascii="Times New Roman" w:hAnsi="Times New Roman"/>
                <w:bCs/>
                <w:color w:val="000000"/>
              </w:rPr>
              <w:t xml:space="preserve"> symetryczn</w:t>
            </w:r>
            <w:r w:rsidR="00147345">
              <w:rPr>
                <w:rFonts w:ascii="Times New Roman" w:hAnsi="Times New Roman"/>
                <w:bCs/>
                <w:color w:val="000000"/>
              </w:rPr>
              <w:t>ego</w:t>
            </w:r>
            <w:r w:rsidR="00147345" w:rsidRPr="00147345">
              <w:rPr>
                <w:rFonts w:ascii="Times New Roman" w:hAnsi="Times New Roman"/>
                <w:bCs/>
                <w:color w:val="000000"/>
              </w:rPr>
              <w:t xml:space="preserve"> przedział</w:t>
            </w:r>
            <w:r w:rsidR="00147345">
              <w:rPr>
                <w:rFonts w:ascii="Times New Roman" w:hAnsi="Times New Roman"/>
                <w:bCs/>
                <w:color w:val="000000"/>
              </w:rPr>
              <w:t>u</w:t>
            </w:r>
            <w:r w:rsidR="00147345" w:rsidRPr="00147345">
              <w:rPr>
                <w:rFonts w:ascii="Times New Roman" w:hAnsi="Times New Roman"/>
                <w:bCs/>
                <w:color w:val="000000"/>
              </w:rPr>
              <w:t xml:space="preserve"> odchyleń o szerokości ±1 punktu procentowego.</w:t>
            </w:r>
            <w:bookmarkEnd w:id="21"/>
            <w:r w:rsidR="00147345" w:rsidRPr="00147345">
              <w:rPr>
                <w:rFonts w:ascii="Times New Roman" w:hAnsi="Times New Roman"/>
                <w:bCs/>
                <w:color w:val="000000"/>
              </w:rPr>
              <w:t xml:space="preserve"> </w:t>
            </w:r>
          </w:p>
          <w:p w14:paraId="15B90DAE" w14:textId="68AC50C4" w:rsidR="0048130F" w:rsidRDefault="000C421E" w:rsidP="00336BF8">
            <w:pPr>
              <w:spacing w:after="120"/>
              <w:jc w:val="both"/>
              <w:rPr>
                <w:rFonts w:ascii="Times New Roman" w:hAnsi="Times New Roman"/>
                <w:bCs/>
                <w:color w:val="000000"/>
              </w:rPr>
            </w:pPr>
            <w:r>
              <w:rPr>
                <w:rFonts w:ascii="Times New Roman" w:hAnsi="Times New Roman"/>
                <w:bCs/>
                <w:color w:val="000000"/>
              </w:rPr>
              <w:t xml:space="preserve">Zabieg ten </w:t>
            </w:r>
            <w:r w:rsidR="00AB1DA8">
              <w:rPr>
                <w:rFonts w:ascii="Times New Roman" w:hAnsi="Times New Roman"/>
                <w:bCs/>
                <w:color w:val="000000"/>
              </w:rPr>
              <w:t xml:space="preserve">jednocześnie </w:t>
            </w:r>
            <w:r>
              <w:rPr>
                <w:rFonts w:ascii="Times New Roman" w:hAnsi="Times New Roman"/>
                <w:bCs/>
                <w:color w:val="000000"/>
              </w:rPr>
              <w:t>pozwoli w sposób przewidywalny planować realizację inwestycji</w:t>
            </w:r>
            <w:r w:rsidR="004F4098">
              <w:rPr>
                <w:rFonts w:ascii="Times New Roman" w:hAnsi="Times New Roman"/>
                <w:bCs/>
                <w:color w:val="000000"/>
              </w:rPr>
              <w:t>, w tym rzetelnie oszacować cenę ofertową, a także</w:t>
            </w:r>
            <w:r>
              <w:rPr>
                <w:rFonts w:ascii="Times New Roman" w:hAnsi="Times New Roman"/>
                <w:bCs/>
                <w:color w:val="000000"/>
              </w:rPr>
              <w:t xml:space="preserve"> wpłynie pozytywnie na stabilizację kosztów </w:t>
            </w:r>
            <w:r w:rsidR="004F4098">
              <w:rPr>
                <w:rFonts w:ascii="Times New Roman" w:hAnsi="Times New Roman"/>
                <w:bCs/>
                <w:color w:val="000000"/>
              </w:rPr>
              <w:t xml:space="preserve">zakupu energii z morskich farm wiatrowych </w:t>
            </w:r>
            <w:r>
              <w:rPr>
                <w:rFonts w:ascii="Times New Roman" w:hAnsi="Times New Roman"/>
                <w:bCs/>
                <w:color w:val="000000"/>
              </w:rPr>
              <w:t>przez odbiorców końcowych.</w:t>
            </w:r>
          </w:p>
          <w:p w14:paraId="1430C68E" w14:textId="2E103803" w:rsidR="004B4E01" w:rsidRPr="004B4E01" w:rsidRDefault="004B4E01" w:rsidP="004B4E01">
            <w:pPr>
              <w:pStyle w:val="Akapitzlist"/>
              <w:numPr>
                <w:ilvl w:val="0"/>
                <w:numId w:val="87"/>
              </w:numPr>
              <w:spacing w:after="120"/>
              <w:jc w:val="both"/>
              <w:rPr>
                <w:rFonts w:ascii="Times New Roman" w:hAnsi="Times New Roman"/>
                <w:bCs/>
                <w:color w:val="000000"/>
              </w:rPr>
            </w:pPr>
            <w:bookmarkStart w:id="22" w:name="_Hlk188470421"/>
            <w:r w:rsidRPr="004B4E01">
              <w:rPr>
                <w:rFonts w:ascii="Times New Roman" w:hAnsi="Times New Roman"/>
                <w:bCs/>
                <w:color w:val="000000"/>
              </w:rPr>
              <w:t>Doprecyzowanie i uproszczenie procedury dopuszczenia do udziału w aukcji i zasad składania ofert w aukcji</w:t>
            </w:r>
          </w:p>
          <w:bookmarkEnd w:id="22"/>
          <w:p w14:paraId="2E3DF68D" w14:textId="77777777" w:rsidR="004B4E01" w:rsidRPr="004B4E01" w:rsidRDefault="004B4E01" w:rsidP="004B4E01">
            <w:pPr>
              <w:spacing w:after="120"/>
              <w:jc w:val="both"/>
              <w:rPr>
                <w:rFonts w:ascii="Times New Roman" w:hAnsi="Times New Roman"/>
                <w:bCs/>
                <w:color w:val="000000"/>
              </w:rPr>
            </w:pPr>
            <w:r w:rsidRPr="004B4E01">
              <w:rPr>
                <w:rFonts w:ascii="Times New Roman" w:hAnsi="Times New Roman"/>
                <w:bCs/>
                <w:color w:val="000000"/>
              </w:rPr>
              <w:t xml:space="preserve">Aktualne przepisy art. 26 i art. 31 ustawy offshore wind nie są wystraczająco precyzyjne. Odnoszą się do kilku miejsc przyłączenia MFW pomimo, że MFW jest przyłączana tylko w jednym miejscu. Także nie wskazują, że chodzi o daną MFW. </w:t>
            </w:r>
          </w:p>
          <w:p w14:paraId="1A284535" w14:textId="311813F0" w:rsidR="004B4E01" w:rsidRPr="004B4E01" w:rsidRDefault="004B4E01" w:rsidP="004B4E01">
            <w:pPr>
              <w:spacing w:after="120"/>
              <w:jc w:val="both"/>
              <w:rPr>
                <w:rFonts w:ascii="Times New Roman" w:hAnsi="Times New Roman"/>
                <w:bCs/>
                <w:color w:val="000000"/>
              </w:rPr>
            </w:pPr>
            <w:r w:rsidRPr="004B4E01">
              <w:rPr>
                <w:rFonts w:ascii="Times New Roman" w:hAnsi="Times New Roman"/>
                <w:bCs/>
                <w:color w:val="000000"/>
              </w:rPr>
              <w:t xml:space="preserve">Ponadto aktualne brzmienia art. 26 ust. 5 pkt 6 ustawy offshore wind obliguje wytwórcę do potwierdzenia ustanowienia zabezpieczenia oraz - w przypadku ustanowienia kaucji -przekazania numer rachunku bankowego prowadzonego </w:t>
            </w:r>
            <w:r w:rsidR="009714CD" w:rsidRPr="004B4E01">
              <w:rPr>
                <w:rFonts w:ascii="Times New Roman" w:hAnsi="Times New Roman"/>
                <w:bCs/>
                <w:color w:val="000000"/>
              </w:rPr>
              <w:t>w</w:t>
            </w:r>
            <w:r w:rsidR="009714CD">
              <w:rPr>
                <w:rFonts w:ascii="Times New Roman" w:hAnsi="Times New Roman"/>
                <w:bCs/>
                <w:color w:val="000000"/>
              </w:rPr>
              <w:t> </w:t>
            </w:r>
            <w:r w:rsidRPr="004B4E01">
              <w:rPr>
                <w:rFonts w:ascii="Times New Roman" w:hAnsi="Times New Roman"/>
                <w:bCs/>
                <w:color w:val="000000"/>
              </w:rPr>
              <w:t xml:space="preserve">złotych. Ponadto art. 26 ust. 6 ustawy offshore wind obliguje wytwórcę do załączenia do wniosku o wydanie zaświadczenia o dopuszczeniu do aukcji informacji określonych w przepisach wydanych na podstawie art. 37 ust. 6 ustawy z dnia 30 kwietnia 2004 r. o postępowaniu w sprawach dotyczących pomocy publicznej. </w:t>
            </w:r>
          </w:p>
          <w:p w14:paraId="3F08A3C9" w14:textId="15F3CEC2" w:rsidR="004B4E01" w:rsidRPr="004B4E01" w:rsidRDefault="004B4E01" w:rsidP="004B4E01">
            <w:pPr>
              <w:spacing w:after="120"/>
              <w:jc w:val="both"/>
              <w:rPr>
                <w:rFonts w:ascii="Times New Roman" w:hAnsi="Times New Roman"/>
                <w:bCs/>
                <w:color w:val="000000"/>
              </w:rPr>
            </w:pPr>
            <w:r w:rsidRPr="004B4E01">
              <w:rPr>
                <w:rFonts w:ascii="Times New Roman" w:hAnsi="Times New Roman"/>
                <w:bCs/>
                <w:color w:val="000000"/>
              </w:rPr>
              <w:t>W związku z tym, że zaświadczenie o dopuszczeniu do aukcji jest ważne 36 miesięcy i sytuacja wytwórcy przez ten czas może się znacznie zmienić, skuteczniejszym rozwiązaniem będzie wymaganie pod rygorem karnym złożenia przez wytwórcę oświadczenia, że przedsiębiorstwo nie znajduje się w trudnej sytuacji.</w:t>
            </w:r>
          </w:p>
          <w:p w14:paraId="5E16AC5B" w14:textId="77777777" w:rsidR="00830ACC" w:rsidRPr="00D802E0" w:rsidRDefault="00830ACC" w:rsidP="00093E33">
            <w:pPr>
              <w:pStyle w:val="Akapitzlist"/>
              <w:numPr>
                <w:ilvl w:val="0"/>
                <w:numId w:val="82"/>
              </w:numPr>
              <w:spacing w:after="120"/>
              <w:contextualSpacing w:val="0"/>
              <w:jc w:val="both"/>
              <w:rPr>
                <w:rFonts w:ascii="Times New Roman" w:hAnsi="Times New Roman"/>
                <w:b/>
                <w:color w:val="000000"/>
              </w:rPr>
            </w:pPr>
            <w:bookmarkStart w:id="23" w:name="_Hlk185240401"/>
            <w:r w:rsidRPr="00D802E0">
              <w:rPr>
                <w:rFonts w:ascii="Times New Roman" w:hAnsi="Times New Roman"/>
                <w:b/>
                <w:color w:val="000000"/>
              </w:rPr>
              <w:t>Pokrycie ujemnego salda w przypadku redysponowania MFW na zasadach rynkowych</w:t>
            </w:r>
          </w:p>
          <w:bookmarkEnd w:id="23"/>
          <w:p w14:paraId="1D82FB85" w14:textId="4F7E03A2" w:rsidR="009D3239" w:rsidRDefault="0035499E" w:rsidP="00093E33">
            <w:pPr>
              <w:spacing w:after="120"/>
              <w:jc w:val="both"/>
              <w:rPr>
                <w:rFonts w:ascii="Times New Roman" w:hAnsi="Times New Roman"/>
                <w:bCs/>
                <w:color w:val="000000"/>
              </w:rPr>
            </w:pPr>
            <w:r>
              <w:rPr>
                <w:rFonts w:ascii="Times New Roman" w:hAnsi="Times New Roman"/>
                <w:bCs/>
                <w:color w:val="000000"/>
              </w:rPr>
              <w:t>P</w:t>
            </w:r>
            <w:r w:rsidRPr="009D3239">
              <w:rPr>
                <w:rFonts w:ascii="Times New Roman" w:hAnsi="Times New Roman"/>
                <w:bCs/>
                <w:color w:val="000000"/>
              </w:rPr>
              <w:t xml:space="preserve">roponuje się wprowadzenie do ustawy </w:t>
            </w:r>
            <w:r>
              <w:rPr>
                <w:rFonts w:ascii="Times New Roman" w:hAnsi="Times New Roman"/>
                <w:bCs/>
                <w:color w:val="000000"/>
              </w:rPr>
              <w:t>offshore wind</w:t>
            </w:r>
            <w:r w:rsidRPr="009D3239">
              <w:rPr>
                <w:rFonts w:ascii="Times New Roman" w:hAnsi="Times New Roman"/>
                <w:bCs/>
                <w:color w:val="000000"/>
              </w:rPr>
              <w:t xml:space="preserve"> zmian mających na celu zagwarantowanie, że również w przypadku rynkowego redysponowania </w:t>
            </w:r>
            <w:r>
              <w:rPr>
                <w:rFonts w:ascii="Times New Roman" w:hAnsi="Times New Roman"/>
                <w:bCs/>
                <w:color w:val="000000"/>
              </w:rPr>
              <w:t>MFW</w:t>
            </w:r>
            <w:r w:rsidRPr="009D3239">
              <w:rPr>
                <w:rFonts w:ascii="Times New Roman" w:hAnsi="Times New Roman"/>
                <w:bCs/>
                <w:color w:val="000000"/>
              </w:rPr>
              <w:t xml:space="preserve"> w okresie, w którym </w:t>
            </w:r>
            <w:r w:rsidRPr="0035499E">
              <w:rPr>
                <w:rFonts w:ascii="Times New Roman" w:hAnsi="Times New Roman"/>
                <w:bCs/>
                <w:color w:val="000000"/>
              </w:rPr>
              <w:t xml:space="preserve">Operator Systemu Przesyłowego </w:t>
            </w:r>
            <w:r>
              <w:rPr>
                <w:rFonts w:ascii="Times New Roman" w:hAnsi="Times New Roman"/>
                <w:bCs/>
                <w:color w:val="000000"/>
              </w:rPr>
              <w:t>(</w:t>
            </w:r>
            <w:r w:rsidRPr="009D3239">
              <w:rPr>
                <w:rFonts w:ascii="Times New Roman" w:hAnsi="Times New Roman"/>
                <w:bCs/>
                <w:color w:val="000000"/>
              </w:rPr>
              <w:t>OSP</w:t>
            </w:r>
            <w:r>
              <w:rPr>
                <w:rFonts w:ascii="Times New Roman" w:hAnsi="Times New Roman"/>
                <w:bCs/>
                <w:color w:val="000000"/>
              </w:rPr>
              <w:t>)</w:t>
            </w:r>
            <w:r w:rsidRPr="009D3239">
              <w:rPr>
                <w:rFonts w:ascii="Times New Roman" w:hAnsi="Times New Roman"/>
                <w:bCs/>
                <w:color w:val="000000"/>
              </w:rPr>
              <w:t xml:space="preserve"> nie gwarantuje pełnego </w:t>
            </w:r>
            <w:r w:rsidRPr="009D3239">
              <w:rPr>
                <w:rFonts w:ascii="Times New Roman" w:hAnsi="Times New Roman"/>
                <w:bCs/>
                <w:color w:val="000000"/>
              </w:rPr>
              <w:lastRenderedPageBreak/>
              <w:t>wyprowadzenia mocy</w:t>
            </w:r>
            <w:r>
              <w:rPr>
                <w:rFonts w:ascii="Times New Roman" w:hAnsi="Times New Roman"/>
                <w:bCs/>
                <w:color w:val="000000"/>
              </w:rPr>
              <w:t>,</w:t>
            </w:r>
            <w:r w:rsidRPr="009D3239">
              <w:rPr>
                <w:rFonts w:ascii="Times New Roman" w:hAnsi="Times New Roman"/>
                <w:bCs/>
                <w:color w:val="000000"/>
              </w:rPr>
              <w:t xml:space="preserve"> wytwórca będzie miał możliwość uzyskania od Zarządcy Rozliczeń prawa do pokrycia ujemnego salda jako formy rekompensaty za ograniczenie produkcji w wyniku redysponowania</w:t>
            </w:r>
            <w:r>
              <w:rPr>
                <w:rFonts w:ascii="Times New Roman" w:hAnsi="Times New Roman"/>
                <w:bCs/>
                <w:color w:val="000000"/>
              </w:rPr>
              <w:t>. W</w:t>
            </w:r>
            <w:r w:rsidR="00830ACC" w:rsidRPr="00A51889">
              <w:rPr>
                <w:rFonts w:ascii="Times New Roman" w:hAnsi="Times New Roman"/>
                <w:bCs/>
                <w:color w:val="000000"/>
              </w:rPr>
              <w:t xml:space="preserve">prowadzenie </w:t>
            </w:r>
            <w:r>
              <w:rPr>
                <w:rFonts w:ascii="Times New Roman" w:hAnsi="Times New Roman"/>
                <w:bCs/>
                <w:color w:val="000000"/>
              </w:rPr>
              <w:t>przepisów spowoduje, że wytwórcy energii z MFW będą mieli zapewnioną stabilność</w:t>
            </w:r>
            <w:r w:rsidR="009D3239" w:rsidRPr="009D3239">
              <w:rPr>
                <w:rFonts w:ascii="Times New Roman" w:hAnsi="Times New Roman"/>
                <w:bCs/>
                <w:color w:val="000000"/>
              </w:rPr>
              <w:t xml:space="preserve"> przychodów</w:t>
            </w:r>
            <w:r>
              <w:rPr>
                <w:rFonts w:ascii="Times New Roman" w:hAnsi="Times New Roman"/>
                <w:bCs/>
                <w:color w:val="000000"/>
              </w:rPr>
              <w:t xml:space="preserve"> przez cały okres realizacji inwestycji.</w:t>
            </w:r>
          </w:p>
          <w:p w14:paraId="198A23CD" w14:textId="03ED9CBF" w:rsidR="006D36A8" w:rsidRDefault="006D36A8" w:rsidP="006D36A8">
            <w:pPr>
              <w:spacing w:after="120"/>
              <w:jc w:val="both"/>
              <w:rPr>
                <w:rFonts w:ascii="Times New Roman" w:hAnsi="Times New Roman"/>
                <w:bCs/>
                <w:color w:val="000000"/>
              </w:rPr>
            </w:pPr>
            <w:bookmarkStart w:id="24" w:name="_Hlk184364972"/>
            <w:r>
              <w:rPr>
                <w:rFonts w:ascii="Times New Roman" w:hAnsi="Times New Roman"/>
                <w:bCs/>
                <w:color w:val="000000"/>
              </w:rPr>
              <w:t xml:space="preserve">Zgodnie z </w:t>
            </w:r>
            <w:r w:rsidRPr="006D36A8">
              <w:rPr>
                <w:rFonts w:ascii="Times New Roman" w:hAnsi="Times New Roman"/>
                <w:bCs/>
                <w:color w:val="000000"/>
              </w:rPr>
              <w:t xml:space="preserve">§ 2 </w:t>
            </w:r>
            <w:r>
              <w:rPr>
                <w:rFonts w:ascii="Times New Roman" w:hAnsi="Times New Roman"/>
                <w:bCs/>
                <w:color w:val="000000"/>
              </w:rPr>
              <w:t>pkt 11 r</w:t>
            </w:r>
            <w:r w:rsidRPr="006D36A8">
              <w:rPr>
                <w:rFonts w:ascii="Times New Roman" w:hAnsi="Times New Roman"/>
                <w:bCs/>
                <w:color w:val="000000"/>
              </w:rPr>
              <w:t>ozporządzeni</w:t>
            </w:r>
            <w:r>
              <w:rPr>
                <w:rFonts w:ascii="Times New Roman" w:hAnsi="Times New Roman"/>
                <w:bCs/>
                <w:color w:val="000000"/>
              </w:rPr>
              <w:t>a</w:t>
            </w:r>
            <w:r w:rsidRPr="006D36A8">
              <w:rPr>
                <w:rFonts w:ascii="Times New Roman" w:hAnsi="Times New Roman"/>
                <w:bCs/>
                <w:color w:val="000000"/>
              </w:rPr>
              <w:t xml:space="preserve"> Ministra Klimatu i Środowiska z dnia 22 marca 2023 r. w sprawie szczegółowych warunków funkcjonowania systemu elektroenergetycznego</w:t>
            </w:r>
            <w:r>
              <w:rPr>
                <w:rFonts w:ascii="Times New Roman" w:hAnsi="Times New Roman"/>
                <w:bCs/>
                <w:color w:val="000000"/>
              </w:rPr>
              <w:t xml:space="preserve"> (</w:t>
            </w:r>
            <w:r w:rsidRPr="006D36A8">
              <w:rPr>
                <w:rFonts w:ascii="Times New Roman" w:hAnsi="Times New Roman"/>
                <w:bCs/>
                <w:color w:val="000000"/>
              </w:rPr>
              <w:t>Dz.</w:t>
            </w:r>
            <w:r w:rsidR="00EA14D7">
              <w:rPr>
                <w:rFonts w:ascii="Times New Roman" w:hAnsi="Times New Roman"/>
                <w:bCs/>
                <w:color w:val="000000"/>
              </w:rPr>
              <w:t xml:space="preserve"> </w:t>
            </w:r>
            <w:r w:rsidRPr="006D36A8">
              <w:rPr>
                <w:rFonts w:ascii="Times New Roman" w:hAnsi="Times New Roman"/>
                <w:bCs/>
                <w:color w:val="000000"/>
              </w:rPr>
              <w:t>U. 2023 poz. 819</w:t>
            </w:r>
            <w:r>
              <w:rPr>
                <w:rFonts w:ascii="Times New Roman" w:hAnsi="Times New Roman"/>
                <w:bCs/>
                <w:color w:val="000000"/>
              </w:rPr>
              <w:t xml:space="preserve">), </w:t>
            </w:r>
            <w:r w:rsidRPr="006D36A8">
              <w:rPr>
                <w:rFonts w:ascii="Times New Roman" w:hAnsi="Times New Roman"/>
                <w:bCs/>
                <w:color w:val="000000"/>
              </w:rPr>
              <w:t xml:space="preserve">jednostka wytwórcza centralnie dysponowana </w:t>
            </w:r>
            <w:r>
              <w:rPr>
                <w:rFonts w:ascii="Times New Roman" w:hAnsi="Times New Roman"/>
                <w:bCs/>
                <w:color w:val="000000"/>
              </w:rPr>
              <w:t>(JWCD) stanowi</w:t>
            </w:r>
            <w:r w:rsidRPr="006D36A8">
              <w:rPr>
                <w:rFonts w:ascii="Times New Roman" w:hAnsi="Times New Roman"/>
                <w:bCs/>
                <w:color w:val="000000"/>
              </w:rPr>
              <w:t xml:space="preserve"> moduł wytwarzania energii:</w:t>
            </w:r>
          </w:p>
          <w:p w14:paraId="58DD6A32" w14:textId="21BE387F" w:rsidR="006D36A8" w:rsidRPr="006D36A8" w:rsidRDefault="006D36A8" w:rsidP="006D36A8">
            <w:pPr>
              <w:spacing w:after="120"/>
              <w:jc w:val="both"/>
              <w:rPr>
                <w:rFonts w:ascii="Times New Roman" w:hAnsi="Times New Roman"/>
                <w:bCs/>
                <w:color w:val="000000"/>
              </w:rPr>
            </w:pPr>
            <w:r w:rsidRPr="006D36A8">
              <w:rPr>
                <w:rFonts w:ascii="Times New Roman" w:hAnsi="Times New Roman"/>
                <w:bCs/>
                <w:color w:val="000000"/>
              </w:rPr>
              <w:t>a) przyłączony do sieci przesyłowej elektroenergetycznej albo</w:t>
            </w:r>
          </w:p>
          <w:p w14:paraId="49E8C68B" w14:textId="2FA13E8F" w:rsidR="006D36A8" w:rsidRPr="006D36A8" w:rsidRDefault="006D36A8" w:rsidP="006D36A8">
            <w:pPr>
              <w:spacing w:after="120"/>
              <w:jc w:val="both"/>
              <w:rPr>
                <w:rFonts w:ascii="Times New Roman" w:hAnsi="Times New Roman"/>
                <w:bCs/>
                <w:color w:val="000000"/>
              </w:rPr>
            </w:pPr>
            <w:r w:rsidRPr="006D36A8">
              <w:rPr>
                <w:rFonts w:ascii="Times New Roman" w:hAnsi="Times New Roman"/>
                <w:bCs/>
                <w:color w:val="000000"/>
              </w:rPr>
              <w:t>b) cieplny kondensacyjny o mocy osiągalnej równej 100 MW lub wyższej przyłączony do koordynowanej sieci 110 kV</w:t>
            </w:r>
            <w:r>
              <w:rPr>
                <w:rFonts w:ascii="Times New Roman" w:hAnsi="Times New Roman"/>
                <w:bCs/>
                <w:color w:val="000000"/>
              </w:rPr>
              <w:t xml:space="preserve"> </w:t>
            </w:r>
            <w:r w:rsidRPr="006D36A8">
              <w:rPr>
                <w:rFonts w:ascii="Times New Roman" w:hAnsi="Times New Roman"/>
                <w:bCs/>
                <w:color w:val="000000"/>
              </w:rPr>
              <w:t>lub szczytowo-pompowy przyłączony do koordynowanej sieci 110 kV, albo</w:t>
            </w:r>
          </w:p>
          <w:p w14:paraId="425B563E" w14:textId="6C19EAF1" w:rsidR="006D36A8" w:rsidRDefault="006D36A8" w:rsidP="006D36A8">
            <w:pPr>
              <w:spacing w:after="120"/>
              <w:jc w:val="both"/>
              <w:rPr>
                <w:rFonts w:ascii="Times New Roman" w:hAnsi="Times New Roman"/>
                <w:bCs/>
                <w:color w:val="000000"/>
              </w:rPr>
            </w:pPr>
            <w:r w:rsidRPr="006D36A8">
              <w:rPr>
                <w:rFonts w:ascii="Times New Roman" w:hAnsi="Times New Roman"/>
                <w:bCs/>
                <w:color w:val="000000"/>
              </w:rPr>
              <w:t>c) przyłączony do koordynowanej sieci 110 kV inny niż określony w lit. b, którym operator systemu przesyłowego</w:t>
            </w:r>
            <w:r>
              <w:rPr>
                <w:rFonts w:ascii="Times New Roman" w:hAnsi="Times New Roman"/>
                <w:bCs/>
                <w:color w:val="000000"/>
              </w:rPr>
              <w:t xml:space="preserve"> </w:t>
            </w:r>
            <w:r w:rsidRPr="006D36A8">
              <w:rPr>
                <w:rFonts w:ascii="Times New Roman" w:hAnsi="Times New Roman"/>
                <w:bCs/>
                <w:color w:val="000000"/>
              </w:rPr>
              <w:t>elektroenergetycznego dysponuje na podstawie odrębnych umów zawartych z wytwórcą energii elektrycznej</w:t>
            </w:r>
            <w:r>
              <w:rPr>
                <w:rFonts w:ascii="Times New Roman" w:hAnsi="Times New Roman"/>
                <w:bCs/>
                <w:color w:val="000000"/>
              </w:rPr>
              <w:t xml:space="preserve"> </w:t>
            </w:r>
            <w:r w:rsidRPr="006D36A8">
              <w:rPr>
                <w:rFonts w:ascii="Times New Roman" w:hAnsi="Times New Roman"/>
                <w:bCs/>
                <w:color w:val="000000"/>
              </w:rPr>
              <w:t>i operatorem systemu dystrybucyjnego elektroenergetycznego, do którego sieci ten moduł wytwarzania energii</w:t>
            </w:r>
            <w:r>
              <w:rPr>
                <w:rFonts w:ascii="Times New Roman" w:hAnsi="Times New Roman"/>
                <w:bCs/>
                <w:color w:val="000000"/>
              </w:rPr>
              <w:t xml:space="preserve"> </w:t>
            </w:r>
            <w:r w:rsidRPr="006D36A8">
              <w:rPr>
                <w:rFonts w:ascii="Times New Roman" w:hAnsi="Times New Roman"/>
                <w:bCs/>
                <w:color w:val="000000"/>
              </w:rPr>
              <w:t>jest przyłączony</w:t>
            </w:r>
            <w:r>
              <w:rPr>
                <w:rFonts w:ascii="Times New Roman" w:hAnsi="Times New Roman"/>
                <w:bCs/>
                <w:color w:val="000000"/>
              </w:rPr>
              <w:t>.</w:t>
            </w:r>
          </w:p>
          <w:p w14:paraId="22A8B7EA" w14:textId="221DEF5C" w:rsidR="00957EEB" w:rsidRDefault="00457280" w:rsidP="006D36A8">
            <w:pPr>
              <w:spacing w:after="120"/>
              <w:jc w:val="both"/>
              <w:rPr>
                <w:rFonts w:ascii="Times New Roman" w:hAnsi="Times New Roman"/>
                <w:bCs/>
                <w:color w:val="000000"/>
              </w:rPr>
            </w:pPr>
            <w:r>
              <w:rPr>
                <w:rFonts w:ascii="Times New Roman" w:hAnsi="Times New Roman"/>
                <w:bCs/>
                <w:color w:val="000000"/>
              </w:rPr>
              <w:t>Z</w:t>
            </w:r>
            <w:r w:rsidDel="00457280">
              <w:rPr>
                <w:rFonts w:ascii="Times New Roman" w:hAnsi="Times New Roman"/>
                <w:bCs/>
                <w:color w:val="000000"/>
              </w:rPr>
              <w:t xml:space="preserve"> </w:t>
            </w:r>
            <w:r w:rsidR="006D36A8">
              <w:rPr>
                <w:rFonts w:ascii="Times New Roman" w:hAnsi="Times New Roman"/>
                <w:bCs/>
                <w:color w:val="000000"/>
              </w:rPr>
              <w:t xml:space="preserve">godnie z obecnie obowiązującym stanem prawnym, </w:t>
            </w:r>
            <w:r w:rsidR="002E464C">
              <w:rPr>
                <w:rFonts w:ascii="Times New Roman" w:hAnsi="Times New Roman"/>
                <w:bCs/>
                <w:color w:val="000000"/>
              </w:rPr>
              <w:t xml:space="preserve">wszystkie JWCD </w:t>
            </w:r>
            <w:r w:rsidR="005569EE">
              <w:rPr>
                <w:rFonts w:ascii="Times New Roman" w:hAnsi="Times New Roman"/>
                <w:bCs/>
                <w:color w:val="000000"/>
              </w:rPr>
              <w:t xml:space="preserve">generalnie </w:t>
            </w:r>
            <w:r w:rsidR="002E464C">
              <w:rPr>
                <w:rFonts w:ascii="Times New Roman" w:hAnsi="Times New Roman"/>
                <w:bCs/>
                <w:color w:val="000000"/>
              </w:rPr>
              <w:t>funkcjonują na tych samych zasadach na rynku bilansującym</w:t>
            </w:r>
            <w:r w:rsidR="005569EE">
              <w:t xml:space="preserve"> – </w:t>
            </w:r>
            <w:r w:rsidR="005569EE">
              <w:rPr>
                <w:rFonts w:ascii="Times New Roman" w:hAnsi="Times New Roman"/>
                <w:bCs/>
                <w:color w:val="000000"/>
              </w:rPr>
              <w:t xml:space="preserve">muszą </w:t>
            </w:r>
            <w:r w:rsidR="005569EE" w:rsidRPr="005569EE">
              <w:rPr>
                <w:rFonts w:ascii="Times New Roman" w:hAnsi="Times New Roman"/>
                <w:bCs/>
                <w:color w:val="000000"/>
              </w:rPr>
              <w:t>składać oferty dotyczące redukcji ich generacji na polecenie operatora systemu przesyłowego elektroenergetycznego</w:t>
            </w:r>
            <w:r w:rsidR="002E464C">
              <w:rPr>
                <w:rFonts w:ascii="Times New Roman" w:hAnsi="Times New Roman"/>
                <w:bCs/>
                <w:color w:val="000000"/>
              </w:rPr>
              <w:t xml:space="preserve">. </w:t>
            </w:r>
            <w:bookmarkEnd w:id="24"/>
            <w:r w:rsidR="00FE7F2C">
              <w:rPr>
                <w:rFonts w:ascii="Times New Roman" w:hAnsi="Times New Roman"/>
                <w:bCs/>
                <w:color w:val="000000"/>
              </w:rPr>
              <w:t xml:space="preserve">Jednakże prawo do pokrycia ujemnego salda jest charakterystyczne dla instalacji odnawialnego źródła energii. </w:t>
            </w:r>
            <w:r w:rsidR="005569EE" w:rsidRPr="005569EE">
              <w:rPr>
                <w:rFonts w:ascii="Times New Roman" w:hAnsi="Times New Roman"/>
                <w:bCs/>
                <w:color w:val="000000"/>
              </w:rPr>
              <w:t xml:space="preserve">Zasady rozliczania redysponowania w ramach rynku bilansującego rozróżniają </w:t>
            </w:r>
            <w:r w:rsidR="005569EE">
              <w:rPr>
                <w:rFonts w:ascii="Times New Roman" w:hAnsi="Times New Roman"/>
                <w:bCs/>
                <w:color w:val="000000"/>
              </w:rPr>
              <w:t xml:space="preserve">jednak </w:t>
            </w:r>
            <w:r w:rsidR="005569EE" w:rsidRPr="005569EE">
              <w:rPr>
                <w:rFonts w:ascii="Times New Roman" w:hAnsi="Times New Roman"/>
                <w:bCs/>
                <w:color w:val="000000"/>
              </w:rPr>
              <w:t xml:space="preserve">sytuację, w której wytwórca posiada gwarancję niezawodnych dostaw (pełnego wyprowadzenia energii) od sytuacji wytwórcy, który takiej gwarancji nie posiada. W pierwszym przypadku rozliczenie redysponowania następuje po wyższej (max) z dwóch cen: cenie ofertowej redukcji i cenie wymuszonego odbioru energii z rynku bilansującego. W drugim przypadku z kolei rozliczenie odbywa się po najwyższej (max) z trzech cen, uwzględniając także cenę krańcową wyznaczoną w ramach rynku bilansującego. W związku z kierunkami znaków na rynku bilansującym, dodatnia cena odbioru energii oznacza konieczność zapłaty przez wytwórcę za redukcję jego produkcji, natomiast ujemna cena odbioru energii oznacza płatność od operatora systemu przesyłowego elektroenergetycznego do wytwórcy za redukcję. </w:t>
            </w:r>
          </w:p>
          <w:p w14:paraId="21CD581C" w14:textId="77777777" w:rsidR="00957EEB" w:rsidRDefault="005569EE" w:rsidP="006D36A8">
            <w:pPr>
              <w:spacing w:after="120"/>
              <w:jc w:val="both"/>
              <w:rPr>
                <w:rFonts w:ascii="Times New Roman" w:hAnsi="Times New Roman"/>
                <w:bCs/>
                <w:color w:val="000000"/>
              </w:rPr>
            </w:pPr>
            <w:r w:rsidRPr="005569EE">
              <w:rPr>
                <w:rFonts w:ascii="Times New Roman" w:hAnsi="Times New Roman"/>
                <w:bCs/>
                <w:color w:val="000000"/>
              </w:rPr>
              <w:t>Tym samym w przypadku braku gwarancji niezawodnych dostaw energii, redukowana MFW może być rozliczana po cenie krańcowej, która może być wyższa (mniej korzystna dla wytwórcy) niż jego cena ofertowa i wyższa niż administracyjnie wyznaczona cena wymuszonego odbioru energii z rynku bilansującego (która gwarantuje sumaryczne uzyskanie przez wytwórcę przychodu na poziomie wynikającym z ceny referencyjnej w ramach kontraktu różnicowego). Wytwórca nie będzie miał zatem możliwości mitygacji ryzyka utraty przychodów do czasu zapewnienia przez operatora systemu przesyłowego elektroenergetycznego gwarancji niezawodnych dostaw energii</w:t>
            </w:r>
            <w:r w:rsidR="00F27B89">
              <w:rPr>
                <w:rFonts w:ascii="Times New Roman" w:hAnsi="Times New Roman"/>
                <w:bCs/>
                <w:color w:val="000000"/>
              </w:rPr>
              <w:t xml:space="preserve">. </w:t>
            </w:r>
          </w:p>
          <w:p w14:paraId="0EF25E46" w14:textId="03C1BE2D" w:rsidR="006D36A8" w:rsidRDefault="00F27B89" w:rsidP="006D36A8">
            <w:pPr>
              <w:spacing w:after="120"/>
              <w:jc w:val="both"/>
              <w:rPr>
                <w:rFonts w:ascii="Times New Roman" w:hAnsi="Times New Roman"/>
                <w:bCs/>
                <w:color w:val="000000"/>
              </w:rPr>
            </w:pPr>
            <w:r>
              <w:rPr>
                <w:rFonts w:ascii="Times New Roman" w:hAnsi="Times New Roman"/>
                <w:bCs/>
                <w:color w:val="000000"/>
              </w:rPr>
              <w:t>S</w:t>
            </w:r>
            <w:r w:rsidR="005569EE">
              <w:rPr>
                <w:rFonts w:ascii="Times New Roman" w:hAnsi="Times New Roman"/>
                <w:bCs/>
                <w:color w:val="000000"/>
              </w:rPr>
              <w:t xml:space="preserve">tąd proponowane zmiany mają </w:t>
            </w:r>
            <w:r w:rsidR="005569EE" w:rsidRPr="005569EE">
              <w:rPr>
                <w:rFonts w:ascii="Times New Roman" w:hAnsi="Times New Roman"/>
                <w:bCs/>
                <w:color w:val="000000"/>
              </w:rPr>
              <w:t xml:space="preserve">na celu zagwarantowanie, że również w przypadku rynkowego redysponowania MFW </w:t>
            </w:r>
            <w:r w:rsidR="009714CD" w:rsidRPr="005569EE">
              <w:rPr>
                <w:rFonts w:ascii="Times New Roman" w:hAnsi="Times New Roman"/>
                <w:bCs/>
                <w:color w:val="000000"/>
              </w:rPr>
              <w:t>w</w:t>
            </w:r>
            <w:r w:rsidR="009714CD">
              <w:rPr>
                <w:rFonts w:ascii="Times New Roman" w:hAnsi="Times New Roman"/>
                <w:bCs/>
                <w:color w:val="000000"/>
              </w:rPr>
              <w:t> </w:t>
            </w:r>
            <w:r w:rsidR="005569EE" w:rsidRPr="005569EE">
              <w:rPr>
                <w:rFonts w:ascii="Times New Roman" w:hAnsi="Times New Roman"/>
                <w:bCs/>
                <w:color w:val="000000"/>
              </w:rPr>
              <w:t xml:space="preserve">okresie, w którym operator systemu przesyłowego elektroenergetycznego nie </w:t>
            </w:r>
            <w:bookmarkStart w:id="25" w:name="_Hlk184365111"/>
            <w:r w:rsidR="005569EE" w:rsidRPr="005569EE">
              <w:rPr>
                <w:rFonts w:ascii="Times New Roman" w:hAnsi="Times New Roman"/>
                <w:bCs/>
                <w:color w:val="000000"/>
              </w:rPr>
              <w:t>gwarantuje pełnego wyprowadzenia mocy wytwórca będzie miał możliwość uzyskania od Zarządcy Rozliczeń prawa do pokrycia ujemnego salda jako formy rekompensaty za ograniczenie produkcji w wyniku redysponowania.</w:t>
            </w:r>
          </w:p>
          <w:p w14:paraId="05113D89" w14:textId="77777777" w:rsidR="00830ACC" w:rsidRPr="00051472" w:rsidRDefault="00830ACC" w:rsidP="00093E33">
            <w:pPr>
              <w:pStyle w:val="Akapitzlist"/>
              <w:numPr>
                <w:ilvl w:val="0"/>
                <w:numId w:val="82"/>
              </w:numPr>
              <w:spacing w:after="120"/>
              <w:contextualSpacing w:val="0"/>
              <w:jc w:val="both"/>
              <w:rPr>
                <w:rFonts w:ascii="Times New Roman" w:hAnsi="Times New Roman"/>
                <w:b/>
                <w:color w:val="000000"/>
              </w:rPr>
            </w:pPr>
            <w:bookmarkStart w:id="26" w:name="_Hlk185240431"/>
            <w:bookmarkEnd w:id="25"/>
            <w:r w:rsidRPr="00051472">
              <w:rPr>
                <w:rFonts w:ascii="Times New Roman" w:hAnsi="Times New Roman"/>
                <w:b/>
                <w:color w:val="000000"/>
              </w:rPr>
              <w:t>Sprzedaż energii w okresie rozruchu technologicznego MFW</w:t>
            </w:r>
          </w:p>
          <w:bookmarkEnd w:id="26"/>
          <w:p w14:paraId="2B1C9660" w14:textId="77777777" w:rsidR="0035499E" w:rsidRDefault="00830ACC" w:rsidP="00093E33">
            <w:pPr>
              <w:spacing w:after="120"/>
              <w:jc w:val="both"/>
              <w:rPr>
                <w:rFonts w:ascii="Times New Roman" w:hAnsi="Times New Roman"/>
                <w:bCs/>
                <w:color w:val="000000"/>
              </w:rPr>
            </w:pPr>
            <w:r w:rsidRPr="00A926DE">
              <w:rPr>
                <w:rFonts w:ascii="Times New Roman" w:hAnsi="Times New Roman"/>
                <w:bCs/>
                <w:color w:val="000000"/>
              </w:rPr>
              <w:t xml:space="preserve">Celem proponowanych rozwiązań jest doprecyzowanie i jednoznaczne uregulowanie statusu prawnego podmiotów wytwarzających energię elektryczną w okresie rozruchu technologicznego morskiej farmy wiatrowej. </w:t>
            </w:r>
          </w:p>
          <w:p w14:paraId="29605D62" w14:textId="404F2D37" w:rsidR="0035499E" w:rsidRDefault="0035499E" w:rsidP="00093E33">
            <w:pPr>
              <w:spacing w:after="120"/>
              <w:jc w:val="both"/>
              <w:rPr>
                <w:rFonts w:ascii="Times New Roman" w:hAnsi="Times New Roman"/>
                <w:bCs/>
                <w:color w:val="000000"/>
              </w:rPr>
            </w:pPr>
            <w:r w:rsidRPr="00E05501">
              <w:rPr>
                <w:rFonts w:ascii="Times New Roman" w:hAnsi="Times New Roman"/>
                <w:bCs/>
                <w:color w:val="000000"/>
              </w:rPr>
              <w:t>Proponuje się umożliwienie sprzedaży energii elektrycznej produkowanej w trakcie okresu oddawania MFW do użytkowania na rynkach: dnia następnego, dnia bieżącego oraz bilansującym. Takie podejście będzie spójne z</w:t>
            </w:r>
            <w:r w:rsidR="00347B23">
              <w:rPr>
                <w:rFonts w:ascii="Times New Roman" w:hAnsi="Times New Roman"/>
                <w:bCs/>
                <w:color w:val="000000"/>
              </w:rPr>
              <w:t> </w:t>
            </w:r>
            <w:r w:rsidRPr="00E05501">
              <w:rPr>
                <w:rFonts w:ascii="Times New Roman" w:hAnsi="Times New Roman"/>
                <w:bCs/>
                <w:color w:val="000000"/>
              </w:rPr>
              <w:t>przeważającą praktyką na innych rynkach państw europejskich i przyczyni się do bardziej zbilansowanego i efektywnego kosztowo systemu, jednocześnie zapewniając bezpieczeństwo dostaw energii.</w:t>
            </w:r>
          </w:p>
          <w:p w14:paraId="0195269F" w14:textId="0210B085" w:rsidR="00830ACC" w:rsidRDefault="00830ACC" w:rsidP="00093E33">
            <w:pPr>
              <w:spacing w:after="120"/>
              <w:jc w:val="both"/>
              <w:rPr>
                <w:rFonts w:ascii="Times New Roman" w:hAnsi="Times New Roman"/>
                <w:bCs/>
                <w:color w:val="000000"/>
              </w:rPr>
            </w:pPr>
            <w:r w:rsidRPr="00A926DE">
              <w:rPr>
                <w:rFonts w:ascii="Times New Roman" w:hAnsi="Times New Roman"/>
                <w:bCs/>
                <w:color w:val="000000"/>
              </w:rPr>
              <w:t>Jednocześnie, w celu uniknięcia wątpliwości</w:t>
            </w:r>
            <w:r>
              <w:rPr>
                <w:rFonts w:ascii="Times New Roman" w:hAnsi="Times New Roman"/>
                <w:bCs/>
                <w:color w:val="000000"/>
              </w:rPr>
              <w:t xml:space="preserve"> interpretacyjnych</w:t>
            </w:r>
            <w:r w:rsidRPr="00A926DE">
              <w:rPr>
                <w:rFonts w:ascii="Times New Roman" w:hAnsi="Times New Roman"/>
                <w:bCs/>
                <w:color w:val="000000"/>
              </w:rPr>
              <w:t xml:space="preserve">, </w:t>
            </w:r>
            <w:r w:rsidR="000701C6">
              <w:rPr>
                <w:rFonts w:ascii="Times New Roman" w:hAnsi="Times New Roman"/>
                <w:bCs/>
                <w:color w:val="000000"/>
              </w:rPr>
              <w:t>konieczne</w:t>
            </w:r>
            <w:r w:rsidR="0035499E">
              <w:rPr>
                <w:rFonts w:ascii="Times New Roman" w:hAnsi="Times New Roman"/>
                <w:bCs/>
                <w:color w:val="000000"/>
              </w:rPr>
              <w:t xml:space="preserve"> jest doprecyzowanie</w:t>
            </w:r>
            <w:r w:rsidRPr="00A926DE">
              <w:rPr>
                <w:rFonts w:ascii="Times New Roman" w:hAnsi="Times New Roman"/>
                <w:bCs/>
                <w:color w:val="000000"/>
              </w:rPr>
              <w:t xml:space="preserve">, </w:t>
            </w:r>
            <w:r>
              <w:rPr>
                <w:rFonts w:ascii="Times New Roman" w:hAnsi="Times New Roman"/>
                <w:bCs/>
                <w:color w:val="000000"/>
              </w:rPr>
              <w:t>że</w:t>
            </w:r>
            <w:r w:rsidRPr="00A926DE">
              <w:rPr>
                <w:rFonts w:ascii="Times New Roman" w:hAnsi="Times New Roman"/>
                <w:bCs/>
                <w:color w:val="000000"/>
              </w:rPr>
              <w:t xml:space="preserve"> prawo sprzedaży energii elektrycznej w okresie rozruchu </w:t>
            </w:r>
            <w:r w:rsidR="0035499E">
              <w:rPr>
                <w:rFonts w:ascii="Times New Roman" w:hAnsi="Times New Roman"/>
                <w:bCs/>
                <w:color w:val="000000"/>
              </w:rPr>
              <w:t xml:space="preserve">technologicznego </w:t>
            </w:r>
            <w:r w:rsidRPr="00A926DE">
              <w:rPr>
                <w:rFonts w:ascii="Times New Roman" w:hAnsi="Times New Roman"/>
                <w:bCs/>
                <w:color w:val="000000"/>
              </w:rPr>
              <w:t xml:space="preserve">nie pozbawia wytwórcy możliwości rozliczenia tej energii na rynku bilansującym (w przypadku, gdyby umowa sprzedaży energii nie </w:t>
            </w:r>
            <w:r w:rsidR="000701C6">
              <w:rPr>
                <w:rFonts w:ascii="Times New Roman" w:hAnsi="Times New Roman"/>
                <w:bCs/>
                <w:color w:val="000000"/>
              </w:rPr>
              <w:t>obejmowała</w:t>
            </w:r>
            <w:r w:rsidRPr="00A926DE">
              <w:rPr>
                <w:rFonts w:ascii="Times New Roman" w:hAnsi="Times New Roman"/>
                <w:bCs/>
                <w:color w:val="000000"/>
              </w:rPr>
              <w:t xml:space="preserve"> dla tego okresu).</w:t>
            </w:r>
          </w:p>
          <w:p w14:paraId="6C7423C1" w14:textId="5E6B8042" w:rsidR="00830ACC" w:rsidRPr="00051472" w:rsidRDefault="00E31AF1" w:rsidP="00093E33">
            <w:pPr>
              <w:pStyle w:val="Akapitzlist"/>
              <w:numPr>
                <w:ilvl w:val="0"/>
                <w:numId w:val="82"/>
              </w:numPr>
              <w:spacing w:after="120"/>
              <w:contextualSpacing w:val="0"/>
              <w:jc w:val="both"/>
              <w:rPr>
                <w:rFonts w:ascii="Times New Roman" w:hAnsi="Times New Roman"/>
                <w:b/>
                <w:color w:val="000000"/>
              </w:rPr>
            </w:pPr>
            <w:bookmarkStart w:id="27" w:name="_Hlk185240449"/>
            <w:r>
              <w:rPr>
                <w:rFonts w:ascii="Times New Roman" w:hAnsi="Times New Roman"/>
                <w:b/>
                <w:color w:val="000000"/>
              </w:rPr>
              <w:t>U</w:t>
            </w:r>
            <w:r w:rsidR="00830ACC" w:rsidRPr="00051472">
              <w:rPr>
                <w:rFonts w:ascii="Times New Roman" w:hAnsi="Times New Roman"/>
                <w:b/>
                <w:color w:val="000000"/>
              </w:rPr>
              <w:t xml:space="preserve">możliwienie </w:t>
            </w:r>
            <w:r w:rsidR="00830ACC">
              <w:rPr>
                <w:rFonts w:ascii="Times New Roman" w:hAnsi="Times New Roman"/>
                <w:b/>
                <w:color w:val="000000"/>
              </w:rPr>
              <w:t>mikroprzesunięć</w:t>
            </w:r>
            <w:r w:rsidR="00830ACC" w:rsidRPr="00051472">
              <w:rPr>
                <w:rFonts w:ascii="Times New Roman" w:hAnsi="Times New Roman"/>
                <w:b/>
                <w:color w:val="000000"/>
              </w:rPr>
              <w:t xml:space="preserve"> fundamentów morskich turbin wiatrowych lub stacji elektroenergetycznych</w:t>
            </w:r>
          </w:p>
          <w:bookmarkEnd w:id="27"/>
          <w:p w14:paraId="3A332E38" w14:textId="0D4E13AA" w:rsidR="00830ACC" w:rsidRDefault="00830ACC" w:rsidP="00093E33">
            <w:pPr>
              <w:spacing w:after="120"/>
              <w:jc w:val="both"/>
              <w:rPr>
                <w:rFonts w:ascii="Times New Roman" w:hAnsi="Times New Roman"/>
                <w:bCs/>
                <w:color w:val="000000"/>
              </w:rPr>
            </w:pPr>
            <w:r>
              <w:rPr>
                <w:rFonts w:ascii="Times New Roman" w:hAnsi="Times New Roman"/>
                <w:bCs/>
                <w:color w:val="000000"/>
              </w:rPr>
              <w:t xml:space="preserve">Proponuje się </w:t>
            </w:r>
            <w:r w:rsidR="009645D8">
              <w:rPr>
                <w:rFonts w:ascii="Times New Roman" w:hAnsi="Times New Roman"/>
                <w:bCs/>
                <w:color w:val="000000"/>
              </w:rPr>
              <w:t xml:space="preserve">dodanie przepisów regulujących możliwość </w:t>
            </w:r>
            <w:r w:rsidR="009645D8" w:rsidRPr="008070CF">
              <w:rPr>
                <w:rFonts w:ascii="Times New Roman" w:hAnsi="Times New Roman"/>
                <w:bCs/>
                <w:color w:val="000000"/>
              </w:rPr>
              <w:t>przesunięci</w:t>
            </w:r>
            <w:r w:rsidR="009645D8">
              <w:rPr>
                <w:rFonts w:ascii="Times New Roman" w:hAnsi="Times New Roman"/>
                <w:bCs/>
                <w:color w:val="000000"/>
              </w:rPr>
              <w:t>a</w:t>
            </w:r>
            <w:r w:rsidR="009645D8" w:rsidRPr="008070CF">
              <w:rPr>
                <w:rFonts w:ascii="Times New Roman" w:hAnsi="Times New Roman"/>
                <w:bCs/>
                <w:color w:val="000000"/>
              </w:rPr>
              <w:t xml:space="preserve"> środka okręgu opisanego na obrysie </w:t>
            </w:r>
            <w:r w:rsidR="009645D8">
              <w:rPr>
                <w:rFonts w:ascii="Times New Roman" w:hAnsi="Times New Roman"/>
                <w:bCs/>
                <w:color w:val="000000"/>
              </w:rPr>
              <w:t xml:space="preserve">stałego </w:t>
            </w:r>
            <w:r w:rsidR="009645D8" w:rsidRPr="008070CF">
              <w:rPr>
                <w:rFonts w:ascii="Times New Roman" w:hAnsi="Times New Roman"/>
                <w:bCs/>
                <w:color w:val="000000"/>
              </w:rPr>
              <w:t>fundamentu morskiej turbiny wiatrowej lub morskiej stacji transformatorowej o nie więcej niż 50 m</w:t>
            </w:r>
            <w:r w:rsidR="009645D8">
              <w:rPr>
                <w:rFonts w:ascii="Times New Roman" w:hAnsi="Times New Roman"/>
                <w:bCs/>
                <w:color w:val="000000"/>
              </w:rPr>
              <w:t xml:space="preserve">. Informacja </w:t>
            </w:r>
            <w:r w:rsidR="009645D8">
              <w:rPr>
                <w:rFonts w:ascii="Times New Roman" w:hAnsi="Times New Roman"/>
                <w:bCs/>
                <w:color w:val="000000"/>
              </w:rPr>
              <w:lastRenderedPageBreak/>
              <w:t>o</w:t>
            </w:r>
            <w:r w:rsidR="00347B23">
              <w:rPr>
                <w:rFonts w:ascii="Times New Roman" w:hAnsi="Times New Roman"/>
                <w:bCs/>
                <w:color w:val="000000"/>
              </w:rPr>
              <w:t> </w:t>
            </w:r>
            <w:r w:rsidR="009645D8">
              <w:rPr>
                <w:rFonts w:ascii="Times New Roman" w:hAnsi="Times New Roman"/>
                <w:bCs/>
                <w:color w:val="000000"/>
              </w:rPr>
              <w:t xml:space="preserve">przesunięciu </w:t>
            </w:r>
            <w:r w:rsidR="00E05501">
              <w:rPr>
                <w:rFonts w:ascii="Times New Roman" w:hAnsi="Times New Roman"/>
                <w:bCs/>
                <w:color w:val="000000"/>
              </w:rPr>
              <w:t>będzie podlegać</w:t>
            </w:r>
            <w:r w:rsidRPr="008070CF">
              <w:rPr>
                <w:rFonts w:ascii="Times New Roman" w:hAnsi="Times New Roman"/>
                <w:bCs/>
                <w:color w:val="000000"/>
              </w:rPr>
              <w:t xml:space="preserve"> zgłoszeniu dyrektorowi urzędu morskiego właściwego dla lokalizacji morskiej farmy wiatrowej</w:t>
            </w:r>
            <w:r w:rsidR="00E05501">
              <w:rPr>
                <w:rFonts w:ascii="Times New Roman" w:hAnsi="Times New Roman"/>
                <w:bCs/>
                <w:color w:val="000000"/>
              </w:rPr>
              <w:t xml:space="preserve">. </w:t>
            </w:r>
          </w:p>
          <w:p w14:paraId="4DB990D4" w14:textId="07550913" w:rsidR="00830ACC" w:rsidRPr="0055592E" w:rsidRDefault="00830ACC" w:rsidP="00093E33">
            <w:pPr>
              <w:pStyle w:val="Akapitzlist"/>
              <w:numPr>
                <w:ilvl w:val="0"/>
                <w:numId w:val="82"/>
              </w:numPr>
              <w:spacing w:after="120"/>
              <w:contextualSpacing w:val="0"/>
              <w:jc w:val="both"/>
              <w:rPr>
                <w:rFonts w:ascii="Times New Roman" w:hAnsi="Times New Roman"/>
                <w:b/>
                <w:color w:val="000000"/>
              </w:rPr>
            </w:pPr>
            <w:bookmarkStart w:id="28" w:name="_Hlk185240469"/>
            <w:r w:rsidRPr="0055592E">
              <w:rPr>
                <w:rFonts w:ascii="Times New Roman" w:hAnsi="Times New Roman"/>
                <w:b/>
                <w:color w:val="000000"/>
              </w:rPr>
              <w:t xml:space="preserve">Współdzielenie przez więcej niż jedną </w:t>
            </w:r>
            <w:r w:rsidR="00597CC0">
              <w:rPr>
                <w:rFonts w:ascii="Times New Roman" w:hAnsi="Times New Roman"/>
                <w:b/>
                <w:color w:val="000000"/>
              </w:rPr>
              <w:t>MFW</w:t>
            </w:r>
            <w:r w:rsidRPr="0055592E">
              <w:rPr>
                <w:rFonts w:ascii="Times New Roman" w:hAnsi="Times New Roman"/>
                <w:b/>
                <w:color w:val="000000"/>
              </w:rPr>
              <w:t xml:space="preserve"> tej samej stacji elektroenergetycznej zlokalizowanej na morzu lub zespołu urządzeń służących do wyprowadzenia mocy lub ich elementów</w:t>
            </w:r>
          </w:p>
          <w:bookmarkEnd w:id="28"/>
          <w:p w14:paraId="0EFBC331" w14:textId="77777777" w:rsidR="00830ACC" w:rsidRPr="00225CCD" w:rsidRDefault="00830ACC" w:rsidP="00093E33">
            <w:pPr>
              <w:spacing w:after="120"/>
              <w:jc w:val="both"/>
              <w:rPr>
                <w:rFonts w:ascii="Times New Roman" w:hAnsi="Times New Roman"/>
                <w:color w:val="000000"/>
              </w:rPr>
            </w:pPr>
            <w:r w:rsidRPr="00225CCD">
              <w:rPr>
                <w:rFonts w:ascii="Times New Roman" w:hAnsi="Times New Roman"/>
                <w:color w:val="000000"/>
              </w:rPr>
              <w:t>Z punktu widzenia efektywnego wykorzystywania zasobów oraz ograniczania kosztów po stronie odbiorców końcowych niezmiernie istotne jest uregulowanie możliwości wyprowadzenia mocy z obszarów, na których realizowane są projekty tzw. I i II fazy wsparcia.</w:t>
            </w:r>
          </w:p>
          <w:p w14:paraId="0C22DE45" w14:textId="6E6D3B00" w:rsidR="00830ACC" w:rsidRDefault="00830ACC" w:rsidP="00093E33">
            <w:pPr>
              <w:spacing w:after="120"/>
              <w:jc w:val="both"/>
              <w:rPr>
                <w:rFonts w:ascii="Times New Roman" w:hAnsi="Times New Roman"/>
                <w:color w:val="000000"/>
              </w:rPr>
            </w:pPr>
            <w:r w:rsidRPr="00225CCD">
              <w:rPr>
                <w:rFonts w:ascii="Times New Roman" w:hAnsi="Times New Roman"/>
                <w:color w:val="000000"/>
              </w:rPr>
              <w:t>Proponuje się zatem wprowadzenie przepisów umożliwiających korzystanie ze wspólnego wyprowadzenia mocy, o ile będą wprowadzone systemy pomiarowe umożliwiające określenie</w:t>
            </w:r>
            <w:r w:rsidR="00E05501">
              <w:rPr>
                <w:rFonts w:ascii="Times New Roman" w:hAnsi="Times New Roman"/>
                <w:color w:val="000000"/>
              </w:rPr>
              <w:t>,</w:t>
            </w:r>
            <w:r w:rsidRPr="00225CCD">
              <w:rPr>
                <w:rFonts w:ascii="Times New Roman" w:hAnsi="Times New Roman"/>
                <w:color w:val="000000"/>
              </w:rPr>
              <w:t xml:space="preserve"> która farma produkuje ile energii. Takie podejście zoptymalizuje koszty związane z wyprowadzeniem mocy, co w przypadku niektórych projektów może mieć decydujące znaczenie o możliwości ich realizacji.</w:t>
            </w:r>
          </w:p>
          <w:p w14:paraId="438DA9D3" w14:textId="6190C7BC" w:rsidR="00830ACC" w:rsidRDefault="00830ACC" w:rsidP="00093E33">
            <w:pPr>
              <w:spacing w:after="120"/>
              <w:jc w:val="both"/>
              <w:rPr>
                <w:rFonts w:ascii="Times New Roman" w:hAnsi="Times New Roman"/>
                <w:color w:val="000000"/>
              </w:rPr>
            </w:pPr>
            <w:r>
              <w:rPr>
                <w:rFonts w:ascii="Times New Roman" w:hAnsi="Times New Roman"/>
                <w:color w:val="000000"/>
              </w:rPr>
              <w:t xml:space="preserve">Projektowane zmiany uwzględniają także korekcję </w:t>
            </w:r>
            <w:r w:rsidR="00E05501">
              <w:rPr>
                <w:rFonts w:ascii="Times New Roman" w:hAnsi="Times New Roman"/>
                <w:color w:val="000000"/>
              </w:rPr>
              <w:t>przyznanego wsparcia</w:t>
            </w:r>
            <w:r>
              <w:rPr>
                <w:rFonts w:ascii="Times New Roman" w:hAnsi="Times New Roman"/>
                <w:color w:val="000000"/>
              </w:rPr>
              <w:t xml:space="preserve"> w związku z</w:t>
            </w:r>
            <w:r w:rsidR="00E05501">
              <w:rPr>
                <w:rFonts w:ascii="Times New Roman" w:hAnsi="Times New Roman"/>
                <w:color w:val="000000"/>
              </w:rPr>
              <w:t>e</w:t>
            </w:r>
            <w:r>
              <w:rPr>
                <w:rFonts w:ascii="Times New Roman" w:hAnsi="Times New Roman"/>
                <w:color w:val="000000"/>
              </w:rPr>
              <w:t xml:space="preserve"> współdzieleniem</w:t>
            </w:r>
            <w:r w:rsidR="00E05501">
              <w:rPr>
                <w:rFonts w:ascii="Times New Roman" w:hAnsi="Times New Roman"/>
                <w:color w:val="000000"/>
              </w:rPr>
              <w:t xml:space="preserve"> tej</w:t>
            </w:r>
            <w:r>
              <w:rPr>
                <w:rFonts w:ascii="Times New Roman" w:hAnsi="Times New Roman"/>
                <w:color w:val="000000"/>
              </w:rPr>
              <w:t xml:space="preserve"> </w:t>
            </w:r>
            <w:r w:rsidRPr="00B1250A">
              <w:rPr>
                <w:rFonts w:ascii="Times New Roman" w:hAnsi="Times New Roman"/>
                <w:color w:val="000000"/>
              </w:rPr>
              <w:t xml:space="preserve">samej stacji elektroenergetycznej zlokalizowanej na morzu lub zespołu urządzeń służących do wyprowadzenia mocy lub ich elementów </w:t>
            </w:r>
            <w:r>
              <w:rPr>
                <w:rFonts w:ascii="Times New Roman" w:hAnsi="Times New Roman"/>
                <w:color w:val="000000"/>
              </w:rPr>
              <w:t xml:space="preserve">w przypadku gdy </w:t>
            </w:r>
            <w:r w:rsidR="00E05501">
              <w:rPr>
                <w:rFonts w:ascii="Times New Roman" w:hAnsi="Times New Roman"/>
                <w:color w:val="000000"/>
              </w:rPr>
              <w:t>tej</w:t>
            </w:r>
            <w:r>
              <w:rPr>
                <w:rFonts w:ascii="Times New Roman" w:hAnsi="Times New Roman"/>
                <w:color w:val="000000"/>
              </w:rPr>
              <w:t xml:space="preserve"> </w:t>
            </w:r>
            <w:r w:rsidRPr="00B1250A">
              <w:rPr>
                <w:rFonts w:ascii="Times New Roman" w:hAnsi="Times New Roman"/>
                <w:color w:val="000000"/>
              </w:rPr>
              <w:t>stacji elektroenergetycznej lub zespołu urządzeń</w:t>
            </w:r>
            <w:r>
              <w:rPr>
                <w:rFonts w:ascii="Times New Roman" w:hAnsi="Times New Roman"/>
                <w:color w:val="000000"/>
              </w:rPr>
              <w:t xml:space="preserve"> została uzyskana pomoc </w:t>
            </w:r>
            <w:r w:rsidRPr="0068748F">
              <w:rPr>
                <w:rFonts w:ascii="Times New Roman" w:hAnsi="Times New Roman"/>
                <w:color w:val="000000"/>
              </w:rPr>
              <w:t xml:space="preserve">inwestycyjna </w:t>
            </w:r>
            <w:r>
              <w:rPr>
                <w:rFonts w:ascii="Times New Roman" w:hAnsi="Times New Roman"/>
                <w:color w:val="000000"/>
              </w:rPr>
              <w:t xml:space="preserve">lub gdy dojdzie do </w:t>
            </w:r>
            <w:r w:rsidRPr="00B1250A">
              <w:rPr>
                <w:rFonts w:ascii="Times New Roman" w:hAnsi="Times New Roman"/>
                <w:color w:val="000000"/>
              </w:rPr>
              <w:t xml:space="preserve">zbycia </w:t>
            </w:r>
            <w:r>
              <w:rPr>
                <w:rFonts w:ascii="Times New Roman" w:hAnsi="Times New Roman"/>
                <w:color w:val="000000"/>
              </w:rPr>
              <w:t xml:space="preserve">współdzielonej </w:t>
            </w:r>
            <w:r w:rsidRPr="00B1250A">
              <w:rPr>
                <w:rFonts w:ascii="Times New Roman" w:hAnsi="Times New Roman"/>
                <w:color w:val="000000"/>
              </w:rPr>
              <w:t>stacji elektroenergetycznej lub zespołu urządzeń</w:t>
            </w:r>
            <w:r>
              <w:rPr>
                <w:rFonts w:ascii="Times New Roman" w:hAnsi="Times New Roman"/>
                <w:color w:val="000000"/>
              </w:rPr>
              <w:t>.</w:t>
            </w:r>
          </w:p>
          <w:p w14:paraId="4CE7A77E" w14:textId="41D09DC7" w:rsidR="00830ACC" w:rsidRPr="003932FC" w:rsidRDefault="00830ACC" w:rsidP="00093E33">
            <w:pPr>
              <w:pStyle w:val="Akapitzlist"/>
              <w:numPr>
                <w:ilvl w:val="0"/>
                <w:numId w:val="82"/>
              </w:numPr>
              <w:spacing w:after="120"/>
              <w:contextualSpacing w:val="0"/>
              <w:jc w:val="both"/>
              <w:rPr>
                <w:rFonts w:ascii="Times New Roman" w:hAnsi="Times New Roman"/>
                <w:b/>
                <w:color w:val="000000"/>
              </w:rPr>
            </w:pPr>
            <w:bookmarkStart w:id="29" w:name="_Hlk185240563"/>
            <w:r>
              <w:rPr>
                <w:rFonts w:ascii="Times New Roman" w:hAnsi="Times New Roman"/>
                <w:b/>
                <w:color w:val="000000"/>
              </w:rPr>
              <w:t>Niezbędne doprecyzowania w zakresie e</w:t>
            </w:r>
            <w:r w:rsidRPr="003932FC">
              <w:rPr>
                <w:rFonts w:ascii="Times New Roman" w:hAnsi="Times New Roman"/>
                <w:b/>
                <w:color w:val="000000"/>
              </w:rPr>
              <w:t>tapowani</w:t>
            </w:r>
            <w:r w:rsidR="002C6D44">
              <w:rPr>
                <w:rFonts w:ascii="Times New Roman" w:hAnsi="Times New Roman"/>
                <w:b/>
                <w:color w:val="000000"/>
              </w:rPr>
              <w:t>a</w:t>
            </w:r>
            <w:r w:rsidRPr="003932FC">
              <w:rPr>
                <w:rFonts w:ascii="Times New Roman" w:hAnsi="Times New Roman"/>
                <w:b/>
                <w:color w:val="000000"/>
              </w:rPr>
              <w:t xml:space="preserve"> inwestycji</w:t>
            </w:r>
          </w:p>
          <w:bookmarkEnd w:id="29"/>
          <w:p w14:paraId="2FF8BFE9" w14:textId="790D1585" w:rsidR="00830ACC" w:rsidRDefault="00830ACC" w:rsidP="00093E33">
            <w:pPr>
              <w:spacing w:after="120"/>
              <w:jc w:val="both"/>
              <w:rPr>
                <w:rFonts w:ascii="Times New Roman" w:hAnsi="Times New Roman"/>
                <w:bCs/>
                <w:color w:val="000000"/>
              </w:rPr>
            </w:pPr>
            <w:r>
              <w:rPr>
                <w:rFonts w:ascii="Times New Roman" w:hAnsi="Times New Roman"/>
                <w:bCs/>
                <w:color w:val="000000"/>
              </w:rPr>
              <w:t>W ustawie offshore wind</w:t>
            </w:r>
            <w:r w:rsidR="004864BB">
              <w:rPr>
                <w:rFonts w:ascii="Times New Roman" w:hAnsi="Times New Roman"/>
                <w:bCs/>
                <w:color w:val="000000"/>
              </w:rPr>
              <w:t xml:space="preserve"> dostosowano</w:t>
            </w:r>
            <w:r w:rsidRPr="00B1250A">
              <w:rPr>
                <w:rFonts w:ascii="Times New Roman" w:hAnsi="Times New Roman"/>
                <w:bCs/>
                <w:color w:val="000000"/>
              </w:rPr>
              <w:t xml:space="preserve"> wzór, za pomocą którego należy wyliczyć </w:t>
            </w:r>
            <w:r w:rsidR="004864BB">
              <w:rPr>
                <w:rFonts w:ascii="Times New Roman" w:hAnsi="Times New Roman"/>
                <w:bCs/>
                <w:color w:val="000000"/>
              </w:rPr>
              <w:t xml:space="preserve">wartość pomocy inwestycyjnej, a tym samym </w:t>
            </w:r>
            <w:r w:rsidRPr="00B1250A">
              <w:rPr>
                <w:rFonts w:ascii="Times New Roman" w:hAnsi="Times New Roman"/>
                <w:bCs/>
                <w:color w:val="000000"/>
              </w:rPr>
              <w:t>wysokość ceny skorygowanej stanowiącej podstawę wypłaty ujemnego salda w przypadku, gdy wytwórca otrzyma pomoc inwestycyjną przeznaczon</w:t>
            </w:r>
            <w:r>
              <w:rPr>
                <w:rFonts w:ascii="Times New Roman" w:hAnsi="Times New Roman"/>
                <w:bCs/>
                <w:color w:val="000000"/>
              </w:rPr>
              <w:t>ą</w:t>
            </w:r>
            <w:r w:rsidRPr="00B1250A">
              <w:rPr>
                <w:rFonts w:ascii="Times New Roman" w:hAnsi="Times New Roman"/>
                <w:bCs/>
                <w:color w:val="000000"/>
              </w:rPr>
              <w:t xml:space="preserve"> na realizację inwestycji w zakresie morskiej farmy wiatrowej wraz z zespołem urządzeń służących do wyprowadzenia mocy. Jednym z elementów wzoru jest ilość energii elektrycznej, która została</w:t>
            </w:r>
            <w:r>
              <w:rPr>
                <w:rFonts w:ascii="Times New Roman" w:hAnsi="Times New Roman"/>
                <w:bCs/>
                <w:color w:val="000000"/>
              </w:rPr>
              <w:t xml:space="preserve"> </w:t>
            </w:r>
            <w:r w:rsidRPr="00B1250A">
              <w:rPr>
                <w:rFonts w:ascii="Times New Roman" w:hAnsi="Times New Roman"/>
                <w:bCs/>
                <w:color w:val="000000"/>
              </w:rPr>
              <w:t>zdefiniowana jako ilość energii elektrycznej, wyrażona w MWh, obliczona w oparciu o moc zainstalowaną elektryczną morskiej farmy wiatrowej, objętą wnioskiem o</w:t>
            </w:r>
            <w:r w:rsidR="00347B23">
              <w:rPr>
                <w:rFonts w:ascii="Times New Roman" w:hAnsi="Times New Roman"/>
                <w:bCs/>
                <w:color w:val="000000"/>
              </w:rPr>
              <w:t> </w:t>
            </w:r>
            <w:r w:rsidRPr="00B1250A">
              <w:rPr>
                <w:rFonts w:ascii="Times New Roman" w:hAnsi="Times New Roman"/>
                <w:bCs/>
                <w:color w:val="000000"/>
              </w:rPr>
              <w:t xml:space="preserve">udzielenie lub zmianę koncesji na wytwarzanie energii elektrycznej. </w:t>
            </w:r>
          </w:p>
          <w:p w14:paraId="6189A13C" w14:textId="77777777" w:rsidR="00830ACC" w:rsidRDefault="00830ACC" w:rsidP="00093E33">
            <w:pPr>
              <w:spacing w:after="120"/>
              <w:jc w:val="both"/>
              <w:rPr>
                <w:rFonts w:ascii="Times New Roman" w:hAnsi="Times New Roman"/>
                <w:bCs/>
                <w:color w:val="000000"/>
              </w:rPr>
            </w:pPr>
            <w:r w:rsidRPr="00B1250A">
              <w:rPr>
                <w:rFonts w:ascii="Times New Roman" w:hAnsi="Times New Roman"/>
                <w:bCs/>
                <w:color w:val="000000"/>
              </w:rPr>
              <w:t xml:space="preserve">Przepisy ustawy </w:t>
            </w:r>
            <w:r>
              <w:rPr>
                <w:rFonts w:ascii="Times New Roman" w:hAnsi="Times New Roman"/>
                <w:bCs/>
                <w:color w:val="000000"/>
              </w:rPr>
              <w:t>offshore wind</w:t>
            </w:r>
            <w:r w:rsidRPr="00B1250A">
              <w:rPr>
                <w:rFonts w:ascii="Times New Roman" w:hAnsi="Times New Roman"/>
                <w:bCs/>
                <w:color w:val="000000"/>
              </w:rPr>
              <w:t xml:space="preserve"> przewidują możliwość etapowego występowania do Prezesa URE z wnioskiem koncesyjnym, obejmującym tylko część mocy instalacji. Może zatem dojść do sytuacji, w której cena skorygowana będzie wyliczana w oparciu o wartość udzielonego wsparcia inwestycyjnego dotyczącego całej morskiej farmy wiatrowej (jej mocy całkowitej, a nie objętej wnioskiem koncesyjnym), jednak z uwzględnieniem tylko tej ilości energii elektrycznej, która wynika z mocy objętej wnioskiem koncesyjnym. Tym samym skutkować to będzie nadmiernym obniżeniem ceny skorygowanej czyli zaniżeniem poziomu wsparcia. </w:t>
            </w:r>
          </w:p>
          <w:p w14:paraId="04FE086F" w14:textId="77777777" w:rsidR="00830ACC" w:rsidRDefault="00830ACC" w:rsidP="00093E33">
            <w:pPr>
              <w:spacing w:after="120"/>
              <w:jc w:val="both"/>
              <w:rPr>
                <w:rFonts w:ascii="Times New Roman" w:hAnsi="Times New Roman"/>
                <w:bCs/>
                <w:color w:val="000000"/>
              </w:rPr>
            </w:pPr>
            <w:r w:rsidRPr="00B1250A">
              <w:rPr>
                <w:rFonts w:ascii="Times New Roman" w:hAnsi="Times New Roman"/>
                <w:bCs/>
                <w:color w:val="000000"/>
              </w:rPr>
              <w:t>Niezbędne jest zatem takie zmodyfikowanie przepisów dotyczących kumulacji pomocy publicznej, aby pomoc inwestycyjna przeznaczona na realizację inwestycji w zakresie morskiej farmy wiatrowej wraz z zespołem urządzeń służących do wyprowadzenia mocy była uwzględniana w takiej samej części, w jakiej moc tej instalacji została objęta wnioskiem koncesyjnym.</w:t>
            </w:r>
          </w:p>
          <w:p w14:paraId="4821C606" w14:textId="77777777" w:rsidR="00830ACC" w:rsidRPr="00762B11" w:rsidRDefault="00830ACC" w:rsidP="00093E33">
            <w:pPr>
              <w:pStyle w:val="Akapitzlist"/>
              <w:numPr>
                <w:ilvl w:val="0"/>
                <w:numId w:val="82"/>
              </w:numPr>
              <w:spacing w:after="120"/>
              <w:contextualSpacing w:val="0"/>
              <w:jc w:val="both"/>
              <w:rPr>
                <w:rFonts w:ascii="Times New Roman" w:hAnsi="Times New Roman"/>
                <w:b/>
                <w:color w:val="000000"/>
              </w:rPr>
            </w:pPr>
            <w:bookmarkStart w:id="30" w:name="_Hlk185240595"/>
            <w:r w:rsidRPr="00762B11">
              <w:rPr>
                <w:rFonts w:ascii="Times New Roman" w:hAnsi="Times New Roman"/>
                <w:b/>
                <w:color w:val="000000"/>
              </w:rPr>
              <w:t>Czas pracy w portach morskich lub bazach serwisowych</w:t>
            </w:r>
          </w:p>
          <w:bookmarkEnd w:id="30"/>
          <w:p w14:paraId="4C1FAE73" w14:textId="77777777" w:rsidR="00170908" w:rsidRDefault="00830ACC" w:rsidP="00170908">
            <w:pPr>
              <w:spacing w:after="120"/>
              <w:jc w:val="both"/>
              <w:rPr>
                <w:rFonts w:ascii="Times New Roman" w:hAnsi="Times New Roman"/>
                <w:bCs/>
                <w:color w:val="000000"/>
              </w:rPr>
            </w:pPr>
            <w:r w:rsidRPr="00170908">
              <w:rPr>
                <w:rFonts w:ascii="Times New Roman" w:hAnsi="Times New Roman"/>
                <w:bCs/>
                <w:color w:val="000000"/>
              </w:rPr>
              <w:t>Propon</w:t>
            </w:r>
            <w:r w:rsidR="00E05501" w:rsidRPr="00170908">
              <w:rPr>
                <w:rFonts w:ascii="Times New Roman" w:hAnsi="Times New Roman"/>
                <w:bCs/>
                <w:color w:val="000000"/>
              </w:rPr>
              <w:t xml:space="preserve">owany rozwiązaniem jest </w:t>
            </w:r>
            <w:r w:rsidRPr="00170908">
              <w:rPr>
                <w:rFonts w:ascii="Times New Roman" w:hAnsi="Times New Roman"/>
                <w:bCs/>
                <w:color w:val="000000"/>
              </w:rPr>
              <w:t>wprowadzenie przepisów wskazujących, że czas pracy osób znajdujących się w portach morskich</w:t>
            </w:r>
            <w:r w:rsidR="00C62C40" w:rsidRPr="00170908">
              <w:rPr>
                <w:rFonts w:ascii="Times New Roman" w:hAnsi="Times New Roman"/>
                <w:bCs/>
                <w:color w:val="000000"/>
              </w:rPr>
              <w:t>,</w:t>
            </w:r>
            <w:r w:rsidRPr="00170908">
              <w:rPr>
                <w:rFonts w:ascii="Times New Roman" w:hAnsi="Times New Roman"/>
                <w:bCs/>
                <w:color w:val="000000"/>
              </w:rPr>
              <w:t xml:space="preserve"> terminalach instalacyjnych lub bazach serwisowych przeznaczonych do celów obsługi budowy lub eksploatacji morskiej farmy wiatrowej lub zespołu urządzeń służących do wyprowadzenia mocy, obsługiwanych przez kolejno wymieniające się załogi lub część załogi, może być przedłużony do 14 godzin na dobę i 84 godzin na tydzień. </w:t>
            </w:r>
            <w:bookmarkStart w:id="31" w:name="_Hlk185240622"/>
          </w:p>
          <w:p w14:paraId="1DCAC4BC" w14:textId="7752C220" w:rsidR="009714CD" w:rsidRDefault="009714CD" w:rsidP="00170908">
            <w:pPr>
              <w:pStyle w:val="Akapitzlist"/>
              <w:numPr>
                <w:ilvl w:val="0"/>
                <w:numId w:val="82"/>
              </w:numPr>
              <w:spacing w:after="120"/>
              <w:jc w:val="both"/>
              <w:rPr>
                <w:rFonts w:ascii="Times New Roman" w:hAnsi="Times New Roman"/>
                <w:b/>
                <w:color w:val="000000"/>
              </w:rPr>
            </w:pPr>
            <w:r w:rsidRPr="009714CD">
              <w:rPr>
                <w:rFonts w:ascii="Times New Roman" w:hAnsi="Times New Roman"/>
                <w:b/>
                <w:color w:val="000000"/>
              </w:rPr>
              <w:t>Uniemożliwienie ponownego przyznania wsparcia dla danego projektu MFW, który wsparcie otrzymał, a</w:t>
            </w:r>
            <w:r>
              <w:rPr>
                <w:rFonts w:ascii="Times New Roman" w:hAnsi="Times New Roman"/>
                <w:b/>
                <w:color w:val="000000"/>
              </w:rPr>
              <w:t> </w:t>
            </w:r>
            <w:r w:rsidRPr="009714CD">
              <w:rPr>
                <w:rFonts w:ascii="Times New Roman" w:hAnsi="Times New Roman"/>
                <w:b/>
                <w:color w:val="000000"/>
              </w:rPr>
              <w:t>potem inwestor się tego wsparcia zrzekł</w:t>
            </w:r>
          </w:p>
          <w:p w14:paraId="6C932ED7" w14:textId="0D137CE4" w:rsidR="009714CD" w:rsidRPr="00792646" w:rsidRDefault="009714CD" w:rsidP="00792646">
            <w:pPr>
              <w:spacing w:after="120"/>
              <w:jc w:val="both"/>
              <w:rPr>
                <w:rFonts w:ascii="Times New Roman" w:hAnsi="Times New Roman"/>
                <w:bCs/>
                <w:color w:val="000000"/>
              </w:rPr>
            </w:pPr>
            <w:r w:rsidRPr="009714CD">
              <w:rPr>
                <w:rFonts w:ascii="Times New Roman" w:hAnsi="Times New Roman"/>
                <w:bCs/>
                <w:color w:val="000000"/>
              </w:rPr>
              <w:t>Proponuje się wprowadzenie zakazu możliwości ubiegania się o przyznanie prawa do pokrycia ujemnego salda na zasadach określonych w rozdziale 4 dla danej MFW, dla której wcześniej przyznano wsparcie na zasadach określonych w rozdziale 3 albo w rozdziale 4, ale potem inwestor danego projektu MFW się tego prawa zrzekł.</w:t>
            </w:r>
          </w:p>
          <w:p w14:paraId="6054500C" w14:textId="3AC7CB30" w:rsidR="00830ACC" w:rsidRPr="00170908" w:rsidRDefault="00830ACC" w:rsidP="00170908">
            <w:pPr>
              <w:pStyle w:val="Akapitzlist"/>
              <w:numPr>
                <w:ilvl w:val="0"/>
                <w:numId w:val="82"/>
              </w:numPr>
              <w:spacing w:after="120"/>
              <w:jc w:val="both"/>
              <w:rPr>
                <w:rFonts w:ascii="Times New Roman" w:hAnsi="Times New Roman"/>
                <w:b/>
                <w:color w:val="000000"/>
              </w:rPr>
            </w:pPr>
            <w:r w:rsidRPr="00170908">
              <w:rPr>
                <w:rFonts w:ascii="Times New Roman" w:hAnsi="Times New Roman"/>
                <w:b/>
                <w:color w:val="000000"/>
              </w:rPr>
              <w:t xml:space="preserve">Zmiana reguł wydatkowych </w:t>
            </w:r>
          </w:p>
          <w:bookmarkEnd w:id="31"/>
          <w:p w14:paraId="3C63627D" w14:textId="6E6B59AB" w:rsidR="00170908" w:rsidRDefault="005C4743" w:rsidP="00170908">
            <w:pPr>
              <w:spacing w:after="120"/>
              <w:jc w:val="both"/>
              <w:rPr>
                <w:rFonts w:ascii="Times New Roman" w:hAnsi="Times New Roman"/>
                <w:bCs/>
                <w:color w:val="000000"/>
              </w:rPr>
            </w:pPr>
            <w:r w:rsidRPr="00170908">
              <w:rPr>
                <w:rFonts w:ascii="Times New Roman" w:hAnsi="Times New Roman"/>
                <w:bCs/>
                <w:color w:val="000000"/>
              </w:rPr>
              <w:t>Proponuje się przeniesienie  na ministra właściwego do spraw klimatu limitu wydatków z budżetu państwa przeznaczonych na wykonywanie zadań ministra właściwego do spraw środowiska</w:t>
            </w:r>
            <w:r w:rsidR="00830ACC" w:rsidRPr="00170908">
              <w:rPr>
                <w:rFonts w:ascii="Times New Roman" w:hAnsi="Times New Roman"/>
                <w:bCs/>
                <w:color w:val="000000"/>
              </w:rPr>
              <w:t>.</w:t>
            </w:r>
            <w:r w:rsidR="00DE5B9A" w:rsidRPr="00170908">
              <w:rPr>
                <w:rFonts w:ascii="Times New Roman" w:hAnsi="Times New Roman"/>
                <w:bCs/>
                <w:color w:val="000000"/>
              </w:rPr>
              <w:t xml:space="preserve"> </w:t>
            </w:r>
            <w:r w:rsidR="0094556A" w:rsidRPr="00170908">
              <w:rPr>
                <w:rFonts w:ascii="Times New Roman" w:hAnsi="Times New Roman"/>
                <w:bCs/>
                <w:color w:val="000000"/>
              </w:rPr>
              <w:t xml:space="preserve">W związku z powyższym nowelizuje się art. 113 ustawy offshore wind w ten sposób, że w latach 2025 – 2030 proponuje się zwiększenie maksymalnego limitu wydatków z budżetu państwa przeznaczonych na wykonywanie zadań ministra właściwego do spraw klimatu wynikających z ustawy offshore wind z 266 029,58 zł na 532 059,16 zł rocznie. Jednocześnie uchyla się art. 114, który przewiduje maksymalny limit </w:t>
            </w:r>
            <w:r w:rsidR="0094556A" w:rsidRPr="00170908">
              <w:rPr>
                <w:rFonts w:ascii="Times New Roman" w:hAnsi="Times New Roman"/>
                <w:bCs/>
                <w:color w:val="000000"/>
              </w:rPr>
              <w:lastRenderedPageBreak/>
              <w:t>wydatków z budżetu państwa przeznaczonych na wykonywanie zadań ministra właściwego do spraw środowiska wynikających z ustawy off</w:t>
            </w:r>
            <w:r w:rsidR="001F4F42" w:rsidRPr="00170908">
              <w:rPr>
                <w:rFonts w:ascii="Times New Roman" w:hAnsi="Times New Roman"/>
                <w:bCs/>
                <w:color w:val="000000"/>
              </w:rPr>
              <w:t>s</w:t>
            </w:r>
            <w:r w:rsidR="0094556A" w:rsidRPr="00170908">
              <w:rPr>
                <w:rFonts w:ascii="Times New Roman" w:hAnsi="Times New Roman"/>
                <w:bCs/>
                <w:color w:val="000000"/>
              </w:rPr>
              <w:t xml:space="preserve">hore wind w latach 2025-2030 właśnie w wysokości 266 029,58 zł rocznie, czyli kwoty stanowiącej różnicę kwoty 532 059,16 zł oraz kwoty 266 029,58 zł w stosunku rocznym. Tym samym przedmiotowa zmiana nie pociągnie za sobą konsekwencji finansowych dla budżetu państwa, tym bardziej, że zgodnie z rozporządzeniem Prezesa Rady Ministrów z dnia 19 grudnia 2023 r. w sprawie szczegółowego zakresu działania Ministra Klimatu </w:t>
            </w:r>
            <w:r w:rsidR="009714CD" w:rsidRPr="00170908">
              <w:rPr>
                <w:rFonts w:ascii="Times New Roman" w:hAnsi="Times New Roman"/>
                <w:bCs/>
                <w:color w:val="000000"/>
              </w:rPr>
              <w:t>i</w:t>
            </w:r>
            <w:r w:rsidR="009714CD">
              <w:rPr>
                <w:rFonts w:ascii="Times New Roman" w:hAnsi="Times New Roman"/>
                <w:bCs/>
                <w:color w:val="000000"/>
              </w:rPr>
              <w:t> </w:t>
            </w:r>
            <w:r w:rsidR="0094556A" w:rsidRPr="00170908">
              <w:rPr>
                <w:rFonts w:ascii="Times New Roman" w:hAnsi="Times New Roman"/>
                <w:bCs/>
                <w:color w:val="000000"/>
              </w:rPr>
              <w:t>Środowiska (Dz.U. 2023 poz. 2726), Minister Klimatu i Środowiska kieruje działami administracji rządowej energia, klimat i środowisko. Sama zaś zmiana uzasadniona jest tym, że sprawy z zakresu MEW należą do właściwości ministra właściwego ds. klimatu, zgodnie z art. 13a ust. 1 pkt 12 ustawy z dnia 4 września 1997 r. o działach administracji rządowej (Dz. U. z 2024 r. poz. 1370</w:t>
            </w:r>
            <w:r w:rsidR="00A503E9">
              <w:rPr>
                <w:rFonts w:ascii="Times New Roman" w:hAnsi="Times New Roman"/>
                <w:bCs/>
                <w:color w:val="000000"/>
              </w:rPr>
              <w:t>, 1222 i 1907</w:t>
            </w:r>
            <w:r w:rsidR="0094556A" w:rsidRPr="00170908">
              <w:rPr>
                <w:rFonts w:ascii="Times New Roman" w:hAnsi="Times New Roman"/>
                <w:bCs/>
                <w:color w:val="000000"/>
              </w:rPr>
              <w:t>).</w:t>
            </w:r>
            <w:bookmarkStart w:id="32" w:name="_Hlk185240657"/>
          </w:p>
          <w:p w14:paraId="248E787F" w14:textId="4BD36A14" w:rsidR="00830ACC" w:rsidRPr="00170908" w:rsidRDefault="00830ACC" w:rsidP="00170908">
            <w:pPr>
              <w:pStyle w:val="Akapitzlist"/>
              <w:numPr>
                <w:ilvl w:val="0"/>
                <w:numId w:val="82"/>
              </w:numPr>
              <w:spacing w:after="120"/>
              <w:jc w:val="both"/>
              <w:rPr>
                <w:rFonts w:ascii="Times New Roman" w:hAnsi="Times New Roman"/>
                <w:b/>
                <w:color w:val="000000"/>
              </w:rPr>
            </w:pPr>
            <w:r w:rsidRPr="00170908">
              <w:rPr>
                <w:rFonts w:ascii="Times New Roman" w:hAnsi="Times New Roman"/>
                <w:b/>
                <w:color w:val="000000"/>
              </w:rPr>
              <w:t>Modyfikacje redakcyjno-techniczne w celu wyeliminowania wątpliwości interpretacyjnych</w:t>
            </w:r>
          </w:p>
          <w:bookmarkEnd w:id="32"/>
          <w:p w14:paraId="1A03501E" w14:textId="37D7E824" w:rsidR="00830ACC" w:rsidRDefault="00830ACC" w:rsidP="00093E33">
            <w:pPr>
              <w:spacing w:after="120"/>
              <w:jc w:val="both"/>
              <w:rPr>
                <w:rFonts w:ascii="Times New Roman" w:hAnsi="Times New Roman"/>
                <w:color w:val="000000"/>
              </w:rPr>
            </w:pPr>
            <w:r>
              <w:rPr>
                <w:rFonts w:ascii="Times New Roman" w:hAnsi="Times New Roman"/>
                <w:bCs/>
                <w:color w:val="000000"/>
              </w:rPr>
              <w:t xml:space="preserve">Proponuje się wprowadzenie niezbędnych </w:t>
            </w:r>
            <w:r>
              <w:rPr>
                <w:rFonts w:ascii="Times New Roman" w:hAnsi="Times New Roman"/>
                <w:color w:val="000000"/>
              </w:rPr>
              <w:t xml:space="preserve">modyfikacji </w:t>
            </w:r>
            <w:r w:rsidRPr="00273E50">
              <w:rPr>
                <w:rFonts w:ascii="Times New Roman" w:hAnsi="Times New Roman"/>
                <w:color w:val="000000"/>
              </w:rPr>
              <w:t>redakcyjno-techniczn</w:t>
            </w:r>
            <w:r>
              <w:rPr>
                <w:rFonts w:ascii="Times New Roman" w:hAnsi="Times New Roman"/>
                <w:color w:val="000000"/>
              </w:rPr>
              <w:t>ych</w:t>
            </w:r>
            <w:r w:rsidRPr="00273E50">
              <w:rPr>
                <w:rFonts w:ascii="Times New Roman" w:hAnsi="Times New Roman"/>
                <w:color w:val="000000"/>
              </w:rPr>
              <w:t xml:space="preserve"> w celu wyeliminowania wątpliwości interpretacyjnych</w:t>
            </w:r>
            <w:r>
              <w:rPr>
                <w:rFonts w:ascii="Times New Roman" w:hAnsi="Times New Roman"/>
                <w:color w:val="000000"/>
              </w:rPr>
              <w:t xml:space="preserve"> na przykład w </w:t>
            </w:r>
            <w:r w:rsidRPr="00845E45">
              <w:rPr>
                <w:rFonts w:ascii="Times New Roman" w:hAnsi="Times New Roman"/>
                <w:color w:val="000000"/>
              </w:rPr>
              <w:t>zakresie ujęcia w definicji morskiej farmy wiatrowej</w:t>
            </w:r>
            <w:r w:rsidR="001A1DC4">
              <w:rPr>
                <w:rFonts w:ascii="Times New Roman" w:hAnsi="Times New Roman"/>
                <w:color w:val="000000"/>
              </w:rPr>
              <w:t xml:space="preserve"> oraz</w:t>
            </w:r>
            <w:r w:rsidRPr="00845E45">
              <w:rPr>
                <w:rFonts w:ascii="Times New Roman" w:hAnsi="Times New Roman"/>
                <w:color w:val="000000"/>
              </w:rPr>
              <w:t xml:space="preserve"> kabli łączących morskie turbiny wiatrowe lub morskie stacje elektroenergetyczne</w:t>
            </w:r>
            <w:r>
              <w:rPr>
                <w:rFonts w:ascii="Times New Roman" w:hAnsi="Times New Roman"/>
                <w:color w:val="000000"/>
              </w:rPr>
              <w:t>.</w:t>
            </w:r>
          </w:p>
          <w:p w14:paraId="4145402D" w14:textId="3EBAC4AB" w:rsidR="00E05501" w:rsidRDefault="00E05501" w:rsidP="00093E33">
            <w:pPr>
              <w:spacing w:after="120"/>
              <w:jc w:val="both"/>
              <w:rPr>
                <w:rFonts w:ascii="Times New Roman" w:hAnsi="Times New Roman"/>
                <w:bCs/>
                <w:color w:val="000000"/>
              </w:rPr>
            </w:pPr>
            <w:r>
              <w:rPr>
                <w:rFonts w:ascii="Times New Roman" w:hAnsi="Times New Roman"/>
                <w:bCs/>
                <w:color w:val="000000"/>
              </w:rPr>
              <w:t>Ponadto proponuje się uchylenie przepisu ustawy offshore wind dotyczącego</w:t>
            </w:r>
            <w:r w:rsidRPr="00762B11">
              <w:rPr>
                <w:rFonts w:ascii="Times New Roman" w:hAnsi="Times New Roman"/>
                <w:bCs/>
                <w:color w:val="000000"/>
              </w:rPr>
              <w:t xml:space="preserve"> natychmiastowej wykonalności </w:t>
            </w:r>
            <w:r>
              <w:rPr>
                <w:rFonts w:ascii="Times New Roman" w:hAnsi="Times New Roman"/>
                <w:bCs/>
                <w:color w:val="000000"/>
              </w:rPr>
              <w:t>decyzji zatwierdzających</w:t>
            </w:r>
            <w:r w:rsidRPr="00762B11">
              <w:rPr>
                <w:rFonts w:ascii="Times New Roman" w:hAnsi="Times New Roman"/>
                <w:bCs/>
                <w:color w:val="000000"/>
              </w:rPr>
              <w:t xml:space="preserve"> dokumentacj</w:t>
            </w:r>
            <w:r>
              <w:rPr>
                <w:rFonts w:ascii="Times New Roman" w:hAnsi="Times New Roman"/>
                <w:bCs/>
                <w:color w:val="000000"/>
              </w:rPr>
              <w:t>e</w:t>
            </w:r>
            <w:r w:rsidRPr="00762B11">
              <w:rPr>
                <w:rFonts w:ascii="Times New Roman" w:hAnsi="Times New Roman"/>
                <w:bCs/>
                <w:color w:val="000000"/>
              </w:rPr>
              <w:t xml:space="preserve"> geologiczn</w:t>
            </w:r>
            <w:r>
              <w:rPr>
                <w:rFonts w:ascii="Times New Roman" w:hAnsi="Times New Roman"/>
                <w:bCs/>
                <w:color w:val="000000"/>
              </w:rPr>
              <w:t xml:space="preserve">e. </w:t>
            </w:r>
          </w:p>
          <w:p w14:paraId="55A6AEE1" w14:textId="624DC0B3" w:rsidR="001F4F42" w:rsidRDefault="001F4F42" w:rsidP="00093E33">
            <w:pPr>
              <w:spacing w:after="120"/>
              <w:jc w:val="both"/>
              <w:rPr>
                <w:rFonts w:ascii="Times New Roman" w:hAnsi="Times New Roman"/>
                <w:bCs/>
                <w:color w:val="000000"/>
              </w:rPr>
            </w:pPr>
            <w:r>
              <w:rPr>
                <w:rFonts w:ascii="Times New Roman" w:hAnsi="Times New Roman"/>
                <w:bCs/>
                <w:color w:val="000000"/>
              </w:rPr>
              <w:t>Ponadto w celu ujednolicenia nomenklatury proponuje się zastąpić</w:t>
            </w:r>
            <w:r w:rsidRPr="001F4F42">
              <w:rPr>
                <w:rFonts w:ascii="Times New Roman" w:hAnsi="Times New Roman"/>
                <w:bCs/>
                <w:color w:val="000000"/>
              </w:rPr>
              <w:t xml:space="preserve"> użyte w art. 48 ust. 3, art. 49 ust. 1, 2 i 4, art. 50, art. 51, art. 52 ust. 2 pkt 1 i ust. 6 pkt 2 oraz w art. 53 ust. 1 wyrazy „przedsiębiorstwo energetyczne” lub „przedsiębiorstwo energetyczne zajmujące się przesyłaniem lub dystrybucją energii elektrycznej” wyrazami „operator systemu przesyłowego lub operator systemu dystrybucyjnego”</w:t>
            </w:r>
            <w:r>
              <w:rPr>
                <w:rFonts w:ascii="Times New Roman" w:hAnsi="Times New Roman"/>
                <w:bCs/>
                <w:color w:val="000000"/>
              </w:rPr>
              <w:t>.</w:t>
            </w:r>
          </w:p>
          <w:p w14:paraId="0F10D04A" w14:textId="275BE5D1" w:rsidR="00830ACC" w:rsidRPr="005C4743" w:rsidRDefault="005C4743" w:rsidP="005C4743">
            <w:pPr>
              <w:spacing w:after="120"/>
              <w:ind w:left="360"/>
              <w:jc w:val="both"/>
              <w:rPr>
                <w:rFonts w:ascii="Times New Roman" w:hAnsi="Times New Roman"/>
                <w:b/>
                <w:bCs/>
                <w:color w:val="000000"/>
              </w:rPr>
            </w:pPr>
            <w:bookmarkStart w:id="33" w:name="_Hlk185240678"/>
            <w:r>
              <w:rPr>
                <w:rFonts w:ascii="Times New Roman" w:hAnsi="Times New Roman"/>
                <w:b/>
                <w:bCs/>
                <w:color w:val="000000"/>
              </w:rPr>
              <w:t>1</w:t>
            </w:r>
            <w:r w:rsidR="009714CD">
              <w:rPr>
                <w:rFonts w:ascii="Times New Roman" w:hAnsi="Times New Roman"/>
                <w:b/>
                <w:bCs/>
                <w:color w:val="000000"/>
              </w:rPr>
              <w:t>1</w:t>
            </w:r>
            <w:r>
              <w:rPr>
                <w:rFonts w:ascii="Times New Roman" w:hAnsi="Times New Roman"/>
                <w:b/>
                <w:bCs/>
                <w:color w:val="000000"/>
              </w:rPr>
              <w:t xml:space="preserve">a. </w:t>
            </w:r>
            <w:r w:rsidR="00830ACC" w:rsidRPr="005C4743">
              <w:rPr>
                <w:rFonts w:ascii="Times New Roman" w:hAnsi="Times New Roman"/>
                <w:b/>
                <w:bCs/>
                <w:color w:val="000000"/>
              </w:rPr>
              <w:t xml:space="preserve">Wydłużenie terminu ważności pozwoleń i uzgodnień lokalizacyjnych dla </w:t>
            </w:r>
            <w:r w:rsidR="00597CC0">
              <w:rPr>
                <w:rFonts w:ascii="Times New Roman" w:hAnsi="Times New Roman"/>
                <w:b/>
                <w:bCs/>
                <w:color w:val="000000"/>
              </w:rPr>
              <w:t>MFW</w:t>
            </w:r>
            <w:r w:rsidR="00830ACC" w:rsidRPr="005C4743">
              <w:rPr>
                <w:rFonts w:ascii="Times New Roman" w:hAnsi="Times New Roman"/>
                <w:b/>
                <w:bCs/>
                <w:color w:val="000000"/>
              </w:rPr>
              <w:t xml:space="preserve"> oraz zespołu urządzeń wyprowadzających moc</w:t>
            </w:r>
          </w:p>
          <w:bookmarkEnd w:id="33"/>
          <w:p w14:paraId="67A3D6EC" w14:textId="27B42D16" w:rsidR="00830ACC" w:rsidRDefault="00830ACC" w:rsidP="00093E33">
            <w:pPr>
              <w:spacing w:after="120"/>
              <w:jc w:val="both"/>
              <w:rPr>
                <w:rFonts w:ascii="Times New Roman" w:hAnsi="Times New Roman"/>
                <w:color w:val="000000"/>
              </w:rPr>
            </w:pPr>
            <w:r>
              <w:rPr>
                <w:rFonts w:ascii="Times New Roman" w:hAnsi="Times New Roman"/>
                <w:color w:val="000000"/>
              </w:rPr>
              <w:t>Proponuje się wprowadzenie</w:t>
            </w:r>
            <w:r w:rsidRPr="0078497C">
              <w:rPr>
                <w:rFonts w:ascii="Times New Roman" w:hAnsi="Times New Roman"/>
                <w:color w:val="000000"/>
              </w:rPr>
              <w:t xml:space="preserve"> </w:t>
            </w:r>
            <w:r>
              <w:rPr>
                <w:rFonts w:ascii="Times New Roman" w:hAnsi="Times New Roman"/>
                <w:color w:val="000000"/>
              </w:rPr>
              <w:t xml:space="preserve">przepisów, które ujednolicą </w:t>
            </w:r>
            <w:r w:rsidRPr="0078497C">
              <w:rPr>
                <w:rFonts w:ascii="Times New Roman" w:hAnsi="Times New Roman"/>
                <w:color w:val="000000"/>
              </w:rPr>
              <w:t>harmonogram realizacji inwestycji wynikając</w:t>
            </w:r>
            <w:r>
              <w:rPr>
                <w:rFonts w:ascii="Times New Roman" w:hAnsi="Times New Roman"/>
                <w:color w:val="000000"/>
              </w:rPr>
              <w:t xml:space="preserve">y </w:t>
            </w:r>
            <w:r w:rsidRPr="0078497C">
              <w:rPr>
                <w:rFonts w:ascii="Times New Roman" w:hAnsi="Times New Roman"/>
                <w:color w:val="000000"/>
              </w:rPr>
              <w:t>z ustawy o</w:t>
            </w:r>
            <w:r w:rsidR="00347B23">
              <w:rPr>
                <w:rFonts w:ascii="Times New Roman" w:hAnsi="Times New Roman"/>
                <w:color w:val="000000"/>
              </w:rPr>
              <w:t> </w:t>
            </w:r>
            <w:r w:rsidRPr="0078497C">
              <w:rPr>
                <w:rFonts w:ascii="Times New Roman" w:hAnsi="Times New Roman"/>
                <w:color w:val="000000"/>
              </w:rPr>
              <w:t xml:space="preserve">obszarach morskich </w:t>
            </w:r>
            <w:r>
              <w:rPr>
                <w:rFonts w:ascii="Times New Roman" w:hAnsi="Times New Roman"/>
                <w:color w:val="000000"/>
              </w:rPr>
              <w:t>z</w:t>
            </w:r>
            <w:r w:rsidRPr="0078497C">
              <w:rPr>
                <w:rFonts w:ascii="Times New Roman" w:hAnsi="Times New Roman"/>
                <w:color w:val="000000"/>
              </w:rPr>
              <w:t xml:space="preserve"> harmonogram</w:t>
            </w:r>
            <w:r>
              <w:rPr>
                <w:rFonts w:ascii="Times New Roman" w:hAnsi="Times New Roman"/>
                <w:color w:val="000000"/>
              </w:rPr>
              <w:t>em</w:t>
            </w:r>
            <w:r w:rsidRPr="0078497C">
              <w:rPr>
                <w:rFonts w:ascii="Times New Roman" w:hAnsi="Times New Roman"/>
                <w:color w:val="000000"/>
              </w:rPr>
              <w:t xml:space="preserve"> wynikając</w:t>
            </w:r>
            <w:r>
              <w:rPr>
                <w:rFonts w:ascii="Times New Roman" w:hAnsi="Times New Roman"/>
                <w:color w:val="000000"/>
              </w:rPr>
              <w:t xml:space="preserve">ym </w:t>
            </w:r>
            <w:r w:rsidRPr="0078497C">
              <w:rPr>
                <w:rFonts w:ascii="Times New Roman" w:hAnsi="Times New Roman"/>
                <w:color w:val="000000"/>
              </w:rPr>
              <w:t xml:space="preserve">z ustawy </w:t>
            </w:r>
            <w:r>
              <w:rPr>
                <w:rFonts w:ascii="Times New Roman" w:hAnsi="Times New Roman"/>
                <w:color w:val="000000"/>
              </w:rPr>
              <w:t>offshore wind</w:t>
            </w:r>
            <w:r w:rsidRPr="0078497C">
              <w:rPr>
                <w:rFonts w:ascii="Times New Roman" w:hAnsi="Times New Roman"/>
                <w:color w:val="000000"/>
              </w:rPr>
              <w:t xml:space="preserve">. </w:t>
            </w:r>
            <w:r w:rsidR="00E05501">
              <w:rPr>
                <w:rFonts w:ascii="Times New Roman" w:hAnsi="Times New Roman"/>
                <w:color w:val="000000"/>
              </w:rPr>
              <w:t>Proponuje się,</w:t>
            </w:r>
            <w:r>
              <w:rPr>
                <w:rFonts w:ascii="Times New Roman" w:hAnsi="Times New Roman"/>
                <w:color w:val="000000"/>
              </w:rPr>
              <w:t xml:space="preserve"> </w:t>
            </w:r>
            <w:r w:rsidR="002255A8">
              <w:rPr>
                <w:rFonts w:ascii="Times New Roman" w:hAnsi="Times New Roman"/>
                <w:color w:val="000000"/>
              </w:rPr>
              <w:t xml:space="preserve">powiązanie braku wygaśnięcia pozwolenia lub uzgodnienia lokalizacyjnego, w związku z brakiem terminowego </w:t>
            </w:r>
            <w:r>
              <w:rPr>
                <w:rFonts w:ascii="Times New Roman" w:hAnsi="Times New Roman"/>
                <w:color w:val="000000"/>
              </w:rPr>
              <w:t xml:space="preserve">uzyskania pozwolenia na budowę </w:t>
            </w:r>
            <w:r w:rsidRPr="0054720D">
              <w:rPr>
                <w:rFonts w:ascii="Times New Roman" w:hAnsi="Times New Roman"/>
                <w:color w:val="000000"/>
              </w:rPr>
              <w:t xml:space="preserve">dla całości albo części przedsięwzięcia objętego </w:t>
            </w:r>
            <w:r>
              <w:rPr>
                <w:rFonts w:ascii="Times New Roman" w:hAnsi="Times New Roman"/>
                <w:color w:val="000000"/>
              </w:rPr>
              <w:t>tym pozwoleniem lub uzgodnieniem lokalizacyjnym</w:t>
            </w:r>
            <w:r w:rsidR="002255A8">
              <w:rPr>
                <w:rFonts w:ascii="Times New Roman" w:hAnsi="Times New Roman"/>
                <w:color w:val="000000"/>
              </w:rPr>
              <w:t>,</w:t>
            </w:r>
            <w:r>
              <w:rPr>
                <w:rFonts w:ascii="Times New Roman" w:hAnsi="Times New Roman"/>
                <w:color w:val="000000"/>
              </w:rPr>
              <w:t xml:space="preserve"> </w:t>
            </w:r>
            <w:r w:rsidR="002255A8">
              <w:rPr>
                <w:rFonts w:ascii="Times New Roman" w:hAnsi="Times New Roman"/>
                <w:color w:val="000000"/>
              </w:rPr>
              <w:t>z udziałem w aukcji.</w:t>
            </w:r>
          </w:p>
          <w:p w14:paraId="1204ACCC" w14:textId="018975C8" w:rsidR="002255A8" w:rsidRDefault="002255A8" w:rsidP="00093E33">
            <w:pPr>
              <w:spacing w:after="120"/>
              <w:jc w:val="both"/>
              <w:rPr>
                <w:rFonts w:ascii="Times New Roman" w:hAnsi="Times New Roman"/>
                <w:color w:val="000000"/>
              </w:rPr>
            </w:pPr>
            <w:r>
              <w:rPr>
                <w:rFonts w:ascii="Times New Roman" w:hAnsi="Times New Roman"/>
                <w:color w:val="000000"/>
              </w:rPr>
              <w:t>Takie rozwiązanie będzie mobilizujące dla inwestorów do sprawnego przygotowania dokumentacji potrzebnej do wzięcia udziału w aukcji i nie odkładania realizacji inwestycji. Zagwarantuje to osiągnięcie celów strategicznych w zakresie udziału odnawialnych źródeł energii w krajowym miksie energetycznym, a także uwolni obszary pod MFW w przypadku, gdy inwestor nie będzie dążył do sprawnego realizacji inwestycji MFW.</w:t>
            </w:r>
          </w:p>
          <w:p w14:paraId="23520FFD" w14:textId="1C60ED37" w:rsidR="00830ACC" w:rsidRPr="005C4743" w:rsidRDefault="005C4743" w:rsidP="005C4743">
            <w:pPr>
              <w:spacing w:after="120"/>
              <w:ind w:left="360"/>
              <w:jc w:val="both"/>
              <w:rPr>
                <w:rFonts w:ascii="Times New Roman" w:hAnsi="Times New Roman"/>
                <w:b/>
                <w:bCs/>
                <w:color w:val="000000"/>
              </w:rPr>
            </w:pPr>
            <w:bookmarkStart w:id="34" w:name="_Hlk185240766"/>
            <w:r>
              <w:rPr>
                <w:rFonts w:ascii="Times New Roman" w:hAnsi="Times New Roman"/>
                <w:b/>
                <w:bCs/>
                <w:color w:val="000000"/>
              </w:rPr>
              <w:t>1</w:t>
            </w:r>
            <w:r w:rsidR="009714CD">
              <w:rPr>
                <w:rFonts w:ascii="Times New Roman" w:hAnsi="Times New Roman"/>
                <w:b/>
                <w:bCs/>
                <w:color w:val="000000"/>
              </w:rPr>
              <w:t>1</w:t>
            </w:r>
            <w:r>
              <w:rPr>
                <w:rFonts w:ascii="Times New Roman" w:hAnsi="Times New Roman"/>
                <w:b/>
                <w:bCs/>
                <w:color w:val="000000"/>
              </w:rPr>
              <w:t xml:space="preserve">b. </w:t>
            </w:r>
            <w:r w:rsidR="00830ACC" w:rsidRPr="005C4743">
              <w:rPr>
                <w:rFonts w:ascii="Times New Roman" w:hAnsi="Times New Roman"/>
                <w:b/>
                <w:bCs/>
                <w:color w:val="000000"/>
              </w:rPr>
              <w:t>Tworzenie stref bezpieczeństwa dla MFW</w:t>
            </w:r>
          </w:p>
          <w:bookmarkEnd w:id="34"/>
          <w:p w14:paraId="04CE4F4A" w14:textId="77777777" w:rsidR="00830ACC" w:rsidRDefault="00830ACC" w:rsidP="00093E33">
            <w:pPr>
              <w:spacing w:after="120"/>
              <w:jc w:val="both"/>
              <w:rPr>
                <w:rFonts w:ascii="Times New Roman" w:hAnsi="Times New Roman"/>
                <w:color w:val="000000"/>
              </w:rPr>
            </w:pPr>
            <w:r>
              <w:rPr>
                <w:rFonts w:ascii="Times New Roman" w:hAnsi="Times New Roman"/>
                <w:color w:val="000000"/>
              </w:rPr>
              <w:t>Rozwiązanie doprecyzuje</w:t>
            </w:r>
            <w:r w:rsidRPr="00BA50D9">
              <w:rPr>
                <w:rFonts w:ascii="Times New Roman" w:hAnsi="Times New Roman"/>
                <w:color w:val="000000"/>
              </w:rPr>
              <w:t xml:space="preserve"> czy w przypadku morskiej farmy wiatrowej ustanawia się jedną strefę bezpieczeństwa czy też strefy bezpieczeństwa wokół każdego z elementów farmy. W celu ograniczenia utrudnień dla żeglugi proponuje się, aby strefy bezpieczeństwa dotyczyły każdego z elementów morskiej farmy wiatrowej z osobna. Jednocześnie min</w:t>
            </w:r>
            <w:r>
              <w:rPr>
                <w:rFonts w:ascii="Times New Roman" w:hAnsi="Times New Roman"/>
                <w:color w:val="000000"/>
              </w:rPr>
              <w:t>i</w:t>
            </w:r>
            <w:r w:rsidRPr="00BA50D9">
              <w:rPr>
                <w:rFonts w:ascii="Times New Roman" w:hAnsi="Times New Roman"/>
                <w:color w:val="000000"/>
              </w:rPr>
              <w:t>malny zakres strefy powinien – ze względów bezpieczeństwa – wynosić 150</w:t>
            </w:r>
            <w:r>
              <w:rPr>
                <w:rFonts w:ascii="Times New Roman" w:hAnsi="Times New Roman"/>
                <w:color w:val="000000"/>
              </w:rPr>
              <w:t xml:space="preserve"> </w:t>
            </w:r>
            <w:r w:rsidRPr="00BA50D9">
              <w:rPr>
                <w:rFonts w:ascii="Times New Roman" w:hAnsi="Times New Roman"/>
                <w:color w:val="000000"/>
              </w:rPr>
              <w:t>m.</w:t>
            </w:r>
          </w:p>
          <w:p w14:paraId="7E398E57" w14:textId="43360C3A" w:rsidR="00634C73" w:rsidRPr="00C10F9A" w:rsidRDefault="00634C73" w:rsidP="005C4743">
            <w:pPr>
              <w:spacing w:after="120"/>
              <w:ind w:left="344"/>
              <w:jc w:val="both"/>
              <w:rPr>
                <w:rFonts w:ascii="Times New Roman" w:hAnsi="Times New Roman"/>
                <w:b/>
                <w:bCs/>
                <w:color w:val="000000"/>
              </w:rPr>
            </w:pPr>
            <w:bookmarkStart w:id="35" w:name="_Hlk185240735"/>
            <w:r w:rsidRPr="00C10F9A">
              <w:rPr>
                <w:rFonts w:ascii="Times New Roman" w:hAnsi="Times New Roman"/>
                <w:b/>
                <w:bCs/>
                <w:color w:val="000000"/>
              </w:rPr>
              <w:t>1</w:t>
            </w:r>
            <w:r w:rsidR="009714CD">
              <w:rPr>
                <w:rFonts w:ascii="Times New Roman" w:hAnsi="Times New Roman"/>
                <w:b/>
                <w:bCs/>
                <w:color w:val="000000"/>
              </w:rPr>
              <w:t>1</w:t>
            </w:r>
            <w:r w:rsidR="006C170C">
              <w:rPr>
                <w:rFonts w:ascii="Times New Roman" w:hAnsi="Times New Roman"/>
                <w:b/>
                <w:bCs/>
                <w:color w:val="000000"/>
              </w:rPr>
              <w:t>c</w:t>
            </w:r>
            <w:r w:rsidRPr="00C10F9A">
              <w:rPr>
                <w:rFonts w:ascii="Times New Roman" w:hAnsi="Times New Roman"/>
                <w:b/>
                <w:bCs/>
                <w:color w:val="000000"/>
              </w:rPr>
              <w:t>. Niezbędne uproszczenia terminologiczne</w:t>
            </w:r>
          </w:p>
          <w:bookmarkEnd w:id="35"/>
          <w:p w14:paraId="59BBD404" w14:textId="729F1DE0" w:rsidR="00634C73" w:rsidRDefault="00634C73" w:rsidP="00093E33">
            <w:pPr>
              <w:spacing w:after="120"/>
              <w:jc w:val="both"/>
              <w:rPr>
                <w:rFonts w:ascii="Times New Roman" w:hAnsi="Times New Roman"/>
                <w:color w:val="000000"/>
              </w:rPr>
            </w:pPr>
            <w:r>
              <w:rPr>
                <w:rFonts w:ascii="Times New Roman" w:hAnsi="Times New Roman"/>
                <w:color w:val="000000"/>
              </w:rPr>
              <w:t>W związku z wątpliwościami interpretacyjnymi proponuje się doprecyzowanie</w:t>
            </w:r>
            <w:r w:rsidRPr="00C10F9A">
              <w:rPr>
                <w:rFonts w:ascii="Times New Roman" w:hAnsi="Times New Roman"/>
                <w:color w:val="000000"/>
              </w:rPr>
              <w:t xml:space="preserve"> </w:t>
            </w:r>
            <w:r>
              <w:rPr>
                <w:rFonts w:ascii="Times New Roman" w:hAnsi="Times New Roman"/>
                <w:color w:val="000000"/>
              </w:rPr>
              <w:t>terminów takich, jak</w:t>
            </w:r>
            <w:r w:rsidRPr="00C10F9A">
              <w:rPr>
                <w:rFonts w:ascii="Times New Roman" w:hAnsi="Times New Roman"/>
                <w:color w:val="000000"/>
              </w:rPr>
              <w:t xml:space="preserve"> „rozpoczęcie budowy” czy „rozpoczęcie wykorzystywania” </w:t>
            </w:r>
            <w:r>
              <w:rPr>
                <w:rFonts w:ascii="Times New Roman" w:hAnsi="Times New Roman"/>
                <w:color w:val="000000"/>
              </w:rPr>
              <w:t>MFW</w:t>
            </w:r>
            <w:r w:rsidRPr="00C10F9A">
              <w:rPr>
                <w:rFonts w:ascii="Times New Roman" w:hAnsi="Times New Roman"/>
                <w:color w:val="000000"/>
              </w:rPr>
              <w:t xml:space="preserve"> </w:t>
            </w:r>
            <w:r>
              <w:rPr>
                <w:rFonts w:ascii="Times New Roman" w:hAnsi="Times New Roman"/>
                <w:color w:val="000000"/>
              </w:rPr>
              <w:t>i zastąpienie ich odpowiednio „</w:t>
            </w:r>
            <w:r w:rsidRPr="00634C73">
              <w:rPr>
                <w:rFonts w:ascii="Times New Roman" w:hAnsi="Times New Roman"/>
                <w:color w:val="000000"/>
              </w:rPr>
              <w:t>rozpoczęci</w:t>
            </w:r>
            <w:r>
              <w:rPr>
                <w:rFonts w:ascii="Times New Roman" w:hAnsi="Times New Roman"/>
                <w:color w:val="000000"/>
              </w:rPr>
              <w:t>em</w:t>
            </w:r>
            <w:r w:rsidRPr="00634C73">
              <w:rPr>
                <w:rFonts w:ascii="Times New Roman" w:hAnsi="Times New Roman"/>
                <w:color w:val="000000"/>
              </w:rPr>
              <w:t xml:space="preserve"> instalacji pierwszych fundamentów morskich turbin wiatrowych lub stacji elektroenergetycznych zlokalizowanych na morzu</w:t>
            </w:r>
            <w:r>
              <w:rPr>
                <w:rFonts w:ascii="Times New Roman" w:hAnsi="Times New Roman"/>
                <w:color w:val="000000"/>
              </w:rPr>
              <w:t xml:space="preserve">” i </w:t>
            </w:r>
            <w:r w:rsidR="00C52747">
              <w:rPr>
                <w:rFonts w:ascii="Times New Roman" w:hAnsi="Times New Roman"/>
                <w:color w:val="000000"/>
              </w:rPr>
              <w:t>„</w:t>
            </w:r>
            <w:r w:rsidR="00C52747" w:rsidRPr="00C52747">
              <w:rPr>
                <w:rFonts w:ascii="Times New Roman" w:hAnsi="Times New Roman"/>
                <w:color w:val="000000"/>
              </w:rPr>
              <w:t>uzyskan</w:t>
            </w:r>
            <w:r w:rsidR="00C52747">
              <w:rPr>
                <w:rFonts w:ascii="Times New Roman" w:hAnsi="Times New Roman"/>
                <w:color w:val="000000"/>
              </w:rPr>
              <w:t>iem</w:t>
            </w:r>
            <w:r w:rsidR="00C52747" w:rsidRPr="00C52747">
              <w:rPr>
                <w:rFonts w:ascii="Times New Roman" w:hAnsi="Times New Roman"/>
                <w:color w:val="000000"/>
              </w:rPr>
              <w:t xml:space="preserve"> decyzja o udzieleniu koncesji na wytwarzanie energii elektrycznej w </w:t>
            </w:r>
            <w:r w:rsidR="00C52747">
              <w:rPr>
                <w:rFonts w:ascii="Times New Roman" w:hAnsi="Times New Roman"/>
                <w:color w:val="000000"/>
              </w:rPr>
              <w:t>MFW</w:t>
            </w:r>
            <w:r w:rsidR="00C52747" w:rsidRPr="00C52747">
              <w:rPr>
                <w:rFonts w:ascii="Times New Roman" w:hAnsi="Times New Roman"/>
                <w:color w:val="000000"/>
              </w:rPr>
              <w:t xml:space="preserve"> lub jej części</w:t>
            </w:r>
            <w:r w:rsidR="00C52747">
              <w:rPr>
                <w:rFonts w:ascii="Times New Roman" w:hAnsi="Times New Roman"/>
                <w:color w:val="000000"/>
              </w:rPr>
              <w:t>”.</w:t>
            </w:r>
          </w:p>
          <w:p w14:paraId="7BB72F1C" w14:textId="16768BD5" w:rsidR="004827B6" w:rsidRDefault="004827B6" w:rsidP="004827B6">
            <w:pPr>
              <w:spacing w:after="120"/>
              <w:ind w:left="344"/>
              <w:jc w:val="both"/>
              <w:rPr>
                <w:rFonts w:ascii="Times New Roman" w:hAnsi="Times New Roman"/>
                <w:b/>
                <w:bCs/>
                <w:color w:val="000000"/>
              </w:rPr>
            </w:pPr>
            <w:r w:rsidRPr="00C10F9A">
              <w:rPr>
                <w:rFonts w:ascii="Times New Roman" w:hAnsi="Times New Roman"/>
                <w:b/>
                <w:bCs/>
                <w:color w:val="000000"/>
              </w:rPr>
              <w:t>1</w:t>
            </w:r>
            <w:r w:rsidR="009714CD">
              <w:rPr>
                <w:rFonts w:ascii="Times New Roman" w:hAnsi="Times New Roman"/>
                <w:b/>
                <w:bCs/>
                <w:color w:val="000000"/>
              </w:rPr>
              <w:t>1</w:t>
            </w:r>
            <w:r>
              <w:rPr>
                <w:rFonts w:ascii="Times New Roman" w:hAnsi="Times New Roman"/>
                <w:b/>
                <w:bCs/>
                <w:color w:val="000000"/>
              </w:rPr>
              <w:t>d</w:t>
            </w:r>
            <w:r w:rsidRPr="00C10F9A">
              <w:rPr>
                <w:rFonts w:ascii="Times New Roman" w:hAnsi="Times New Roman"/>
                <w:b/>
                <w:bCs/>
                <w:color w:val="000000"/>
              </w:rPr>
              <w:t xml:space="preserve">. </w:t>
            </w:r>
            <w:r w:rsidRPr="00017C52">
              <w:rPr>
                <w:rFonts w:ascii="Times New Roman" w:hAnsi="Times New Roman"/>
                <w:b/>
                <w:bCs/>
                <w:color w:val="000000"/>
              </w:rPr>
              <w:t>Wyłączenie możliwości wnioskowania o pozwolenie lub uzgodnienie lokalizacyjne dla kabli MFW w</w:t>
            </w:r>
            <w:r w:rsidR="00A503E9">
              <w:rPr>
                <w:rFonts w:ascii="Times New Roman" w:hAnsi="Times New Roman"/>
                <w:b/>
                <w:bCs/>
                <w:color w:val="000000"/>
              </w:rPr>
              <w:t> </w:t>
            </w:r>
            <w:r w:rsidRPr="00017C52">
              <w:rPr>
                <w:rFonts w:ascii="Times New Roman" w:hAnsi="Times New Roman"/>
                <w:b/>
                <w:bCs/>
                <w:color w:val="000000"/>
              </w:rPr>
              <w:t>oparciu o wstępne warunki przyłączenia</w:t>
            </w:r>
          </w:p>
          <w:p w14:paraId="3B4D6688" w14:textId="30D17275" w:rsidR="004827B6" w:rsidRPr="004827B6" w:rsidRDefault="004827B6" w:rsidP="004827B6">
            <w:pPr>
              <w:spacing w:after="120"/>
              <w:jc w:val="both"/>
              <w:rPr>
                <w:rFonts w:ascii="Times New Roman" w:hAnsi="Times New Roman"/>
                <w:color w:val="000000"/>
              </w:rPr>
            </w:pPr>
            <w:r w:rsidRPr="00017C52">
              <w:rPr>
                <w:rFonts w:ascii="Times New Roman" w:hAnsi="Times New Roman"/>
                <w:color w:val="000000"/>
              </w:rPr>
              <w:t>Aby zapobiec sytuacji, w której podmioty ze wstępnymi warunkami przyłączenia, które nie wygrały aukcji, zablokują podmiotom, które wygrały aukcje możliwość wnioskowania o pozwolenie/uzgodnienie lokalizacyjne dla kabli wyprowadzający moc z MFW w najkorzystniejszych miejscach proponuje się wykreślenie z art. 27a ust. 2 pkt 9 możliwości dołączenia do wniosku o pozwolenie lokalizacyjne wstępnych warunków przyłączenia.</w:t>
            </w:r>
          </w:p>
          <w:p w14:paraId="49DFD57A" w14:textId="5CDF2040" w:rsidR="005C4743" w:rsidRPr="005C4743" w:rsidRDefault="005C4743" w:rsidP="005C4743">
            <w:pPr>
              <w:spacing w:before="120" w:after="120"/>
              <w:ind w:left="360"/>
              <w:jc w:val="both"/>
              <w:rPr>
                <w:rFonts w:ascii="Times New Roman" w:hAnsi="Times New Roman"/>
                <w:b/>
                <w:bCs/>
                <w:color w:val="000000"/>
              </w:rPr>
            </w:pPr>
            <w:bookmarkStart w:id="36" w:name="_Hlk185240834"/>
            <w:r>
              <w:rPr>
                <w:rFonts w:ascii="Times New Roman" w:hAnsi="Times New Roman"/>
                <w:b/>
                <w:bCs/>
                <w:color w:val="000000"/>
              </w:rPr>
              <w:t>1</w:t>
            </w:r>
            <w:r w:rsidR="009714CD">
              <w:rPr>
                <w:rFonts w:ascii="Times New Roman" w:hAnsi="Times New Roman"/>
                <w:b/>
                <w:bCs/>
                <w:color w:val="000000"/>
              </w:rPr>
              <w:t>2</w:t>
            </w:r>
            <w:r>
              <w:rPr>
                <w:rFonts w:ascii="Times New Roman" w:hAnsi="Times New Roman"/>
                <w:b/>
                <w:bCs/>
                <w:color w:val="000000"/>
              </w:rPr>
              <w:t xml:space="preserve">. </w:t>
            </w:r>
            <w:r w:rsidRPr="005C4743">
              <w:rPr>
                <w:rFonts w:ascii="Times New Roman" w:hAnsi="Times New Roman"/>
                <w:b/>
                <w:bCs/>
                <w:color w:val="000000"/>
              </w:rPr>
              <w:t>Klasyfikacja elementów MFW jako budowli</w:t>
            </w:r>
          </w:p>
          <w:bookmarkEnd w:id="36"/>
          <w:p w14:paraId="1DB1735B" w14:textId="12C033A7" w:rsidR="008E4801" w:rsidRDefault="005C4743" w:rsidP="004827B6">
            <w:pPr>
              <w:spacing w:after="120"/>
              <w:jc w:val="both"/>
              <w:rPr>
                <w:rFonts w:ascii="Times New Roman" w:hAnsi="Times New Roman"/>
                <w:color w:val="000000"/>
              </w:rPr>
            </w:pPr>
            <w:r w:rsidRPr="004827B6">
              <w:rPr>
                <w:rFonts w:ascii="Times New Roman" w:hAnsi="Times New Roman"/>
                <w:color w:val="000000"/>
              </w:rPr>
              <w:lastRenderedPageBreak/>
              <w:t>Proponowanym rozwiązaniem jest doprecyzowanie definicji budowli poprzez wykreślenie z definicji morskich turbin wiatrowych</w:t>
            </w:r>
            <w:r w:rsidR="00276F64">
              <w:rPr>
                <w:rFonts w:ascii="Times New Roman" w:hAnsi="Times New Roman"/>
                <w:color w:val="000000"/>
              </w:rPr>
              <w:t xml:space="preserve"> oprócz ich fundamentów i elementów przejściowych</w:t>
            </w:r>
            <w:r w:rsidRPr="004827B6">
              <w:rPr>
                <w:rFonts w:ascii="Times New Roman" w:hAnsi="Times New Roman"/>
                <w:color w:val="000000"/>
              </w:rPr>
              <w:t>.</w:t>
            </w:r>
            <w:r w:rsidR="000B4DBB" w:rsidRPr="004827B6">
              <w:rPr>
                <w:rFonts w:ascii="Times New Roman" w:hAnsi="Times New Roman"/>
                <w:b/>
                <w:bCs/>
                <w:color w:val="000000"/>
              </w:rPr>
              <w:t xml:space="preserve"> </w:t>
            </w:r>
            <w:bookmarkStart w:id="37" w:name="_Hlk184307559"/>
            <w:r w:rsidR="0094556A" w:rsidRPr="004827B6">
              <w:rPr>
                <w:rFonts w:ascii="Times New Roman" w:hAnsi="Times New Roman"/>
                <w:color w:val="000000"/>
              </w:rPr>
              <w:t xml:space="preserve">Zgodnie z </w:t>
            </w:r>
            <w:r w:rsidR="000800BE" w:rsidRPr="004827B6">
              <w:rPr>
                <w:rFonts w:ascii="Times New Roman" w:hAnsi="Times New Roman"/>
                <w:color w:val="000000"/>
              </w:rPr>
              <w:t xml:space="preserve">art. 23 ust. 1a </w:t>
            </w:r>
            <w:r w:rsidR="006D6669">
              <w:rPr>
                <w:rFonts w:ascii="Times New Roman" w:hAnsi="Times New Roman"/>
                <w:color w:val="000000"/>
              </w:rPr>
              <w:t>UOM</w:t>
            </w:r>
            <w:r w:rsidR="000800BE" w:rsidRPr="004827B6">
              <w:rPr>
                <w:rFonts w:ascii="Times New Roman" w:hAnsi="Times New Roman"/>
                <w:color w:val="000000"/>
              </w:rPr>
              <w:t xml:space="preserve"> zakazuje się wznoszenia i wykorzystywania MFW na morskich wodach wewnętrznych i morzu terytorialnym. MFW powstają na obszarze </w:t>
            </w:r>
            <w:r w:rsidR="006800C5" w:rsidRPr="004827B6">
              <w:rPr>
                <w:rFonts w:ascii="Times New Roman" w:hAnsi="Times New Roman"/>
                <w:color w:val="000000"/>
              </w:rPr>
              <w:t>wyłącznej strefy ekonomicznej. Zatem MFW nie podlegają opodatkowaniu podatkiem od nieruchomości w rozumieniu przepisów ustawy z dnia 12 stycznia 1991 r. o podatkach i opłatach lokalnych (Dz. U. z 2023 r. poz. 70, 1313 i 2291 oraz z 2024 r. poz. 1572 i 1635) gdyż nie stanowią terytorium gminy. Wyłączna strefa ekonomiczna nie stanowi również obszaru Rzeczypospolitej Polskiej</w:t>
            </w:r>
            <w:r w:rsidR="000B51AF" w:rsidRPr="004827B6">
              <w:rPr>
                <w:rFonts w:ascii="Times New Roman" w:hAnsi="Times New Roman"/>
                <w:color w:val="000000"/>
              </w:rPr>
              <w:t xml:space="preserve"> na podstawie ustawy z dnia 12 października 1990 r. o ochronie granicy państwowej (Dz.U. </w:t>
            </w:r>
            <w:r w:rsidR="009714CD" w:rsidRPr="004827B6">
              <w:rPr>
                <w:rFonts w:ascii="Times New Roman" w:hAnsi="Times New Roman"/>
                <w:color w:val="000000"/>
              </w:rPr>
              <w:t>z</w:t>
            </w:r>
            <w:r w:rsidR="009714CD">
              <w:rPr>
                <w:rFonts w:ascii="Times New Roman" w:hAnsi="Times New Roman"/>
                <w:color w:val="000000"/>
              </w:rPr>
              <w:t> </w:t>
            </w:r>
            <w:r w:rsidR="000B51AF" w:rsidRPr="004827B6">
              <w:rPr>
                <w:rFonts w:ascii="Times New Roman" w:hAnsi="Times New Roman"/>
                <w:color w:val="000000"/>
              </w:rPr>
              <w:t>2024 r. poz. 388 i 1635)</w:t>
            </w:r>
            <w:r w:rsidR="006800C5" w:rsidRPr="004827B6">
              <w:rPr>
                <w:rFonts w:ascii="Times New Roman" w:hAnsi="Times New Roman"/>
                <w:color w:val="000000"/>
              </w:rPr>
              <w:t xml:space="preserve">. </w:t>
            </w:r>
            <w:r w:rsidR="008E0F4C" w:rsidRPr="004827B6">
              <w:rPr>
                <w:rFonts w:ascii="Times New Roman" w:hAnsi="Times New Roman"/>
                <w:color w:val="000000"/>
              </w:rPr>
              <w:t xml:space="preserve">MFW podlegają opłacie </w:t>
            </w:r>
            <w:r w:rsidR="000B51AF" w:rsidRPr="004827B6">
              <w:rPr>
                <w:rFonts w:ascii="Times New Roman" w:hAnsi="Times New Roman"/>
                <w:color w:val="000000"/>
              </w:rPr>
              <w:t xml:space="preserve">koncesyjnej na podstawie art. 34 ust. 2a, 2b i 3a ustawy z dnia 10 kwietnia 1997 r. – Prawo energetyczne w wysokości nie większej niż 23 000 zł/MW. W związku z powyższym doprecyzowanie kwalifikacji morskiej turbiny wiatrowej nie wpłynie na dochody gmin z tytułu podatków. </w:t>
            </w:r>
            <w:bookmarkStart w:id="38" w:name="_Hlk185240894"/>
            <w:bookmarkEnd w:id="37"/>
          </w:p>
          <w:p w14:paraId="04C1A4CD" w14:textId="728A37C6" w:rsidR="00830ACC" w:rsidRPr="00017C52" w:rsidRDefault="003D02C1" w:rsidP="003D02C1">
            <w:pPr>
              <w:spacing w:before="120" w:after="120"/>
              <w:ind w:left="360"/>
              <w:jc w:val="both"/>
              <w:rPr>
                <w:rFonts w:ascii="Times New Roman" w:hAnsi="Times New Roman"/>
                <w:b/>
                <w:bCs/>
                <w:color w:val="000000"/>
              </w:rPr>
            </w:pPr>
            <w:bookmarkStart w:id="39" w:name="_Hlk185240914"/>
            <w:bookmarkEnd w:id="38"/>
            <w:r>
              <w:rPr>
                <w:rFonts w:ascii="Times New Roman" w:hAnsi="Times New Roman"/>
                <w:b/>
                <w:bCs/>
                <w:color w:val="000000"/>
              </w:rPr>
              <w:t>1</w:t>
            </w:r>
            <w:r w:rsidR="009714CD">
              <w:rPr>
                <w:rFonts w:ascii="Times New Roman" w:hAnsi="Times New Roman"/>
                <w:b/>
                <w:bCs/>
                <w:color w:val="000000"/>
              </w:rPr>
              <w:t>3</w:t>
            </w:r>
            <w:r>
              <w:rPr>
                <w:rFonts w:ascii="Times New Roman" w:hAnsi="Times New Roman"/>
                <w:b/>
                <w:bCs/>
                <w:color w:val="000000"/>
              </w:rPr>
              <w:t xml:space="preserve">a. </w:t>
            </w:r>
            <w:r w:rsidR="00830ACC" w:rsidRPr="00017C52">
              <w:rPr>
                <w:rFonts w:ascii="Times New Roman" w:hAnsi="Times New Roman"/>
                <w:b/>
                <w:bCs/>
                <w:color w:val="000000"/>
              </w:rPr>
              <w:t>Zdefiniowanie personelu do obsługi MFW</w:t>
            </w:r>
            <w:bookmarkEnd w:id="39"/>
          </w:p>
          <w:p w14:paraId="79EB5F77" w14:textId="77777777" w:rsidR="00830ACC" w:rsidRPr="006F48C3" w:rsidRDefault="00830ACC" w:rsidP="00093E33">
            <w:pPr>
              <w:spacing w:after="120"/>
              <w:jc w:val="both"/>
              <w:rPr>
                <w:rFonts w:ascii="Times New Roman" w:hAnsi="Times New Roman"/>
                <w:color w:val="000000"/>
              </w:rPr>
            </w:pPr>
            <w:r>
              <w:rPr>
                <w:rFonts w:ascii="Times New Roman" w:hAnsi="Times New Roman"/>
                <w:color w:val="000000"/>
              </w:rPr>
              <w:t xml:space="preserve">Rozwiązanie wprowadza definicję </w:t>
            </w:r>
            <w:r w:rsidRPr="006F48C3">
              <w:rPr>
                <w:rFonts w:ascii="Times New Roman" w:hAnsi="Times New Roman"/>
                <w:color w:val="000000"/>
              </w:rPr>
              <w:t>personelu przemysłowego, która pozwoli na sprawniejsze i bezpieczniejsze realizowanie zadań z zakresu budowy i obsługi morskich farm wiatrowych.</w:t>
            </w:r>
          </w:p>
          <w:p w14:paraId="55BA421A" w14:textId="77777777" w:rsidR="00830ACC" w:rsidRPr="00284D23" w:rsidRDefault="00830ACC" w:rsidP="00093E33">
            <w:pPr>
              <w:spacing w:after="120"/>
              <w:jc w:val="both"/>
              <w:rPr>
                <w:rFonts w:ascii="Times New Roman" w:hAnsi="Times New Roman"/>
                <w:color w:val="000000"/>
              </w:rPr>
            </w:pPr>
            <w:r>
              <w:rPr>
                <w:rFonts w:ascii="Times New Roman" w:hAnsi="Times New Roman"/>
                <w:color w:val="000000"/>
              </w:rPr>
              <w:t>Zaproponowana</w:t>
            </w:r>
            <w:r w:rsidRPr="006F48C3">
              <w:rPr>
                <w:rFonts w:ascii="Times New Roman" w:hAnsi="Times New Roman"/>
                <w:color w:val="000000"/>
              </w:rPr>
              <w:t xml:space="preserve"> definicja jest zgodna z regulacjami uchwalonymi przez Komitet Międzynarodowej Organizacji Morskiej w rozdziale XV Konwencji SOLAS oraz Międzynarodowym Kodeksie Bezpieczeństwa Statków Przewożących Personel Przemysłowy</w:t>
            </w:r>
            <w:r>
              <w:rPr>
                <w:rFonts w:ascii="Times New Roman" w:hAnsi="Times New Roman"/>
                <w:color w:val="000000"/>
              </w:rPr>
              <w:t>.</w:t>
            </w:r>
          </w:p>
          <w:p w14:paraId="004A8B7C" w14:textId="2446A1AC" w:rsidR="00830ACC" w:rsidRPr="00017C52" w:rsidRDefault="00EC5288" w:rsidP="003D02C1">
            <w:pPr>
              <w:spacing w:before="120" w:after="120"/>
              <w:ind w:left="360"/>
              <w:jc w:val="both"/>
              <w:rPr>
                <w:rFonts w:ascii="Times New Roman" w:hAnsi="Times New Roman"/>
                <w:b/>
                <w:bCs/>
                <w:color w:val="000000"/>
              </w:rPr>
            </w:pPr>
            <w:bookmarkStart w:id="40" w:name="_Hlk185240933"/>
            <w:r>
              <w:rPr>
                <w:rFonts w:ascii="Times New Roman" w:hAnsi="Times New Roman"/>
                <w:b/>
                <w:bCs/>
                <w:color w:val="000000"/>
              </w:rPr>
              <w:t>1</w:t>
            </w:r>
            <w:r w:rsidR="009714CD">
              <w:rPr>
                <w:rFonts w:ascii="Times New Roman" w:hAnsi="Times New Roman"/>
                <w:b/>
                <w:bCs/>
                <w:color w:val="000000"/>
              </w:rPr>
              <w:t>3</w:t>
            </w:r>
            <w:r>
              <w:rPr>
                <w:rFonts w:ascii="Times New Roman" w:hAnsi="Times New Roman"/>
                <w:b/>
                <w:bCs/>
                <w:color w:val="000000"/>
              </w:rPr>
              <w:t xml:space="preserve">b. </w:t>
            </w:r>
            <w:r w:rsidR="00830ACC" w:rsidRPr="00017C52">
              <w:rPr>
                <w:rFonts w:ascii="Times New Roman" w:hAnsi="Times New Roman"/>
                <w:b/>
                <w:bCs/>
                <w:color w:val="000000"/>
              </w:rPr>
              <w:t>Udostępniani</w:t>
            </w:r>
            <w:r w:rsidR="00597CC0" w:rsidRPr="00017C52">
              <w:rPr>
                <w:rFonts w:ascii="Times New Roman" w:hAnsi="Times New Roman"/>
                <w:b/>
                <w:bCs/>
                <w:color w:val="000000"/>
              </w:rPr>
              <w:t>e</w:t>
            </w:r>
            <w:r w:rsidR="00830ACC" w:rsidRPr="00017C52">
              <w:rPr>
                <w:rFonts w:ascii="Times New Roman" w:hAnsi="Times New Roman"/>
                <w:b/>
                <w:bCs/>
                <w:color w:val="000000"/>
              </w:rPr>
              <w:t xml:space="preserve"> danych niezbędnych do sporządzenia ekspertyz technicznych</w:t>
            </w:r>
            <w:bookmarkEnd w:id="40"/>
          </w:p>
          <w:p w14:paraId="107CC691" w14:textId="77777777" w:rsidR="00830ACC" w:rsidRDefault="00830ACC" w:rsidP="00093E33">
            <w:pPr>
              <w:spacing w:after="120"/>
              <w:jc w:val="both"/>
              <w:rPr>
                <w:rFonts w:ascii="Times New Roman" w:hAnsi="Times New Roman"/>
                <w:color w:val="000000"/>
              </w:rPr>
            </w:pPr>
            <w:r>
              <w:rPr>
                <w:rFonts w:ascii="Times New Roman" w:hAnsi="Times New Roman"/>
                <w:color w:val="000000"/>
              </w:rPr>
              <w:t>Wprowadza się obowiązek udostępnienia przez Ministra Obrony Narodowej oraz ministra właściwego do spraw wewnętrznych w terminie 30 dni od</w:t>
            </w:r>
            <w:r w:rsidRPr="006F48C3">
              <w:rPr>
                <w:rFonts w:ascii="Times New Roman" w:hAnsi="Times New Roman"/>
                <w:color w:val="000000"/>
              </w:rPr>
              <w:t xml:space="preserve"> otrzymania wniosku</w:t>
            </w:r>
            <w:r>
              <w:rPr>
                <w:rFonts w:ascii="Times New Roman" w:hAnsi="Times New Roman"/>
                <w:color w:val="000000"/>
              </w:rPr>
              <w:t xml:space="preserve"> danych niezbędnych</w:t>
            </w:r>
            <w:r w:rsidRPr="006F48C3">
              <w:rPr>
                <w:rFonts w:ascii="Times New Roman" w:hAnsi="Times New Roman"/>
                <w:color w:val="000000"/>
              </w:rPr>
              <w:t xml:space="preserve"> do sporządzenia ekspertyzy</w:t>
            </w:r>
            <w:r>
              <w:t xml:space="preserve"> </w:t>
            </w:r>
            <w:r w:rsidRPr="006F48C3">
              <w:rPr>
                <w:rFonts w:ascii="Times New Roman" w:hAnsi="Times New Roman"/>
                <w:color w:val="000000"/>
              </w:rPr>
              <w:t>w zakresie oceny wpływu morskiej farmy wiatrowej i zespołu urządzeń na funkcjonowanie systemów łączności, bezpieczeństwa morskiego, ochronę granicy państwowej na morzu oraz na obronność państwa</w:t>
            </w:r>
            <w:r w:rsidRPr="00284D23">
              <w:rPr>
                <w:rFonts w:ascii="Times New Roman" w:hAnsi="Times New Roman"/>
                <w:color w:val="000000"/>
              </w:rPr>
              <w:t>.</w:t>
            </w:r>
          </w:p>
          <w:p w14:paraId="3F0365AC" w14:textId="6061F13D" w:rsidR="00431472" w:rsidRPr="00E72FB9" w:rsidRDefault="00431472" w:rsidP="00E72FB9">
            <w:pPr>
              <w:spacing w:after="120"/>
              <w:ind w:left="360"/>
              <w:jc w:val="both"/>
              <w:rPr>
                <w:rFonts w:ascii="Times New Roman" w:hAnsi="Times New Roman"/>
                <w:b/>
                <w:bCs/>
                <w:color w:val="000000"/>
              </w:rPr>
            </w:pPr>
            <w:bookmarkStart w:id="41" w:name="_Hlk185240963"/>
            <w:r>
              <w:rPr>
                <w:rFonts w:ascii="Times New Roman" w:hAnsi="Times New Roman"/>
                <w:b/>
                <w:bCs/>
                <w:color w:val="000000"/>
              </w:rPr>
              <w:t>1</w:t>
            </w:r>
            <w:r w:rsidR="009714CD">
              <w:rPr>
                <w:rFonts w:ascii="Times New Roman" w:hAnsi="Times New Roman"/>
                <w:b/>
                <w:bCs/>
                <w:color w:val="000000"/>
              </w:rPr>
              <w:t>3</w:t>
            </w:r>
            <w:r>
              <w:rPr>
                <w:rFonts w:ascii="Times New Roman" w:hAnsi="Times New Roman"/>
                <w:b/>
                <w:bCs/>
                <w:color w:val="000000"/>
              </w:rPr>
              <w:t xml:space="preserve">c. </w:t>
            </w:r>
            <w:r w:rsidRPr="00E72FB9">
              <w:rPr>
                <w:rFonts w:ascii="Times New Roman" w:hAnsi="Times New Roman"/>
                <w:b/>
                <w:bCs/>
                <w:color w:val="000000"/>
              </w:rPr>
              <w:t xml:space="preserve">Ponoszenie kosztów związanych z kompensacją negatywnego wpływu MFW na systemy obronności </w:t>
            </w:r>
            <w:r w:rsidR="00944BCE" w:rsidRPr="00E72FB9">
              <w:rPr>
                <w:rFonts w:ascii="Times New Roman" w:hAnsi="Times New Roman"/>
                <w:b/>
                <w:bCs/>
                <w:color w:val="000000"/>
              </w:rPr>
              <w:t>i</w:t>
            </w:r>
            <w:r w:rsidR="00944BCE">
              <w:rPr>
                <w:rFonts w:ascii="Times New Roman" w:hAnsi="Times New Roman"/>
                <w:b/>
                <w:bCs/>
                <w:color w:val="000000"/>
              </w:rPr>
              <w:t> </w:t>
            </w:r>
            <w:r w:rsidRPr="00E72FB9">
              <w:rPr>
                <w:rFonts w:ascii="Times New Roman" w:hAnsi="Times New Roman"/>
                <w:b/>
                <w:bCs/>
                <w:color w:val="000000"/>
              </w:rPr>
              <w:t>bezpieczeństwa państwa</w:t>
            </w:r>
          </w:p>
          <w:bookmarkEnd w:id="41"/>
          <w:p w14:paraId="49304FDE" w14:textId="20DA5D2D" w:rsidR="00431472" w:rsidRDefault="00431472" w:rsidP="00431472">
            <w:pPr>
              <w:spacing w:after="120"/>
              <w:jc w:val="both"/>
              <w:rPr>
                <w:rFonts w:ascii="Times New Roman" w:hAnsi="Times New Roman"/>
                <w:color w:val="000000"/>
              </w:rPr>
            </w:pPr>
            <w:r w:rsidRPr="00431472">
              <w:rPr>
                <w:rFonts w:ascii="Times New Roman" w:hAnsi="Times New Roman"/>
                <w:color w:val="000000"/>
              </w:rPr>
              <w:t xml:space="preserve">W </w:t>
            </w:r>
            <w:r w:rsidR="00966AD6">
              <w:rPr>
                <w:rFonts w:ascii="Times New Roman" w:hAnsi="Times New Roman"/>
                <w:color w:val="000000"/>
              </w:rPr>
              <w:t>UBM</w:t>
            </w:r>
            <w:r w:rsidRPr="00431472">
              <w:rPr>
                <w:rFonts w:ascii="Times New Roman" w:hAnsi="Times New Roman"/>
                <w:color w:val="000000"/>
              </w:rPr>
              <w:t xml:space="preserve"> dodano </w:t>
            </w:r>
            <w:r>
              <w:rPr>
                <w:rFonts w:ascii="Times New Roman" w:hAnsi="Times New Roman"/>
                <w:color w:val="000000"/>
              </w:rPr>
              <w:t>przepis</w:t>
            </w:r>
            <w:r w:rsidRPr="00431472">
              <w:rPr>
                <w:rFonts w:ascii="Times New Roman" w:hAnsi="Times New Roman"/>
                <w:color w:val="000000"/>
              </w:rPr>
              <w:t>, zgodnie z którym inwestor będzie ponosił wszystkie koszty związane z kompensacją negatywnego wpływu MFW lub zespołu urządzeń wynikające z następujących ekspertyz lub planów</w:t>
            </w:r>
            <w:r>
              <w:rPr>
                <w:rFonts w:ascii="Times New Roman" w:hAnsi="Times New Roman"/>
                <w:color w:val="000000"/>
              </w:rPr>
              <w:t>, do sporządzenia których jest zobowiązany na podstawie tej ustawy.</w:t>
            </w:r>
          </w:p>
          <w:p w14:paraId="6574AB01" w14:textId="53FD65A9" w:rsidR="00537D54" w:rsidRPr="00E43A7D" w:rsidRDefault="00537D54" w:rsidP="00537D54">
            <w:pPr>
              <w:spacing w:after="120"/>
              <w:ind w:left="360"/>
              <w:jc w:val="both"/>
              <w:rPr>
                <w:rFonts w:ascii="Times New Roman" w:hAnsi="Times New Roman"/>
                <w:b/>
                <w:bCs/>
                <w:color w:val="000000"/>
              </w:rPr>
            </w:pPr>
            <w:bookmarkStart w:id="42" w:name="_Hlk185240982"/>
            <w:r>
              <w:rPr>
                <w:rFonts w:ascii="Times New Roman" w:hAnsi="Times New Roman"/>
                <w:b/>
                <w:bCs/>
                <w:color w:val="000000"/>
              </w:rPr>
              <w:t>1</w:t>
            </w:r>
            <w:r w:rsidR="009714CD">
              <w:rPr>
                <w:rFonts w:ascii="Times New Roman" w:hAnsi="Times New Roman"/>
                <w:b/>
                <w:bCs/>
                <w:color w:val="000000"/>
              </w:rPr>
              <w:t>3</w:t>
            </w:r>
            <w:r>
              <w:rPr>
                <w:rFonts w:ascii="Times New Roman" w:hAnsi="Times New Roman"/>
                <w:b/>
                <w:bCs/>
                <w:color w:val="000000"/>
              </w:rPr>
              <w:t xml:space="preserve">d. </w:t>
            </w:r>
            <w:r w:rsidR="001F4F42" w:rsidRPr="001F4F42">
              <w:rPr>
                <w:rFonts w:ascii="Times New Roman" w:hAnsi="Times New Roman"/>
                <w:b/>
                <w:bCs/>
                <w:color w:val="000000"/>
              </w:rPr>
              <w:t>Sprawdzenie spełnienia założeń i wniosków ujętych w ekspertyzach technicznych dotyczących wpływu MFW na systemy obronności państwa, po ich realizacji</w:t>
            </w:r>
          </w:p>
          <w:bookmarkEnd w:id="42"/>
          <w:p w14:paraId="4A4BA773" w14:textId="53B20E29" w:rsidR="00537D54" w:rsidRDefault="00537D54" w:rsidP="00537D54">
            <w:pPr>
              <w:spacing w:after="120"/>
              <w:jc w:val="both"/>
              <w:rPr>
                <w:rFonts w:ascii="Times New Roman" w:hAnsi="Times New Roman"/>
                <w:color w:val="000000"/>
              </w:rPr>
            </w:pPr>
            <w:r w:rsidRPr="00537D54">
              <w:rPr>
                <w:rFonts w:ascii="Times New Roman" w:hAnsi="Times New Roman"/>
                <w:color w:val="000000"/>
              </w:rPr>
              <w:t xml:space="preserve">Uzupełniono </w:t>
            </w:r>
            <w:r>
              <w:rPr>
                <w:rFonts w:ascii="Times New Roman" w:hAnsi="Times New Roman"/>
                <w:color w:val="000000"/>
              </w:rPr>
              <w:t xml:space="preserve">przepisy </w:t>
            </w:r>
            <w:r w:rsidR="00966AD6">
              <w:rPr>
                <w:rFonts w:ascii="Times New Roman" w:hAnsi="Times New Roman"/>
                <w:color w:val="000000"/>
              </w:rPr>
              <w:t>UBM</w:t>
            </w:r>
            <w:r w:rsidRPr="00537D54">
              <w:rPr>
                <w:rFonts w:ascii="Times New Roman" w:hAnsi="Times New Roman"/>
                <w:color w:val="000000"/>
              </w:rPr>
              <w:t xml:space="preserve"> w zakresie obowiązku przeprowadza się pomiarów, testów i badań niezbędnych do weryfikacji poprawności założeń i wniosków zawartych w ekspertyzach o odniesienie do ekspertyzy technicznej w zakresie oceny wpływu  MFW i zespołu urządzeń na systemy obronności państwa, w tym na system zobrazowania radiolokacyjnego, obserwacji technicznej, morskiej łączności radiowej oraz system kontroli służb ruchu lotniczego Sił Zbrojnych RP oraz na system zobrazowania radiolokacyjnego, obserwacji technicznej i morskiej łączności radiowej Straży Granicznej. Tym samym uzupełniono oczywistą lukę prawną, przyczyniając się do poprawienia bezpieczeństwa na morzu.</w:t>
            </w:r>
          </w:p>
          <w:p w14:paraId="7C73DD77" w14:textId="6E6E0233" w:rsidR="00444322" w:rsidRPr="00E72FB9" w:rsidRDefault="00924D78" w:rsidP="00E72FB9">
            <w:pPr>
              <w:spacing w:after="120"/>
              <w:ind w:left="360"/>
              <w:jc w:val="both"/>
              <w:rPr>
                <w:rFonts w:ascii="Times New Roman" w:hAnsi="Times New Roman"/>
                <w:b/>
                <w:bCs/>
                <w:color w:val="000000"/>
              </w:rPr>
            </w:pPr>
            <w:r>
              <w:rPr>
                <w:rFonts w:ascii="Times New Roman" w:hAnsi="Times New Roman"/>
                <w:b/>
                <w:bCs/>
                <w:color w:val="000000"/>
              </w:rPr>
              <w:t>1</w:t>
            </w:r>
            <w:r w:rsidR="009714CD">
              <w:rPr>
                <w:rFonts w:ascii="Times New Roman" w:hAnsi="Times New Roman"/>
                <w:b/>
                <w:bCs/>
                <w:color w:val="000000"/>
              </w:rPr>
              <w:t>3</w:t>
            </w:r>
            <w:r w:rsidR="008E4801">
              <w:rPr>
                <w:rFonts w:ascii="Times New Roman" w:hAnsi="Times New Roman"/>
                <w:b/>
                <w:bCs/>
                <w:color w:val="000000"/>
              </w:rPr>
              <w:t>e</w:t>
            </w:r>
            <w:r>
              <w:rPr>
                <w:rFonts w:ascii="Times New Roman" w:hAnsi="Times New Roman"/>
                <w:b/>
                <w:bCs/>
                <w:color w:val="000000"/>
              </w:rPr>
              <w:t xml:space="preserve">. </w:t>
            </w:r>
            <w:r w:rsidRPr="00924D78">
              <w:rPr>
                <w:rFonts w:ascii="Times New Roman" w:hAnsi="Times New Roman"/>
                <w:b/>
                <w:bCs/>
                <w:color w:val="000000"/>
              </w:rPr>
              <w:t>Terminy dot. certyfikatu zgodności projektowej</w:t>
            </w:r>
            <w:r w:rsidR="00444322">
              <w:rPr>
                <w:rFonts w:ascii="Times New Roman" w:hAnsi="Times New Roman"/>
                <w:b/>
                <w:bCs/>
                <w:color w:val="000000"/>
              </w:rPr>
              <w:t xml:space="preserve"> </w:t>
            </w:r>
          </w:p>
          <w:p w14:paraId="2A995E56" w14:textId="5E2979F8" w:rsidR="00830ACC" w:rsidRDefault="00830ACC" w:rsidP="00093E33">
            <w:pPr>
              <w:spacing w:after="120"/>
              <w:jc w:val="both"/>
              <w:rPr>
                <w:rFonts w:ascii="Times New Roman" w:hAnsi="Times New Roman"/>
                <w:color w:val="000000"/>
              </w:rPr>
            </w:pPr>
            <w:r>
              <w:rPr>
                <w:rFonts w:ascii="Times New Roman" w:hAnsi="Times New Roman"/>
                <w:color w:val="000000"/>
              </w:rPr>
              <w:t>Rozwiązanie wprowadza doprecyzowanie, że c</w:t>
            </w:r>
            <w:r w:rsidRPr="00284D23">
              <w:rPr>
                <w:rFonts w:ascii="Times New Roman" w:hAnsi="Times New Roman"/>
                <w:color w:val="000000"/>
              </w:rPr>
              <w:t xml:space="preserve">ertyfikat zgodności projektowej należy uzyskać </w:t>
            </w:r>
            <w:r w:rsidRPr="006F48C3">
              <w:rPr>
                <w:rFonts w:ascii="Times New Roman" w:hAnsi="Times New Roman"/>
                <w:color w:val="000000"/>
              </w:rPr>
              <w:t>przed rozpoczęciem robót budowlanych polegających na</w:t>
            </w:r>
            <w:r>
              <w:rPr>
                <w:rFonts w:ascii="Times New Roman" w:hAnsi="Times New Roman"/>
                <w:color w:val="000000"/>
              </w:rPr>
              <w:t xml:space="preserve"> </w:t>
            </w:r>
            <w:r w:rsidRPr="006F48C3">
              <w:rPr>
                <w:rFonts w:ascii="Times New Roman" w:hAnsi="Times New Roman"/>
                <w:color w:val="000000"/>
              </w:rPr>
              <w:t>instalacji fundamentów morskich turbin wiatrowych lub stacji elektroenergetycznych zlokalizowanych na morzu</w:t>
            </w:r>
            <w:r>
              <w:rPr>
                <w:rFonts w:ascii="Times New Roman" w:hAnsi="Times New Roman"/>
                <w:color w:val="000000"/>
              </w:rPr>
              <w:t xml:space="preserve"> lub</w:t>
            </w:r>
            <w:r w:rsidRPr="006F48C3">
              <w:rPr>
                <w:rFonts w:ascii="Times New Roman" w:hAnsi="Times New Roman"/>
                <w:color w:val="000000"/>
              </w:rPr>
              <w:t xml:space="preserve"> układaniu kabli w dnie morskim lub na nim</w:t>
            </w:r>
            <w:r w:rsidR="00A44D47">
              <w:rPr>
                <w:rFonts w:ascii="Times New Roman" w:hAnsi="Times New Roman"/>
                <w:color w:val="000000"/>
              </w:rPr>
              <w:t xml:space="preserve">, a nie tak jak dotychczas, czyli </w:t>
            </w:r>
            <w:r w:rsidR="00A44D47" w:rsidRPr="00A44D47">
              <w:rPr>
                <w:rFonts w:ascii="Times New Roman" w:hAnsi="Times New Roman"/>
                <w:color w:val="000000"/>
              </w:rPr>
              <w:t xml:space="preserve">po opracowaniu projektu budowlanego, a przed zawiadomieniem organu nadzoru budowlanego o zamierzonym terminie rozpoczęcia robót budowlanych dotyczących </w:t>
            </w:r>
            <w:r w:rsidR="00A44D47">
              <w:rPr>
                <w:rFonts w:ascii="Times New Roman" w:hAnsi="Times New Roman"/>
                <w:color w:val="000000"/>
              </w:rPr>
              <w:t>MFW</w:t>
            </w:r>
            <w:r w:rsidR="00A44D47" w:rsidRPr="00A44D47">
              <w:rPr>
                <w:rFonts w:ascii="Times New Roman" w:hAnsi="Times New Roman"/>
                <w:color w:val="000000"/>
              </w:rPr>
              <w:t xml:space="preserve"> lub zespołu urządzeń</w:t>
            </w:r>
            <w:r>
              <w:rPr>
                <w:rFonts w:ascii="Times New Roman" w:hAnsi="Times New Roman"/>
                <w:color w:val="000000"/>
              </w:rPr>
              <w:t>.</w:t>
            </w:r>
          </w:p>
          <w:p w14:paraId="20AB1D60" w14:textId="0AD7CCF2" w:rsidR="000B4DBB" w:rsidRPr="00A503E9" w:rsidRDefault="000B4DBB" w:rsidP="00792646">
            <w:pPr>
              <w:pStyle w:val="Akapitzlist"/>
              <w:numPr>
                <w:ilvl w:val="0"/>
                <w:numId w:val="132"/>
              </w:numPr>
              <w:spacing w:after="120"/>
              <w:jc w:val="both"/>
              <w:rPr>
                <w:rFonts w:ascii="Times New Roman" w:hAnsi="Times New Roman"/>
                <w:b/>
                <w:color w:val="000000"/>
                <w:spacing w:val="-2"/>
              </w:rPr>
            </w:pPr>
            <w:r w:rsidRPr="00A503E9">
              <w:rPr>
                <w:rFonts w:ascii="Times New Roman" w:hAnsi="Times New Roman"/>
                <w:b/>
                <w:color w:val="000000"/>
                <w:spacing w:val="-2"/>
              </w:rPr>
              <w:t>Sposób dokumentowania utraconych możliwości połowowych oraz wypłaty ewentualnych odszkodowań z tego tytułu oraz warunki wykonywania rybołówstwa komercyjnego na obszarze morskiej farmy wiatrowej i zespołu urządzeń służących do wyprowadzenia mocy</w:t>
            </w:r>
          </w:p>
          <w:p w14:paraId="2374088E" w14:textId="2CE1624C" w:rsidR="00DD06F9" w:rsidRDefault="009065CB" w:rsidP="000B4DBB">
            <w:pPr>
              <w:spacing w:before="120" w:after="120"/>
              <w:jc w:val="both"/>
              <w:rPr>
                <w:rFonts w:ascii="Times New Roman" w:hAnsi="Times New Roman"/>
                <w:bCs/>
                <w:color w:val="000000"/>
                <w:spacing w:val="-2"/>
              </w:rPr>
            </w:pPr>
            <w:r>
              <w:rPr>
                <w:rFonts w:ascii="Times New Roman" w:hAnsi="Times New Roman"/>
                <w:bCs/>
                <w:color w:val="000000"/>
                <w:spacing w:val="-2"/>
              </w:rPr>
              <w:t>Zgodnie z d</w:t>
            </w:r>
            <w:r w:rsidR="00DD06F9" w:rsidRPr="00DD06F9">
              <w:rPr>
                <w:rFonts w:ascii="Times New Roman" w:hAnsi="Times New Roman"/>
                <w:bCs/>
                <w:color w:val="000000"/>
                <w:spacing w:val="-2"/>
              </w:rPr>
              <w:t>odawany</w:t>
            </w:r>
            <w:r>
              <w:rPr>
                <w:rFonts w:ascii="Times New Roman" w:hAnsi="Times New Roman"/>
                <w:bCs/>
                <w:color w:val="000000"/>
                <w:spacing w:val="-2"/>
              </w:rPr>
              <w:t>m</w:t>
            </w:r>
            <w:r w:rsidR="00DD06F9" w:rsidRPr="00DD06F9">
              <w:rPr>
                <w:rFonts w:ascii="Times New Roman" w:hAnsi="Times New Roman"/>
                <w:bCs/>
                <w:color w:val="000000"/>
                <w:spacing w:val="-2"/>
              </w:rPr>
              <w:t xml:space="preserve"> art. </w:t>
            </w:r>
            <w:r w:rsidR="00DD06F9">
              <w:rPr>
                <w:rFonts w:ascii="Times New Roman" w:hAnsi="Times New Roman"/>
                <w:bCs/>
                <w:color w:val="000000"/>
                <w:spacing w:val="-2"/>
              </w:rPr>
              <w:t>84b</w:t>
            </w:r>
            <w:r>
              <w:rPr>
                <w:rFonts w:ascii="Times New Roman" w:hAnsi="Times New Roman"/>
                <w:bCs/>
                <w:color w:val="000000"/>
                <w:spacing w:val="-2"/>
              </w:rPr>
              <w:t xml:space="preserve"> </w:t>
            </w:r>
            <w:r w:rsidR="00DD06F9">
              <w:rPr>
                <w:rFonts w:ascii="Times New Roman" w:hAnsi="Times New Roman"/>
                <w:bCs/>
                <w:color w:val="000000"/>
                <w:spacing w:val="-2"/>
              </w:rPr>
              <w:t>ustaw</w:t>
            </w:r>
            <w:r>
              <w:rPr>
                <w:rFonts w:ascii="Times New Roman" w:hAnsi="Times New Roman"/>
                <w:bCs/>
                <w:color w:val="000000"/>
                <w:spacing w:val="-2"/>
              </w:rPr>
              <w:t>y</w:t>
            </w:r>
            <w:r w:rsidR="00DD06F9">
              <w:rPr>
                <w:rFonts w:ascii="Times New Roman" w:hAnsi="Times New Roman"/>
                <w:bCs/>
                <w:color w:val="000000"/>
                <w:spacing w:val="-2"/>
              </w:rPr>
              <w:t xml:space="preserve"> offshore wind </w:t>
            </w:r>
            <w:r w:rsidR="00DD06F9" w:rsidRPr="00DD06F9">
              <w:rPr>
                <w:rFonts w:ascii="Times New Roman" w:hAnsi="Times New Roman"/>
                <w:bCs/>
                <w:color w:val="000000"/>
                <w:spacing w:val="-2"/>
              </w:rPr>
              <w:t>roszczenie odszkodowania za utratę korzyści majątkowych w związku z budową, eksploatacją i likwidacją MFW będzie przysługiwać armatorom statków rybackich, które były używane do wykonywania rybołówstwa komercyjnego na akwenie, na którym później została wybudowana MFW</w:t>
            </w:r>
            <w:r>
              <w:rPr>
                <w:rFonts w:ascii="Times New Roman" w:hAnsi="Times New Roman"/>
                <w:bCs/>
                <w:color w:val="000000"/>
                <w:spacing w:val="-2"/>
              </w:rPr>
              <w:t xml:space="preserve"> </w:t>
            </w:r>
            <w:r w:rsidR="00DD06F9" w:rsidRPr="00DD06F9">
              <w:rPr>
                <w:rFonts w:ascii="Times New Roman" w:hAnsi="Times New Roman"/>
                <w:bCs/>
                <w:color w:val="000000"/>
                <w:spacing w:val="-2"/>
              </w:rPr>
              <w:t xml:space="preserve">i z wykorzystaniem których po wybudowaniu MFW było (jest) wykonywane rybołówstwo komercyjne na innych akwenach. </w:t>
            </w:r>
            <w:r>
              <w:rPr>
                <w:rFonts w:ascii="Times New Roman" w:hAnsi="Times New Roman"/>
                <w:bCs/>
                <w:color w:val="000000"/>
                <w:spacing w:val="-2"/>
              </w:rPr>
              <w:t xml:space="preserve">Wytwórca </w:t>
            </w:r>
            <w:r w:rsidR="00DD06F9" w:rsidRPr="00DD06F9">
              <w:rPr>
                <w:rFonts w:ascii="Times New Roman" w:hAnsi="Times New Roman"/>
                <w:bCs/>
                <w:color w:val="000000"/>
                <w:spacing w:val="-2"/>
              </w:rPr>
              <w:t xml:space="preserve">będzie zobowiązany do wypłaty odszkodowania określonego z uwzględnieniem wielkości obszaru MFW oraz wartości przychodów </w:t>
            </w:r>
            <w:r w:rsidR="00DD06F9" w:rsidRPr="00DD06F9">
              <w:rPr>
                <w:rFonts w:ascii="Times New Roman" w:hAnsi="Times New Roman"/>
                <w:bCs/>
                <w:color w:val="000000"/>
                <w:spacing w:val="-2"/>
              </w:rPr>
              <w:lastRenderedPageBreak/>
              <w:t xml:space="preserve">z działalności statku rybackiego osiągniętych przed i po wybudowaniu MFW, a także z uwzględnieniem sumy kosztów armatora statku rybackiego związanych z koniecznością zmiany miejsca oraz sposobu prowadzenia połowów (konieczność omijania MFW w drodze na łowisko, konieczność zakupu innych narzędzi połowowych etc.). Z uwagi na spotęgowane oddziaływanie MFW na ichtiofaunę i działalność rybacką w okresie budowy i likwidacji MFW, roszczenie za utratę korzyści majątkowych będzie przysługiwać również armatorom statków rybackich, którzy w tym okresie prowadzili działalność połowową w odległości nie większej niż 10 km od obszaru MFW i 2 km od </w:t>
            </w:r>
            <w:r w:rsidR="004847C6" w:rsidRPr="004847C6">
              <w:rPr>
                <w:rFonts w:ascii="Times New Roman" w:hAnsi="Times New Roman"/>
                <w:bCs/>
                <w:color w:val="000000"/>
                <w:spacing w:val="-2"/>
              </w:rPr>
              <w:t>obszaru zespołu urządzeń służących do wyprowadzenia</w:t>
            </w:r>
            <w:r w:rsidR="004847C6">
              <w:rPr>
                <w:rFonts w:ascii="Times New Roman" w:hAnsi="Times New Roman"/>
                <w:bCs/>
                <w:color w:val="000000"/>
                <w:spacing w:val="-2"/>
              </w:rPr>
              <w:t xml:space="preserve"> mocy.</w:t>
            </w:r>
          </w:p>
          <w:p w14:paraId="5F92B54E" w14:textId="0D5747E1" w:rsidR="000B4DBB" w:rsidRDefault="000B4DBB" w:rsidP="000B4DBB">
            <w:pPr>
              <w:spacing w:before="120" w:after="120"/>
              <w:jc w:val="both"/>
              <w:rPr>
                <w:rFonts w:ascii="Times New Roman" w:hAnsi="Times New Roman"/>
                <w:color w:val="000000"/>
              </w:rPr>
            </w:pPr>
            <w:r w:rsidRPr="001E515A">
              <w:rPr>
                <w:rFonts w:ascii="Times New Roman" w:hAnsi="Times New Roman"/>
                <w:bCs/>
                <w:color w:val="000000"/>
                <w:spacing w:val="-2"/>
              </w:rPr>
              <w:t xml:space="preserve">Dodaje się </w:t>
            </w:r>
            <w:r w:rsidR="004847C6">
              <w:rPr>
                <w:rFonts w:ascii="Times New Roman" w:hAnsi="Times New Roman"/>
                <w:bCs/>
                <w:color w:val="000000"/>
                <w:spacing w:val="-2"/>
              </w:rPr>
              <w:t xml:space="preserve">również </w:t>
            </w:r>
            <w:r w:rsidRPr="001E515A">
              <w:rPr>
                <w:rFonts w:ascii="Times New Roman" w:hAnsi="Times New Roman"/>
                <w:bCs/>
                <w:color w:val="000000"/>
                <w:spacing w:val="-2"/>
              </w:rPr>
              <w:t xml:space="preserve">delegacje ustawowe </w:t>
            </w:r>
            <w:r w:rsidR="004847C6">
              <w:rPr>
                <w:rFonts w:ascii="Times New Roman" w:hAnsi="Times New Roman"/>
                <w:bCs/>
                <w:color w:val="000000"/>
                <w:spacing w:val="-2"/>
              </w:rPr>
              <w:t>umożliwiające</w:t>
            </w:r>
            <w:r w:rsidRPr="001E515A">
              <w:rPr>
                <w:rFonts w:ascii="Times New Roman" w:hAnsi="Times New Roman"/>
                <w:bCs/>
                <w:color w:val="000000"/>
                <w:spacing w:val="-2"/>
              </w:rPr>
              <w:t xml:space="preserve"> wydani</w:t>
            </w:r>
            <w:r w:rsidR="004847C6">
              <w:rPr>
                <w:rFonts w:ascii="Times New Roman" w:hAnsi="Times New Roman"/>
                <w:bCs/>
                <w:color w:val="000000"/>
                <w:spacing w:val="-2"/>
              </w:rPr>
              <w:t>e</w:t>
            </w:r>
            <w:r w:rsidRPr="001E515A">
              <w:rPr>
                <w:rFonts w:ascii="Times New Roman" w:hAnsi="Times New Roman"/>
                <w:bCs/>
                <w:color w:val="000000"/>
                <w:spacing w:val="-2"/>
              </w:rPr>
              <w:t xml:space="preserve"> dwóch rozporządzeń z zakresu rybołówstwa morskiego</w:t>
            </w:r>
            <w:r w:rsidR="00444322" w:rsidRPr="00444322">
              <w:rPr>
                <w:rFonts w:ascii="Times New Roman" w:hAnsi="Times New Roman"/>
                <w:color w:val="000000"/>
              </w:rPr>
              <w:t>, jedną w ustawie offshore wind, drugą w ustawie z dnia 19 grudnia 2014 r. o rybołówstwie morskim.</w:t>
            </w:r>
            <w:r w:rsidR="00444322">
              <w:rPr>
                <w:rFonts w:ascii="Times New Roman" w:hAnsi="Times New Roman"/>
                <w:color w:val="000000"/>
              </w:rPr>
              <w:t xml:space="preserve"> Pierwsz</w:t>
            </w:r>
            <w:r w:rsidR="00C466A0">
              <w:rPr>
                <w:rFonts w:ascii="Times New Roman" w:hAnsi="Times New Roman"/>
                <w:color w:val="000000"/>
              </w:rPr>
              <w:t>e</w:t>
            </w:r>
            <w:r w:rsidR="00444322">
              <w:rPr>
                <w:rFonts w:ascii="Times New Roman" w:hAnsi="Times New Roman"/>
                <w:color w:val="000000"/>
              </w:rPr>
              <w:t xml:space="preserve"> </w:t>
            </w:r>
            <w:r w:rsidR="004847C6">
              <w:rPr>
                <w:rFonts w:ascii="Times New Roman" w:hAnsi="Times New Roman"/>
                <w:color w:val="000000"/>
              </w:rPr>
              <w:t xml:space="preserve">określi </w:t>
            </w:r>
            <w:r w:rsidR="004847C6" w:rsidRPr="004847C6">
              <w:rPr>
                <w:rFonts w:ascii="Times New Roman" w:hAnsi="Times New Roman"/>
                <w:color w:val="000000"/>
              </w:rPr>
              <w:t xml:space="preserve">sposób szacowania korzyści majątkowych armatora statku rybackiego utraconych w związku z budową, eksploatacją </w:t>
            </w:r>
            <w:r w:rsidR="00944BCE" w:rsidRPr="004847C6">
              <w:rPr>
                <w:rFonts w:ascii="Times New Roman" w:hAnsi="Times New Roman"/>
                <w:color w:val="000000"/>
              </w:rPr>
              <w:t>i</w:t>
            </w:r>
            <w:r w:rsidR="00944BCE">
              <w:rPr>
                <w:rFonts w:ascii="Times New Roman" w:hAnsi="Times New Roman"/>
                <w:color w:val="000000"/>
              </w:rPr>
              <w:t> </w:t>
            </w:r>
            <w:r w:rsidR="004847C6" w:rsidRPr="004847C6">
              <w:rPr>
                <w:rFonts w:ascii="Times New Roman" w:hAnsi="Times New Roman"/>
                <w:color w:val="000000"/>
              </w:rPr>
              <w:t xml:space="preserve">likwidacją </w:t>
            </w:r>
            <w:r w:rsidR="004847C6">
              <w:rPr>
                <w:rFonts w:ascii="Times New Roman" w:hAnsi="Times New Roman"/>
                <w:color w:val="000000"/>
              </w:rPr>
              <w:t xml:space="preserve">MFW oraz </w:t>
            </w:r>
            <w:r w:rsidR="004847C6" w:rsidRPr="004847C6">
              <w:rPr>
                <w:rFonts w:ascii="Times New Roman" w:hAnsi="Times New Roman"/>
                <w:color w:val="000000"/>
              </w:rPr>
              <w:t>zespołu urządzeń służących do wyprowadzenia mocy</w:t>
            </w:r>
            <w:r w:rsidR="00444322">
              <w:rPr>
                <w:rFonts w:ascii="Times New Roman" w:hAnsi="Times New Roman"/>
                <w:color w:val="000000"/>
              </w:rPr>
              <w:t xml:space="preserve">, </w:t>
            </w:r>
            <w:r w:rsidR="004847C6">
              <w:rPr>
                <w:rFonts w:ascii="Times New Roman" w:hAnsi="Times New Roman"/>
                <w:color w:val="000000"/>
              </w:rPr>
              <w:t xml:space="preserve">drugie </w:t>
            </w:r>
            <w:r w:rsidR="00444322">
              <w:rPr>
                <w:rFonts w:ascii="Times New Roman" w:hAnsi="Times New Roman"/>
                <w:color w:val="000000"/>
              </w:rPr>
              <w:t>zaś</w:t>
            </w:r>
            <w:r w:rsidR="00A25160">
              <w:rPr>
                <w:rFonts w:ascii="Times New Roman" w:hAnsi="Times New Roman"/>
                <w:color w:val="000000"/>
              </w:rPr>
              <w:t xml:space="preserve"> (fakultatywne)</w:t>
            </w:r>
            <w:r w:rsidR="00444322">
              <w:rPr>
                <w:rFonts w:ascii="Times New Roman" w:hAnsi="Times New Roman"/>
                <w:color w:val="000000"/>
              </w:rPr>
              <w:t xml:space="preserve"> </w:t>
            </w:r>
            <w:r w:rsidR="00444322" w:rsidRPr="00444322">
              <w:rPr>
                <w:rFonts w:ascii="Times New Roman" w:hAnsi="Times New Roman"/>
                <w:color w:val="000000"/>
              </w:rPr>
              <w:t>szczegółow</w:t>
            </w:r>
            <w:r w:rsidR="00C466A0">
              <w:rPr>
                <w:rFonts w:ascii="Times New Roman" w:hAnsi="Times New Roman"/>
                <w:color w:val="000000"/>
              </w:rPr>
              <w:t>e</w:t>
            </w:r>
            <w:r w:rsidR="00444322" w:rsidRPr="00444322">
              <w:rPr>
                <w:rFonts w:ascii="Times New Roman" w:hAnsi="Times New Roman"/>
                <w:color w:val="000000"/>
              </w:rPr>
              <w:t xml:space="preserve"> warunk</w:t>
            </w:r>
            <w:r w:rsidR="00C466A0">
              <w:rPr>
                <w:rFonts w:ascii="Times New Roman" w:hAnsi="Times New Roman"/>
                <w:color w:val="000000"/>
              </w:rPr>
              <w:t>i</w:t>
            </w:r>
            <w:r w:rsidR="00444322" w:rsidRPr="00444322">
              <w:rPr>
                <w:rFonts w:ascii="Times New Roman" w:hAnsi="Times New Roman"/>
                <w:color w:val="000000"/>
              </w:rPr>
              <w:t xml:space="preserve"> wykonywania rybołówstwa komercyjnego na obszarze MFW i zespołu urządzeń służących do wyprowadzenia mocy.</w:t>
            </w:r>
            <w:r w:rsidR="00AA3663">
              <w:rPr>
                <w:rFonts w:ascii="Times New Roman" w:hAnsi="Times New Roman"/>
                <w:color w:val="000000"/>
              </w:rPr>
              <w:t xml:space="preserve"> </w:t>
            </w:r>
          </w:p>
          <w:p w14:paraId="11B34C0D" w14:textId="686D4533" w:rsidR="00830ACC" w:rsidRPr="00017C52" w:rsidRDefault="00EC5288" w:rsidP="005E668E">
            <w:pPr>
              <w:spacing w:before="120" w:after="120"/>
              <w:ind w:left="360"/>
              <w:jc w:val="both"/>
              <w:rPr>
                <w:rFonts w:ascii="Times New Roman" w:hAnsi="Times New Roman"/>
                <w:b/>
                <w:bCs/>
                <w:color w:val="000000"/>
              </w:rPr>
            </w:pPr>
            <w:r>
              <w:rPr>
                <w:rFonts w:ascii="Times New Roman" w:hAnsi="Times New Roman"/>
                <w:b/>
                <w:bCs/>
                <w:color w:val="000000"/>
              </w:rPr>
              <w:t>1</w:t>
            </w:r>
            <w:r w:rsidR="00944BCE">
              <w:rPr>
                <w:rFonts w:ascii="Times New Roman" w:hAnsi="Times New Roman"/>
                <w:b/>
                <w:bCs/>
                <w:color w:val="000000"/>
              </w:rPr>
              <w:t>5</w:t>
            </w:r>
            <w:r>
              <w:rPr>
                <w:rFonts w:ascii="Times New Roman" w:hAnsi="Times New Roman"/>
                <w:b/>
                <w:bCs/>
                <w:color w:val="000000"/>
              </w:rPr>
              <w:t xml:space="preserve">. </w:t>
            </w:r>
            <w:r w:rsidR="00830ACC" w:rsidRPr="00017C52">
              <w:rPr>
                <w:rFonts w:ascii="Times New Roman" w:hAnsi="Times New Roman"/>
                <w:b/>
                <w:bCs/>
                <w:color w:val="000000"/>
              </w:rPr>
              <w:t>Czas pracy personelu przemysłowego do obsługi morskich farm wiatrowych</w:t>
            </w:r>
          </w:p>
          <w:p w14:paraId="132D0461" w14:textId="3F26D392" w:rsidR="00830ACC" w:rsidRPr="00284D23" w:rsidRDefault="00830ACC" w:rsidP="00093E33">
            <w:pPr>
              <w:spacing w:after="120"/>
              <w:jc w:val="both"/>
              <w:rPr>
                <w:rFonts w:ascii="Times New Roman" w:hAnsi="Times New Roman"/>
                <w:color w:val="000000"/>
              </w:rPr>
            </w:pPr>
            <w:r>
              <w:rPr>
                <w:rFonts w:ascii="Times New Roman" w:hAnsi="Times New Roman"/>
                <w:color w:val="000000"/>
              </w:rPr>
              <w:t xml:space="preserve">W przypadku czasu </w:t>
            </w:r>
            <w:r w:rsidR="00A44D47">
              <w:rPr>
                <w:rFonts w:ascii="Times New Roman" w:hAnsi="Times New Roman"/>
                <w:color w:val="000000"/>
              </w:rPr>
              <w:t xml:space="preserve">pracy </w:t>
            </w:r>
            <w:r w:rsidRPr="002723E3">
              <w:rPr>
                <w:rFonts w:ascii="Times New Roman" w:hAnsi="Times New Roman"/>
                <w:color w:val="000000"/>
              </w:rPr>
              <w:t xml:space="preserve">personelu przemysłowego w rozumieniu </w:t>
            </w:r>
            <w:r>
              <w:rPr>
                <w:rFonts w:ascii="Times New Roman" w:hAnsi="Times New Roman"/>
                <w:color w:val="000000"/>
              </w:rPr>
              <w:t>zaproponowanym w projekcie ustawy proponuje się odesłanie wprost do przepisów dotyczących czasu pracy w przypadku</w:t>
            </w:r>
            <w:r w:rsidRPr="001B1726">
              <w:rPr>
                <w:rFonts w:ascii="Times New Roman" w:hAnsi="Times New Roman"/>
                <w:color w:val="000000"/>
              </w:rPr>
              <w:t xml:space="preserve"> pracy na platformach wiertniczych lub wydobywczych, a także na specjalistycznych statkach technicznych, takich jak holowniki, pogłębiarki i dźwigi pływające, obsługiwanych przez kolejno wymieniające się załogi lub część załogi</w:t>
            </w:r>
            <w:r>
              <w:rPr>
                <w:rFonts w:ascii="Times New Roman" w:hAnsi="Times New Roman"/>
                <w:color w:val="000000"/>
              </w:rPr>
              <w:t>.</w:t>
            </w:r>
          </w:p>
          <w:p w14:paraId="43CB7EF7" w14:textId="23B840FB" w:rsidR="00830ACC" w:rsidRPr="000B4DBB" w:rsidRDefault="00830ACC" w:rsidP="00792646">
            <w:pPr>
              <w:pStyle w:val="Akapitzlist"/>
              <w:numPr>
                <w:ilvl w:val="0"/>
                <w:numId w:val="133"/>
              </w:numPr>
              <w:spacing w:after="120"/>
              <w:jc w:val="both"/>
              <w:rPr>
                <w:rFonts w:ascii="Times New Roman" w:hAnsi="Times New Roman"/>
                <w:b/>
                <w:bCs/>
                <w:color w:val="000000"/>
              </w:rPr>
            </w:pPr>
            <w:r w:rsidRPr="000B4DBB">
              <w:rPr>
                <w:rFonts w:ascii="Times New Roman" w:hAnsi="Times New Roman"/>
                <w:b/>
                <w:bCs/>
                <w:color w:val="000000"/>
              </w:rPr>
              <w:t xml:space="preserve">Zwolnienie z opłaty za grunty pokryte wodami Skarbu Państwa stref ochronnych i stref bezpieczeństwa dla kabli MFW </w:t>
            </w:r>
          </w:p>
          <w:p w14:paraId="11921364" w14:textId="77777777" w:rsidR="00A44D47" w:rsidRDefault="00830ACC" w:rsidP="000B4DBB">
            <w:pPr>
              <w:spacing w:after="120"/>
              <w:jc w:val="both"/>
              <w:rPr>
                <w:rFonts w:ascii="Times New Roman" w:hAnsi="Times New Roman"/>
                <w:color w:val="000000"/>
              </w:rPr>
            </w:pPr>
            <w:r>
              <w:rPr>
                <w:rFonts w:ascii="Times New Roman" w:hAnsi="Times New Roman"/>
                <w:color w:val="000000"/>
              </w:rPr>
              <w:t xml:space="preserve">Wprowadza się zwolnienie z wymogu </w:t>
            </w:r>
            <w:r w:rsidRPr="002723E3">
              <w:rPr>
                <w:rFonts w:ascii="Times New Roman" w:hAnsi="Times New Roman"/>
                <w:color w:val="000000"/>
              </w:rPr>
              <w:t xml:space="preserve">zawarcia umowy użytkowania i uiszczenia opłaty rocznej </w:t>
            </w:r>
            <w:r>
              <w:rPr>
                <w:rFonts w:ascii="Times New Roman" w:hAnsi="Times New Roman"/>
                <w:color w:val="000000"/>
              </w:rPr>
              <w:t>dla</w:t>
            </w:r>
            <w:r w:rsidRPr="002723E3">
              <w:rPr>
                <w:rFonts w:ascii="Times New Roman" w:hAnsi="Times New Roman"/>
                <w:color w:val="000000"/>
              </w:rPr>
              <w:t xml:space="preserve"> gruntów pod</w:t>
            </w:r>
            <w:r>
              <w:rPr>
                <w:rFonts w:ascii="Times New Roman" w:hAnsi="Times New Roman"/>
                <w:color w:val="000000"/>
              </w:rPr>
              <w:t xml:space="preserve"> </w:t>
            </w:r>
            <w:r w:rsidRPr="002723E3">
              <w:rPr>
                <w:rFonts w:ascii="Times New Roman" w:hAnsi="Times New Roman"/>
                <w:color w:val="000000"/>
              </w:rPr>
              <w:t>obszarami ochronnymi, w tym strefami bezpieczeństwa związanymi z przedsięwzięciami realizowanymi na gruntach, dla których uzyskano pozwolenie</w:t>
            </w:r>
            <w:r>
              <w:rPr>
                <w:rFonts w:ascii="Times New Roman" w:hAnsi="Times New Roman"/>
                <w:color w:val="000000"/>
              </w:rPr>
              <w:t xml:space="preserve"> lokalizacyjne lub decyzję o realizacji </w:t>
            </w:r>
            <w:r w:rsidRPr="002723E3">
              <w:rPr>
                <w:rFonts w:ascii="Times New Roman" w:hAnsi="Times New Roman"/>
                <w:color w:val="000000"/>
              </w:rPr>
              <w:t>strategiczn</w:t>
            </w:r>
            <w:r>
              <w:rPr>
                <w:rFonts w:ascii="Times New Roman" w:hAnsi="Times New Roman"/>
                <w:color w:val="000000"/>
              </w:rPr>
              <w:t>ej</w:t>
            </w:r>
            <w:r w:rsidRPr="002723E3">
              <w:rPr>
                <w:rFonts w:ascii="Times New Roman" w:hAnsi="Times New Roman"/>
                <w:color w:val="000000"/>
              </w:rPr>
              <w:t xml:space="preserve"> inwestycji dotyczące zespołu urządzeń służących do wyprowadzenia mocy lub jego elementów</w:t>
            </w:r>
            <w:r>
              <w:rPr>
                <w:rFonts w:ascii="Times New Roman" w:hAnsi="Times New Roman"/>
                <w:color w:val="000000"/>
              </w:rPr>
              <w:t>.</w:t>
            </w:r>
          </w:p>
          <w:p w14:paraId="58297843" w14:textId="32C687D1" w:rsidR="00DB084E" w:rsidRPr="00DD284D" w:rsidRDefault="00DB084E" w:rsidP="00792646">
            <w:pPr>
              <w:pStyle w:val="Akapitzlist"/>
              <w:numPr>
                <w:ilvl w:val="0"/>
                <w:numId w:val="133"/>
              </w:numPr>
              <w:spacing w:after="120"/>
              <w:ind w:left="344" w:firstLine="0"/>
              <w:jc w:val="both"/>
              <w:rPr>
                <w:rFonts w:ascii="Times New Roman" w:hAnsi="Times New Roman"/>
                <w:b/>
                <w:color w:val="000000"/>
              </w:rPr>
            </w:pPr>
            <w:r w:rsidRPr="00DD284D">
              <w:rPr>
                <w:rFonts w:ascii="Times New Roman" w:hAnsi="Times New Roman"/>
                <w:b/>
                <w:color w:val="000000"/>
              </w:rPr>
              <w:t>Mapowanie obszarów niezbędnych do wniesienia krajowych wkładów w realizację ogólnego celu unijnego w zakresie energii odnawialnej wyznaczonego na 2030 r. oraz ramy prawne dla wyznaczania OPRO</w:t>
            </w:r>
          </w:p>
          <w:p w14:paraId="2F4E19D3" w14:textId="10D8E2BF" w:rsidR="00DB084E" w:rsidRPr="00DB084E" w:rsidRDefault="00DB084E" w:rsidP="00DB084E">
            <w:pPr>
              <w:spacing w:after="120"/>
              <w:jc w:val="both"/>
              <w:rPr>
                <w:rFonts w:ascii="Times New Roman" w:hAnsi="Times New Roman"/>
                <w:color w:val="000000"/>
              </w:rPr>
            </w:pPr>
            <w:r w:rsidRPr="00DB084E">
              <w:rPr>
                <w:rFonts w:ascii="Times New Roman" w:hAnsi="Times New Roman"/>
                <w:color w:val="000000"/>
              </w:rPr>
              <w:t>Intensyfikacja rozwoju odnawialnych źródeł energii wymaga przyspieszenia procesów inwestycyjno-budowlanych i</w:t>
            </w:r>
            <w:r w:rsidR="00381F15">
              <w:rPr>
                <w:rFonts w:ascii="Times New Roman" w:hAnsi="Times New Roman"/>
                <w:color w:val="000000"/>
              </w:rPr>
              <w:t> </w:t>
            </w:r>
            <w:r w:rsidRPr="00DB084E">
              <w:rPr>
                <w:rFonts w:ascii="Times New Roman" w:hAnsi="Times New Roman"/>
                <w:color w:val="000000"/>
              </w:rPr>
              <w:t>przyłączania do sieci projektów OZE. Zobowiązania wynikające z prawa unijnego oraz konieczność wdrożenia kamieni milowych KPO, jak również własne aspiracje w dążeniu do transformacji energetycznej, determinują implementację do polskiego porządku prawnego rozwiązań, które przyczynią się do ograniczenia wpływu czynników, mających negatywne przełożenie na ww. zapotrzebowanie.</w:t>
            </w:r>
          </w:p>
          <w:p w14:paraId="62418014" w14:textId="430493CA" w:rsidR="00DB084E" w:rsidRPr="00DB084E" w:rsidRDefault="00DB084E" w:rsidP="00DB084E">
            <w:pPr>
              <w:spacing w:after="120"/>
              <w:jc w:val="both"/>
              <w:rPr>
                <w:rFonts w:ascii="Times New Roman" w:hAnsi="Times New Roman"/>
                <w:color w:val="000000"/>
              </w:rPr>
            </w:pPr>
            <w:r w:rsidRPr="00DB084E">
              <w:rPr>
                <w:rFonts w:ascii="Times New Roman" w:hAnsi="Times New Roman"/>
                <w:color w:val="000000"/>
              </w:rPr>
              <w:t xml:space="preserve">Analizując obowiązujące ramy prawne, w których prowadzone są inwestycje z obszaru odnawialnych źródeł energii </w:t>
            </w:r>
            <w:r w:rsidR="00944BCE" w:rsidRPr="00DB084E">
              <w:rPr>
                <w:rFonts w:ascii="Times New Roman" w:hAnsi="Times New Roman"/>
                <w:color w:val="000000"/>
              </w:rPr>
              <w:t>w</w:t>
            </w:r>
            <w:r w:rsidR="00944BCE">
              <w:rPr>
                <w:rFonts w:ascii="Times New Roman" w:hAnsi="Times New Roman"/>
                <w:color w:val="000000"/>
              </w:rPr>
              <w:t> </w:t>
            </w:r>
            <w:r w:rsidRPr="00DB084E">
              <w:rPr>
                <w:rFonts w:ascii="Times New Roman" w:hAnsi="Times New Roman"/>
                <w:color w:val="000000"/>
              </w:rPr>
              <w:t>Polsce, należy ocenić, że wymagają one interwencji legislacyjnej, mającej na celu ułatwienie przedmiotowych procesów poprzez ich optymalizację, a także wdrożenie nowych rozwiązań systemowych.</w:t>
            </w:r>
          </w:p>
          <w:p w14:paraId="08D527D8" w14:textId="4D39659C" w:rsidR="00EB5E00" w:rsidRDefault="00DB084E" w:rsidP="00EB5E00">
            <w:pPr>
              <w:jc w:val="both"/>
              <w:rPr>
                <w:rFonts w:ascii="Times New Roman" w:hAnsi="Times New Roman"/>
                <w:color w:val="000000"/>
              </w:rPr>
            </w:pPr>
            <w:r w:rsidRPr="00DB084E">
              <w:rPr>
                <w:rFonts w:ascii="Times New Roman" w:hAnsi="Times New Roman"/>
                <w:color w:val="000000"/>
              </w:rPr>
              <w:t xml:space="preserve">Celem powyższego proponuje się wprowadzenie definicji map potencjału energii ze źródeł odnawialnych oraz definicji obszaru przyspieszonego rozwoju </w:t>
            </w:r>
            <w:r w:rsidR="001778AA" w:rsidRPr="001778AA">
              <w:rPr>
                <w:rFonts w:ascii="Times New Roman" w:hAnsi="Times New Roman"/>
                <w:color w:val="000000"/>
              </w:rPr>
              <w:t>instalacji odnawialnego źródła energii</w:t>
            </w:r>
            <w:r w:rsidRPr="00DB084E">
              <w:rPr>
                <w:rFonts w:ascii="Times New Roman" w:hAnsi="Times New Roman"/>
                <w:color w:val="000000"/>
              </w:rPr>
              <w:t>.</w:t>
            </w:r>
          </w:p>
          <w:p w14:paraId="05DB6399" w14:textId="107BED18" w:rsidR="00DB084E" w:rsidRPr="00DB084E" w:rsidRDefault="00EB5E00" w:rsidP="00DB084E">
            <w:pPr>
              <w:spacing w:after="120"/>
              <w:jc w:val="both"/>
              <w:rPr>
                <w:rFonts w:ascii="Times New Roman" w:hAnsi="Times New Roman"/>
                <w:color w:val="000000"/>
              </w:rPr>
            </w:pPr>
            <w:r>
              <w:rPr>
                <w:rFonts w:ascii="Times New Roman" w:hAnsi="Times New Roman"/>
                <w:color w:val="000000"/>
              </w:rPr>
              <w:t>P</w:t>
            </w:r>
            <w:r w:rsidR="00DB084E" w:rsidRPr="00DB084E">
              <w:rPr>
                <w:rFonts w:ascii="Times New Roman" w:hAnsi="Times New Roman"/>
                <w:color w:val="000000"/>
              </w:rPr>
              <w:t>ierwsze mają określać krajowy obszar lądowy, podpowierzchniowy, wód morskich i wód śródlądowych o największym potencjale do lokalizowania instalacji OZE, magazynów energii i powiązanej z nimi infrastruktury sieciowej i stanowić jednocześnie obszar w granicach którego będą wyznaczane OPRO, rozumiane jako teren służący lokalizowaniu instalacji OZE, magazynów energii i powiązanej z nimi infrastruktury sieciowej.</w:t>
            </w:r>
          </w:p>
          <w:p w14:paraId="4C88A060" w14:textId="32FA6485" w:rsidR="00DB084E" w:rsidRDefault="00EB5E00" w:rsidP="00DB084E">
            <w:pPr>
              <w:spacing w:after="120"/>
              <w:jc w:val="both"/>
              <w:rPr>
                <w:rFonts w:ascii="Times New Roman" w:hAnsi="Times New Roman"/>
                <w:color w:val="000000"/>
              </w:rPr>
            </w:pPr>
            <w:r>
              <w:rPr>
                <w:rFonts w:ascii="Times New Roman" w:hAnsi="Times New Roman"/>
                <w:color w:val="000000"/>
              </w:rPr>
              <w:t>P</w:t>
            </w:r>
            <w:r w:rsidR="00DB084E" w:rsidRPr="00DB084E">
              <w:rPr>
                <w:rFonts w:ascii="Times New Roman" w:hAnsi="Times New Roman"/>
                <w:color w:val="000000"/>
              </w:rPr>
              <w:t xml:space="preserve">rojekt przepisów proponuje ustanowienie nowego rozdziału w ustawie OZE, poświęconego instrumentom wspierającym procesy inwestycyjne instalacji odnawialnego źródła energii. Na jego podstawie określony zostanie sposób publikacji map potencjału energii ze źródeł odnawialnych, a także ramy prawne dla wyznaczania obszarów przyspieszonego rozwoju </w:t>
            </w:r>
            <w:r w:rsidR="001778AA">
              <w:rPr>
                <w:rFonts w:ascii="Times New Roman" w:hAnsi="Times New Roman"/>
                <w:color w:val="000000"/>
              </w:rPr>
              <w:t xml:space="preserve">instalacji </w:t>
            </w:r>
            <w:r w:rsidR="00DB084E" w:rsidRPr="00DB084E">
              <w:rPr>
                <w:rFonts w:ascii="Times New Roman" w:hAnsi="Times New Roman"/>
                <w:color w:val="000000"/>
              </w:rPr>
              <w:t>OZE.</w:t>
            </w:r>
          </w:p>
          <w:p w14:paraId="50015442" w14:textId="4E6EF4E8" w:rsidR="00EB5E00" w:rsidRPr="00DB084E" w:rsidRDefault="00EB5E00" w:rsidP="00DB084E">
            <w:pPr>
              <w:spacing w:after="120"/>
              <w:jc w:val="both"/>
              <w:rPr>
                <w:rFonts w:ascii="Times New Roman" w:hAnsi="Times New Roman"/>
                <w:color w:val="000000"/>
              </w:rPr>
            </w:pPr>
            <w:r w:rsidRPr="00EB5E00">
              <w:rPr>
                <w:rFonts w:ascii="Times New Roman" w:hAnsi="Times New Roman"/>
                <w:color w:val="000000"/>
              </w:rPr>
              <w:t xml:space="preserve">Mapowanie </w:t>
            </w:r>
            <w:r>
              <w:rPr>
                <w:rFonts w:ascii="Times New Roman" w:hAnsi="Times New Roman"/>
                <w:color w:val="000000"/>
              </w:rPr>
              <w:t>powinno objąć</w:t>
            </w:r>
            <w:r w:rsidRPr="00EB5E00">
              <w:rPr>
                <w:rFonts w:ascii="Times New Roman" w:hAnsi="Times New Roman"/>
                <w:color w:val="000000"/>
              </w:rPr>
              <w:t xml:space="preserve"> analizę gęstości energii w przypadku</w:t>
            </w:r>
            <w:r>
              <w:rPr>
                <w:rFonts w:ascii="Times New Roman" w:hAnsi="Times New Roman"/>
                <w:color w:val="000000"/>
              </w:rPr>
              <w:t xml:space="preserve"> poszczególnych rodzajów</w:t>
            </w:r>
            <w:r w:rsidRPr="00EB5E00">
              <w:rPr>
                <w:rFonts w:ascii="Times New Roman" w:hAnsi="Times New Roman"/>
                <w:color w:val="000000"/>
              </w:rPr>
              <w:t xml:space="preserve"> instalacji </w:t>
            </w:r>
            <w:r>
              <w:rPr>
                <w:rFonts w:ascii="Times New Roman" w:hAnsi="Times New Roman"/>
                <w:color w:val="000000"/>
              </w:rPr>
              <w:t>OZE</w:t>
            </w:r>
            <w:r w:rsidRPr="00EB5E00">
              <w:rPr>
                <w:rFonts w:ascii="Times New Roman" w:hAnsi="Times New Roman"/>
                <w:color w:val="000000"/>
              </w:rPr>
              <w:t xml:space="preserve">, a także inne aspekty istotne dla integracji </w:t>
            </w:r>
            <w:r>
              <w:rPr>
                <w:rFonts w:ascii="Times New Roman" w:hAnsi="Times New Roman"/>
                <w:color w:val="000000"/>
              </w:rPr>
              <w:t xml:space="preserve">tych </w:t>
            </w:r>
            <w:r w:rsidRPr="00EB5E00">
              <w:rPr>
                <w:rFonts w:ascii="Times New Roman" w:hAnsi="Times New Roman"/>
                <w:color w:val="000000"/>
              </w:rPr>
              <w:t>instalacji w planowaniu przestrzennym, takie jak ograniczenia środowiskowe i związane z ochroną przyrody lub dostępność sieci.</w:t>
            </w:r>
            <w:r>
              <w:rPr>
                <w:rFonts w:ascii="Times New Roman" w:hAnsi="Times New Roman"/>
                <w:color w:val="000000"/>
              </w:rPr>
              <w:t xml:space="preserve"> Należy przy tym zaznaczyć, że sporządzenie samego narzędzia, jakim są w tym przypadku mapy potencjału OZE, jest równoległym działaniem prowadzonym przez Ministra Klimatu i Środowiska.</w:t>
            </w:r>
          </w:p>
          <w:p w14:paraId="307D5AC4" w14:textId="3760F16A" w:rsidR="00DB084E" w:rsidRPr="00534A40" w:rsidRDefault="00DB084E" w:rsidP="00DB084E">
            <w:pPr>
              <w:spacing w:after="120"/>
              <w:jc w:val="both"/>
              <w:rPr>
                <w:rFonts w:ascii="Times New Roman" w:hAnsi="Times New Roman"/>
                <w:color w:val="000000"/>
              </w:rPr>
            </w:pPr>
            <w:r w:rsidRPr="00DB084E">
              <w:rPr>
                <w:rFonts w:ascii="Times New Roman" w:hAnsi="Times New Roman"/>
                <w:color w:val="000000"/>
              </w:rPr>
              <w:lastRenderedPageBreak/>
              <w:t xml:space="preserve">Do najważniejszych kwestii </w:t>
            </w:r>
            <w:r w:rsidRPr="00534A40">
              <w:rPr>
                <w:rFonts w:ascii="Times New Roman" w:hAnsi="Times New Roman"/>
                <w:color w:val="000000"/>
              </w:rPr>
              <w:t xml:space="preserve">uwzględnionych w projektowanych przepisach </w:t>
            </w:r>
            <w:r w:rsidR="00EB5E00">
              <w:rPr>
                <w:rFonts w:ascii="Times New Roman" w:hAnsi="Times New Roman"/>
                <w:color w:val="000000"/>
              </w:rPr>
              <w:t xml:space="preserve">w zakresie obszarów przyspieszonego rozwoju instalacji odnawialnego źródła energii </w:t>
            </w:r>
            <w:r w:rsidRPr="00534A40">
              <w:rPr>
                <w:rFonts w:ascii="Times New Roman" w:hAnsi="Times New Roman"/>
                <w:color w:val="000000"/>
              </w:rPr>
              <w:t xml:space="preserve">należy </w:t>
            </w:r>
            <w:r w:rsidR="00173345">
              <w:rPr>
                <w:rFonts w:ascii="Times New Roman" w:hAnsi="Times New Roman"/>
                <w:color w:val="000000"/>
              </w:rPr>
              <w:t xml:space="preserve">natomiast </w:t>
            </w:r>
            <w:r w:rsidRPr="00534A40">
              <w:rPr>
                <w:rFonts w:ascii="Times New Roman" w:hAnsi="Times New Roman"/>
                <w:color w:val="000000"/>
              </w:rPr>
              <w:t xml:space="preserve">zaliczyć określenie organów właściwych dla wyznaczania OPRO (organy samorządu województwa), dedykowanego ku temu rodzaju dokumentu (plan obszarów przyspieszonego rozwoju </w:t>
            </w:r>
            <w:r w:rsidR="001778AA" w:rsidRPr="001778AA">
              <w:rPr>
                <w:rFonts w:ascii="Times New Roman" w:hAnsi="Times New Roman"/>
                <w:color w:val="000000"/>
              </w:rPr>
              <w:t>instalacji odnawialnego źródła energii</w:t>
            </w:r>
            <w:r w:rsidR="001778AA">
              <w:rPr>
                <w:rFonts w:ascii="Times New Roman" w:hAnsi="Times New Roman"/>
                <w:color w:val="000000"/>
              </w:rPr>
              <w:t xml:space="preserve"> </w:t>
            </w:r>
            <w:r w:rsidRPr="00534A40">
              <w:rPr>
                <w:rFonts w:ascii="Times New Roman" w:hAnsi="Times New Roman"/>
                <w:color w:val="000000"/>
              </w:rPr>
              <w:t>dla województwa) oraz jego elementów</w:t>
            </w:r>
            <w:r w:rsidR="00173345">
              <w:rPr>
                <w:rFonts w:ascii="Times New Roman" w:hAnsi="Times New Roman"/>
                <w:color w:val="000000"/>
              </w:rPr>
              <w:t>.</w:t>
            </w:r>
            <w:r w:rsidRPr="00534A40">
              <w:rPr>
                <w:rFonts w:ascii="Times New Roman" w:hAnsi="Times New Roman"/>
                <w:color w:val="000000"/>
              </w:rPr>
              <w:t xml:space="preserve"> Z uwagi na istotę dostępności mocy przyłączeniowych dla OPRO, wyznaczenie konkretnych obszarów będzie wymagało uzgodnienia m.in. z właściwym przedsiębiorstwem energetycznym zajmującym się przesyłaniem lub dystrybucją energii elektrycznej.</w:t>
            </w:r>
          </w:p>
          <w:p w14:paraId="7409851D" w14:textId="1D1A3DF6" w:rsidR="00173345" w:rsidRDefault="00DB084E" w:rsidP="00DB084E">
            <w:pPr>
              <w:spacing w:after="120"/>
              <w:jc w:val="both"/>
              <w:rPr>
                <w:rFonts w:ascii="Times New Roman" w:hAnsi="Times New Roman"/>
                <w:color w:val="000000"/>
              </w:rPr>
            </w:pPr>
            <w:r w:rsidRPr="00534A40">
              <w:rPr>
                <w:rFonts w:ascii="Times New Roman" w:hAnsi="Times New Roman"/>
                <w:color w:val="000000"/>
              </w:rPr>
              <w:t xml:space="preserve">Niezwykle istotnym elementem, służącym uproszczeniu proceduralnemu procesów inwestycyjnych OZE prowadzonych na obszarach przyspieszonego rozwoju </w:t>
            </w:r>
            <w:r w:rsidR="001778AA">
              <w:rPr>
                <w:rFonts w:ascii="Times New Roman" w:hAnsi="Times New Roman"/>
                <w:color w:val="000000"/>
              </w:rPr>
              <w:t xml:space="preserve">instalacji </w:t>
            </w:r>
            <w:r w:rsidRPr="00534A40">
              <w:rPr>
                <w:rFonts w:ascii="Times New Roman" w:hAnsi="Times New Roman"/>
                <w:color w:val="000000"/>
              </w:rPr>
              <w:t>OZE, jest obowiązek poddania</w:t>
            </w:r>
            <w:r w:rsidR="001B1F26" w:rsidRPr="00534A40">
              <w:rPr>
                <w:rFonts w:ascii="Times New Roman" w:hAnsi="Times New Roman"/>
                <w:color w:val="000000"/>
              </w:rPr>
              <w:t xml:space="preserve"> </w:t>
            </w:r>
            <w:r w:rsidRPr="00534A40">
              <w:rPr>
                <w:rFonts w:ascii="Times New Roman" w:hAnsi="Times New Roman"/>
                <w:color w:val="000000"/>
              </w:rPr>
              <w:t>planów obszar</w:t>
            </w:r>
            <w:r w:rsidR="001B1F26" w:rsidRPr="00DD284D">
              <w:rPr>
                <w:rFonts w:ascii="Times New Roman" w:hAnsi="Times New Roman"/>
                <w:color w:val="000000"/>
              </w:rPr>
              <w:t>ów</w:t>
            </w:r>
            <w:r w:rsidRPr="00534A40">
              <w:rPr>
                <w:rFonts w:ascii="Times New Roman" w:hAnsi="Times New Roman"/>
                <w:color w:val="000000"/>
              </w:rPr>
              <w:t xml:space="preserve"> przyspieszonego rozwoju </w:t>
            </w:r>
            <w:r w:rsidR="006B1C98" w:rsidRPr="006B1C98">
              <w:rPr>
                <w:rFonts w:ascii="Times New Roman" w:hAnsi="Times New Roman"/>
                <w:color w:val="000000"/>
              </w:rPr>
              <w:t>instalacji odnawialnego źródła energii</w:t>
            </w:r>
            <w:r w:rsidR="001B1F26" w:rsidRPr="00534A40">
              <w:rPr>
                <w:rFonts w:ascii="Times New Roman" w:hAnsi="Times New Roman"/>
                <w:color w:val="000000"/>
              </w:rPr>
              <w:t xml:space="preserve"> dla województwa</w:t>
            </w:r>
            <w:r w:rsidRPr="00534A40">
              <w:rPr>
                <w:rFonts w:ascii="Times New Roman" w:hAnsi="Times New Roman"/>
                <w:color w:val="000000"/>
              </w:rPr>
              <w:t xml:space="preserve"> </w:t>
            </w:r>
            <w:r w:rsidRPr="00DB084E">
              <w:rPr>
                <w:rFonts w:ascii="Times New Roman" w:hAnsi="Times New Roman"/>
                <w:color w:val="000000"/>
              </w:rPr>
              <w:t>strategicznej ocenie oddziaływania na środowisku. Należy przy tym nadmienić, że w celu uniknięcia negatywnego oddziaływania na środowisko konieczne do określenia będą tzw. środki łagodzące, jakie należy zastosować przy sytuowaniu poszczególnych instalacji OZE, a także powiązanych z nimi magazynów energii czy infrastruktury sieciowej, które będą uzgadniane z właściwym miejscowo regionalnym dyrektorem ochrony środowiska.</w:t>
            </w:r>
          </w:p>
          <w:p w14:paraId="36A20538" w14:textId="085C4B76" w:rsidR="00173345" w:rsidRDefault="00262EA7" w:rsidP="00DB084E">
            <w:pPr>
              <w:spacing w:after="120"/>
              <w:jc w:val="both"/>
              <w:rPr>
                <w:rFonts w:ascii="Times New Roman" w:hAnsi="Times New Roman"/>
                <w:color w:val="000000"/>
              </w:rPr>
            </w:pPr>
            <w:r>
              <w:rPr>
                <w:rFonts w:ascii="Times New Roman" w:hAnsi="Times New Roman"/>
                <w:color w:val="000000"/>
              </w:rPr>
              <w:t>Dalej</w:t>
            </w:r>
            <w:r w:rsidR="00173345">
              <w:rPr>
                <w:rFonts w:ascii="Times New Roman" w:hAnsi="Times New Roman"/>
                <w:color w:val="000000"/>
              </w:rPr>
              <w:t xml:space="preserve"> w kontekście usprawnienia inwestycji, obszary przyspieszonego rozwoju instalacji </w:t>
            </w:r>
            <w:r w:rsidR="00173345" w:rsidRPr="00173345">
              <w:rPr>
                <w:rFonts w:ascii="Times New Roman" w:hAnsi="Times New Roman"/>
                <w:color w:val="000000"/>
              </w:rPr>
              <w:t>odnawialnego źródła energii</w:t>
            </w:r>
            <w:r w:rsidR="00173345">
              <w:rPr>
                <w:rFonts w:ascii="Times New Roman" w:hAnsi="Times New Roman"/>
                <w:color w:val="000000"/>
              </w:rPr>
              <w:t xml:space="preserve"> będą mogły być wyznaczane wyłącznie na terenach objętych miejscowym planem zagospodarowania przestrzennego, który dopuszcza ich lokalizowanie, co powinno wpisać się w ideę spójnego charakteru kreowanego rozwiązania.</w:t>
            </w:r>
          </w:p>
          <w:p w14:paraId="540FED84" w14:textId="2B21736B" w:rsidR="00DB084E" w:rsidRPr="00DB084E" w:rsidRDefault="00DB084E" w:rsidP="00DB084E">
            <w:pPr>
              <w:spacing w:after="120"/>
              <w:jc w:val="both"/>
              <w:rPr>
                <w:rFonts w:ascii="Times New Roman" w:hAnsi="Times New Roman"/>
                <w:color w:val="000000"/>
              </w:rPr>
            </w:pPr>
            <w:r w:rsidRPr="00DB084E">
              <w:rPr>
                <w:rFonts w:ascii="Times New Roman" w:hAnsi="Times New Roman"/>
                <w:color w:val="000000"/>
              </w:rPr>
              <w:t xml:space="preserve">Wyżej wskazane nowe podejście systemowe do weryfikacji inwestycji OZE na środowisko </w:t>
            </w:r>
            <w:r w:rsidR="00173345">
              <w:rPr>
                <w:rFonts w:ascii="Times New Roman" w:hAnsi="Times New Roman"/>
                <w:color w:val="000000"/>
              </w:rPr>
              <w:t xml:space="preserve">oraz </w:t>
            </w:r>
            <w:r w:rsidR="00262EA7">
              <w:rPr>
                <w:rFonts w:ascii="Times New Roman" w:hAnsi="Times New Roman"/>
                <w:color w:val="000000"/>
              </w:rPr>
              <w:t xml:space="preserve">ład przestrzenny </w:t>
            </w:r>
            <w:r w:rsidRPr="00DB084E">
              <w:rPr>
                <w:rFonts w:ascii="Times New Roman" w:hAnsi="Times New Roman"/>
                <w:color w:val="000000"/>
              </w:rPr>
              <w:t>ma pozwolić na znaczące skrócenie czasu trwania</w:t>
            </w:r>
            <w:r w:rsidR="00BA2892">
              <w:rPr>
                <w:rFonts w:ascii="Times New Roman" w:hAnsi="Times New Roman"/>
                <w:color w:val="000000"/>
              </w:rPr>
              <w:t xml:space="preserve"> procesu inwestycyjnego w OZE</w:t>
            </w:r>
            <w:r w:rsidR="00262EA7">
              <w:rPr>
                <w:rFonts w:ascii="Times New Roman" w:hAnsi="Times New Roman"/>
                <w:color w:val="000000"/>
              </w:rPr>
              <w:t xml:space="preserve"> na wyznaczonych, przystosowanych do tego obszarach</w:t>
            </w:r>
            <w:r w:rsidRPr="00DB084E">
              <w:rPr>
                <w:rFonts w:ascii="Times New Roman" w:hAnsi="Times New Roman"/>
                <w:color w:val="000000"/>
              </w:rPr>
              <w:t>.</w:t>
            </w:r>
          </w:p>
          <w:p w14:paraId="0217B267" w14:textId="12C7C0AA" w:rsidR="00DB084E" w:rsidRPr="00DB084E" w:rsidRDefault="00DB084E" w:rsidP="00DB084E">
            <w:pPr>
              <w:spacing w:after="120"/>
              <w:jc w:val="both"/>
              <w:rPr>
                <w:rFonts w:ascii="Times New Roman" w:hAnsi="Times New Roman"/>
                <w:color w:val="000000"/>
              </w:rPr>
            </w:pPr>
            <w:r w:rsidRPr="00DB084E">
              <w:rPr>
                <w:rFonts w:ascii="Times New Roman" w:hAnsi="Times New Roman"/>
                <w:color w:val="000000"/>
              </w:rPr>
              <w:t>Należy jednocześnie podkreślić, że szczegółowe zasady wyznaczania OPRO, zgodnie z proponowanymi rozwiązaniami, uwzględniają poszczególne rodzaje odnawialnego źródła energii, docelowo umożliwiając ewentualne wyznaczanie przez organy właściwe dedykowanych obszarów przyspieszonego rozwoju odpowiadającym im technologiom OZE.</w:t>
            </w:r>
          </w:p>
          <w:p w14:paraId="686B41AD" w14:textId="77777777" w:rsidR="00DB084E" w:rsidRDefault="00DB084E" w:rsidP="00DB084E">
            <w:pPr>
              <w:spacing w:after="120"/>
              <w:jc w:val="both"/>
              <w:rPr>
                <w:rFonts w:ascii="Times New Roman" w:hAnsi="Times New Roman"/>
                <w:color w:val="000000"/>
              </w:rPr>
            </w:pPr>
            <w:r w:rsidRPr="00DB084E">
              <w:rPr>
                <w:rFonts w:ascii="Times New Roman" w:hAnsi="Times New Roman"/>
                <w:color w:val="000000"/>
              </w:rPr>
              <w:t xml:space="preserve">Mając na uwadze powyższe, utworzenie obszarów przyspieszonego rozwoju </w:t>
            </w:r>
            <w:r w:rsidR="006B1C98">
              <w:rPr>
                <w:rFonts w:ascii="Times New Roman" w:hAnsi="Times New Roman"/>
                <w:color w:val="000000"/>
              </w:rPr>
              <w:t xml:space="preserve">instalacji </w:t>
            </w:r>
            <w:r w:rsidRPr="00DB084E">
              <w:rPr>
                <w:rFonts w:ascii="Times New Roman" w:hAnsi="Times New Roman"/>
                <w:color w:val="000000"/>
              </w:rPr>
              <w:t>OZE przyczyni się do zwiększenia poczucia stabilności rynkowej oraz transparentności inwestycji, a także budowania akceptacji społecznej dla projektów OZE, zapewniając wykorzystanie terenów lepiej zaadaptowanych pod rozwój energetyki odnawialnej, przy jednoczesnym skróceniu czasu trwania procedur i całego procesu inwestycyjnego. Przyspieszenie realizacji inwestycji w OZE, a tym samym zwiększenie udziału zeroemisyjnej energii w miksie energetycznym przyczyni się również do</w:t>
            </w:r>
            <w:r w:rsidR="006E6EC1">
              <w:t xml:space="preserve"> </w:t>
            </w:r>
            <w:r w:rsidR="006E6EC1" w:rsidRPr="006E6EC1">
              <w:rPr>
                <w:rFonts w:ascii="Times New Roman" w:hAnsi="Times New Roman"/>
                <w:color w:val="000000"/>
              </w:rPr>
              <w:t>zmniejszenia kosztochłonności projektów</w:t>
            </w:r>
            <w:r w:rsidR="006E6EC1">
              <w:rPr>
                <w:rFonts w:ascii="Times New Roman" w:hAnsi="Times New Roman"/>
                <w:color w:val="000000"/>
              </w:rPr>
              <w:t>,</w:t>
            </w:r>
            <w:r w:rsidRPr="00DB084E">
              <w:rPr>
                <w:rFonts w:ascii="Times New Roman" w:hAnsi="Times New Roman"/>
                <w:color w:val="000000"/>
              </w:rPr>
              <w:t xml:space="preserve"> obniżenia cen energii elektrycznej dla odbiorców końcowych, zwiększenia konkurencyjności gospodarki oraz rozwoju regionalnego.</w:t>
            </w:r>
          </w:p>
          <w:p w14:paraId="52E7EC91" w14:textId="31FB61B5" w:rsidR="002272DE" w:rsidRPr="00792646" w:rsidRDefault="002272DE" w:rsidP="00792646">
            <w:pPr>
              <w:pStyle w:val="Akapitzlist"/>
              <w:numPr>
                <w:ilvl w:val="0"/>
                <w:numId w:val="133"/>
              </w:numPr>
              <w:spacing w:after="120"/>
              <w:jc w:val="both"/>
              <w:rPr>
                <w:rFonts w:ascii="Times New Roman" w:hAnsi="Times New Roman"/>
                <w:b/>
                <w:bCs/>
                <w:color w:val="000000"/>
              </w:rPr>
            </w:pPr>
            <w:r w:rsidRPr="00792646">
              <w:rPr>
                <w:rFonts w:ascii="Times New Roman" w:hAnsi="Times New Roman"/>
                <w:b/>
                <w:bCs/>
                <w:color w:val="000000"/>
              </w:rPr>
              <w:t>Umożliwienie działalności spółdzielni energetycznych w gminach miejskich</w:t>
            </w:r>
          </w:p>
          <w:p w14:paraId="266B5D08" w14:textId="77777777" w:rsidR="002272DE" w:rsidRDefault="002272DE" w:rsidP="002272DE">
            <w:pPr>
              <w:spacing w:after="120"/>
              <w:jc w:val="both"/>
              <w:rPr>
                <w:rFonts w:ascii="Times New Roman" w:hAnsi="Times New Roman"/>
                <w:color w:val="000000"/>
              </w:rPr>
            </w:pPr>
            <w:r w:rsidRPr="00853046">
              <w:rPr>
                <w:rFonts w:ascii="Times New Roman" w:hAnsi="Times New Roman"/>
                <w:color w:val="000000"/>
              </w:rPr>
              <w:t>Zaproponowana zmiana wychodzi naprzeciw znacznemu zainteresowaniu gmin, spółdzielni i wspólnot mieszkaniowym, a także innym podmiotom zlokalizowanych poza obszarami gmin wiejskich i miejsko-wiejskich. Propozycja przepisu zakłada umożliwienie zakładania spółdzielni energetycznych niezależnie od rodzaju gminy, na obszarze której się znajduje. Jednocześnie, z uwagi na konieczność zapewnienia zgodności przepisów z unijnymi przepisami dotyczącymi udzielania pomocy publicznej konieczne jest wprowadzenie tzw. klauzuli zawieszającej, obowiązującej do czasu pozytywnej decyzji w ramach procedury notyfikacji tej pomocy Komisji Europejskiej.</w:t>
            </w:r>
          </w:p>
          <w:p w14:paraId="7FDCB406" w14:textId="77777777" w:rsidR="002272DE" w:rsidRDefault="002272DE" w:rsidP="002272DE">
            <w:pPr>
              <w:spacing w:after="120"/>
              <w:jc w:val="both"/>
              <w:rPr>
                <w:rFonts w:ascii="Times New Roman" w:hAnsi="Times New Roman"/>
                <w:color w:val="000000"/>
              </w:rPr>
            </w:pPr>
            <w:r w:rsidRPr="00853046">
              <w:rPr>
                <w:rFonts w:ascii="Times New Roman" w:hAnsi="Times New Roman"/>
                <w:color w:val="000000"/>
              </w:rPr>
              <w:t>Na dzień 03.01.2025 r. liczba wszystkich funkcjonujących spółdzielni energetycznych działających na obszarach wiejskich i wiejsko-miejskich, które uzyskały wpis w wykazie prowadzonym przez Dyrektora Generalnego Krajowego Ośrodka Wsparcia Rolnictwa (KOWR), wynosi 62, a ich łączna moc zainstalowana jest równa 16,45 MWe, z czego aż 15,79 MWe stanowią instalacje fotowoltaiczne, a pozostałą wartość stanowią elektrownie wiatrowe. Maksymalna moc zainstalowana wszystkich instalacji największej spółdzielni energetycznej wynosi 1,89 MWe, natomiast średnia moc wszystkich spółdzielni w wykazie wynosi 0,26 MWe.</w:t>
            </w:r>
          </w:p>
          <w:p w14:paraId="50F34C41" w14:textId="77777777" w:rsidR="002272DE" w:rsidRPr="005D4EFD" w:rsidRDefault="002272DE" w:rsidP="002272DE">
            <w:pPr>
              <w:spacing w:after="120"/>
              <w:jc w:val="both"/>
              <w:rPr>
                <w:rFonts w:ascii="Times New Roman" w:hAnsi="Times New Roman"/>
                <w:color w:val="000000"/>
              </w:rPr>
            </w:pPr>
            <w:r w:rsidRPr="005D4EFD">
              <w:rPr>
                <w:rFonts w:ascii="Times New Roman" w:hAnsi="Times New Roman"/>
                <w:color w:val="000000"/>
              </w:rPr>
              <w:t>Zgodnie z podziałem administracyjnym podział gmin według ich rodzaju, liczby oraz mieszkańców przedstawia się następująco:</w:t>
            </w:r>
          </w:p>
          <w:tbl>
            <w:tblPr>
              <w:tblW w:w="8960" w:type="dxa"/>
              <w:tblCellMar>
                <w:left w:w="70" w:type="dxa"/>
                <w:right w:w="70" w:type="dxa"/>
              </w:tblCellMar>
              <w:tblLook w:val="04A0" w:firstRow="1" w:lastRow="0" w:firstColumn="1" w:lastColumn="0" w:noHBand="0" w:noVBand="1"/>
            </w:tblPr>
            <w:tblGrid>
              <w:gridCol w:w="4140"/>
              <w:gridCol w:w="3300"/>
              <w:gridCol w:w="1520"/>
            </w:tblGrid>
            <w:tr w:rsidR="002272DE" w:rsidRPr="005D3A4F" w14:paraId="6CD67EEE" w14:textId="77777777" w:rsidTr="005D4EFD">
              <w:trPr>
                <w:trHeight w:val="290"/>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400B" w14:textId="77777777" w:rsidR="002272DE" w:rsidRPr="00853046" w:rsidRDefault="002272DE" w:rsidP="002272DE">
                  <w:pPr>
                    <w:rPr>
                      <w:rFonts w:ascii="Times New Roman" w:hAnsi="Times New Roman"/>
                      <w:color w:val="000000"/>
                    </w:rPr>
                  </w:pP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30C2A516" w14:textId="77777777" w:rsidR="002272DE" w:rsidRPr="00853046" w:rsidRDefault="002272DE" w:rsidP="002272DE">
                  <w:pPr>
                    <w:rPr>
                      <w:rFonts w:ascii="Times New Roman" w:hAnsi="Times New Roman"/>
                      <w:color w:val="000000"/>
                    </w:rPr>
                  </w:pPr>
                  <w:r w:rsidRPr="00853046">
                    <w:rPr>
                      <w:rFonts w:ascii="Times New Roman" w:hAnsi="Times New Roman"/>
                      <w:color w:val="000000"/>
                    </w:rPr>
                    <w:t>Liczba mieszkańców (dane GUS)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6441496" w14:textId="77777777" w:rsidR="002272DE" w:rsidRPr="00853046" w:rsidRDefault="002272DE" w:rsidP="002272DE">
                  <w:pPr>
                    <w:rPr>
                      <w:rFonts w:ascii="Times New Roman" w:hAnsi="Times New Roman"/>
                      <w:color w:val="000000"/>
                    </w:rPr>
                  </w:pPr>
                  <w:r w:rsidRPr="00853046">
                    <w:rPr>
                      <w:rFonts w:ascii="Times New Roman" w:hAnsi="Times New Roman"/>
                      <w:color w:val="000000"/>
                    </w:rPr>
                    <w:t>Liczba gmin</w:t>
                  </w:r>
                </w:p>
              </w:tc>
            </w:tr>
            <w:tr w:rsidR="002272DE" w:rsidRPr="005D3A4F" w14:paraId="273CF6C5" w14:textId="77777777" w:rsidTr="005D4EFD">
              <w:trPr>
                <w:trHeight w:val="29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7BD05264" w14:textId="77777777" w:rsidR="002272DE" w:rsidRPr="00853046" w:rsidRDefault="002272DE" w:rsidP="002272DE">
                  <w:pPr>
                    <w:rPr>
                      <w:rFonts w:ascii="Times New Roman" w:hAnsi="Times New Roman"/>
                      <w:color w:val="000000"/>
                    </w:rPr>
                  </w:pPr>
                  <w:r w:rsidRPr="00853046">
                    <w:rPr>
                      <w:rFonts w:ascii="Times New Roman" w:hAnsi="Times New Roman"/>
                      <w:color w:val="000000"/>
                    </w:rPr>
                    <w:t>Gminy miejskie</w:t>
                  </w:r>
                </w:p>
              </w:tc>
              <w:tc>
                <w:tcPr>
                  <w:tcW w:w="3300" w:type="dxa"/>
                  <w:tcBorders>
                    <w:top w:val="nil"/>
                    <w:left w:val="nil"/>
                    <w:bottom w:val="single" w:sz="4" w:space="0" w:color="auto"/>
                    <w:right w:val="single" w:sz="4" w:space="0" w:color="auto"/>
                  </w:tcBorders>
                  <w:shd w:val="clear" w:color="auto" w:fill="auto"/>
                  <w:vAlign w:val="center"/>
                  <w:hideMark/>
                </w:tcPr>
                <w:p w14:paraId="01F5AFC2" w14:textId="77777777" w:rsidR="002272DE" w:rsidRPr="00853046" w:rsidRDefault="002272DE" w:rsidP="002272DE">
                  <w:pPr>
                    <w:jc w:val="right"/>
                    <w:rPr>
                      <w:rFonts w:ascii="Times New Roman" w:hAnsi="Times New Roman"/>
                      <w:color w:val="000000"/>
                    </w:rPr>
                  </w:pPr>
                  <w:r w:rsidRPr="00853046">
                    <w:rPr>
                      <w:rFonts w:ascii="Times New Roman" w:hAnsi="Times New Roman"/>
                      <w:color w:val="000000"/>
                    </w:rPr>
                    <w:t>18 028 725</w:t>
                  </w:r>
                </w:p>
              </w:tc>
              <w:tc>
                <w:tcPr>
                  <w:tcW w:w="1520" w:type="dxa"/>
                  <w:tcBorders>
                    <w:top w:val="nil"/>
                    <w:left w:val="nil"/>
                    <w:bottom w:val="single" w:sz="4" w:space="0" w:color="auto"/>
                    <w:right w:val="single" w:sz="4" w:space="0" w:color="auto"/>
                  </w:tcBorders>
                  <w:shd w:val="clear" w:color="auto" w:fill="auto"/>
                  <w:vAlign w:val="center"/>
                  <w:hideMark/>
                </w:tcPr>
                <w:p w14:paraId="49644878" w14:textId="77777777" w:rsidR="002272DE" w:rsidRPr="00853046" w:rsidRDefault="002272DE" w:rsidP="002272DE">
                  <w:pPr>
                    <w:jc w:val="right"/>
                    <w:rPr>
                      <w:rFonts w:ascii="Times New Roman" w:hAnsi="Times New Roman"/>
                      <w:color w:val="000000"/>
                    </w:rPr>
                  </w:pPr>
                  <w:r w:rsidRPr="00853046">
                    <w:rPr>
                      <w:rFonts w:ascii="Times New Roman" w:hAnsi="Times New Roman"/>
                      <w:color w:val="000000"/>
                    </w:rPr>
                    <w:t>302</w:t>
                  </w:r>
                </w:p>
              </w:tc>
            </w:tr>
            <w:tr w:rsidR="002272DE" w:rsidRPr="005D3A4F" w14:paraId="27102DBB" w14:textId="77777777" w:rsidTr="005D4EFD">
              <w:trPr>
                <w:trHeight w:val="29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68D39F82" w14:textId="77777777" w:rsidR="002272DE" w:rsidRPr="00853046" w:rsidRDefault="002272DE" w:rsidP="002272DE">
                  <w:pPr>
                    <w:rPr>
                      <w:rFonts w:ascii="Times New Roman" w:hAnsi="Times New Roman"/>
                      <w:color w:val="000000"/>
                    </w:rPr>
                  </w:pPr>
                  <w:r w:rsidRPr="00853046">
                    <w:rPr>
                      <w:rFonts w:ascii="Times New Roman" w:hAnsi="Times New Roman"/>
                      <w:color w:val="000000"/>
                    </w:rPr>
                    <w:t>Gminy wiejsko-miejskie</w:t>
                  </w:r>
                </w:p>
              </w:tc>
              <w:tc>
                <w:tcPr>
                  <w:tcW w:w="3300" w:type="dxa"/>
                  <w:tcBorders>
                    <w:top w:val="nil"/>
                    <w:left w:val="nil"/>
                    <w:bottom w:val="single" w:sz="4" w:space="0" w:color="auto"/>
                    <w:right w:val="single" w:sz="4" w:space="0" w:color="auto"/>
                  </w:tcBorders>
                  <w:shd w:val="clear" w:color="auto" w:fill="auto"/>
                  <w:vAlign w:val="center"/>
                  <w:hideMark/>
                </w:tcPr>
                <w:p w14:paraId="199B240F" w14:textId="77777777" w:rsidR="002272DE" w:rsidRPr="00853046" w:rsidRDefault="002272DE" w:rsidP="002272DE">
                  <w:pPr>
                    <w:jc w:val="right"/>
                    <w:rPr>
                      <w:rFonts w:ascii="Times New Roman" w:hAnsi="Times New Roman"/>
                      <w:color w:val="000000"/>
                    </w:rPr>
                  </w:pPr>
                  <w:r w:rsidRPr="00853046">
                    <w:rPr>
                      <w:rFonts w:ascii="Times New Roman" w:hAnsi="Times New Roman"/>
                      <w:color w:val="000000"/>
                    </w:rPr>
                    <w:t>9 146 937</w:t>
                  </w:r>
                </w:p>
              </w:tc>
              <w:tc>
                <w:tcPr>
                  <w:tcW w:w="1520" w:type="dxa"/>
                  <w:tcBorders>
                    <w:top w:val="nil"/>
                    <w:left w:val="nil"/>
                    <w:bottom w:val="single" w:sz="4" w:space="0" w:color="auto"/>
                    <w:right w:val="single" w:sz="4" w:space="0" w:color="auto"/>
                  </w:tcBorders>
                  <w:shd w:val="clear" w:color="auto" w:fill="auto"/>
                  <w:vAlign w:val="center"/>
                  <w:hideMark/>
                </w:tcPr>
                <w:p w14:paraId="6FC30127" w14:textId="77777777" w:rsidR="002272DE" w:rsidRPr="00853046" w:rsidRDefault="002272DE" w:rsidP="002272DE">
                  <w:pPr>
                    <w:jc w:val="right"/>
                    <w:rPr>
                      <w:rFonts w:ascii="Times New Roman" w:hAnsi="Times New Roman"/>
                      <w:color w:val="000000"/>
                    </w:rPr>
                  </w:pPr>
                  <w:r w:rsidRPr="00853046">
                    <w:rPr>
                      <w:rFonts w:ascii="Times New Roman" w:hAnsi="Times New Roman"/>
                      <w:color w:val="000000"/>
                    </w:rPr>
                    <w:t>711</w:t>
                  </w:r>
                </w:p>
              </w:tc>
            </w:tr>
            <w:tr w:rsidR="002272DE" w:rsidRPr="005D3A4F" w14:paraId="2C9F9AD3" w14:textId="77777777" w:rsidTr="005D4EFD">
              <w:trPr>
                <w:trHeight w:val="290"/>
              </w:trPr>
              <w:tc>
                <w:tcPr>
                  <w:tcW w:w="4140" w:type="dxa"/>
                  <w:tcBorders>
                    <w:top w:val="nil"/>
                    <w:left w:val="single" w:sz="4" w:space="0" w:color="auto"/>
                    <w:bottom w:val="single" w:sz="4" w:space="0" w:color="auto"/>
                    <w:right w:val="single" w:sz="4" w:space="0" w:color="auto"/>
                  </w:tcBorders>
                  <w:shd w:val="clear" w:color="auto" w:fill="auto"/>
                  <w:vAlign w:val="center"/>
                  <w:hideMark/>
                </w:tcPr>
                <w:p w14:paraId="32B71C73" w14:textId="77777777" w:rsidR="002272DE" w:rsidRPr="00853046" w:rsidRDefault="002272DE" w:rsidP="002272DE">
                  <w:pPr>
                    <w:rPr>
                      <w:rFonts w:ascii="Times New Roman" w:hAnsi="Times New Roman"/>
                      <w:color w:val="000000"/>
                    </w:rPr>
                  </w:pPr>
                  <w:r w:rsidRPr="00853046">
                    <w:rPr>
                      <w:rFonts w:ascii="Times New Roman" w:hAnsi="Times New Roman"/>
                      <w:color w:val="000000"/>
                    </w:rPr>
                    <w:t>Gminy wiejskie</w:t>
                  </w:r>
                </w:p>
              </w:tc>
              <w:tc>
                <w:tcPr>
                  <w:tcW w:w="3300" w:type="dxa"/>
                  <w:tcBorders>
                    <w:top w:val="nil"/>
                    <w:left w:val="nil"/>
                    <w:bottom w:val="single" w:sz="4" w:space="0" w:color="auto"/>
                    <w:right w:val="single" w:sz="4" w:space="0" w:color="auto"/>
                  </w:tcBorders>
                  <w:shd w:val="clear" w:color="auto" w:fill="auto"/>
                  <w:vAlign w:val="center"/>
                  <w:hideMark/>
                </w:tcPr>
                <w:p w14:paraId="35CB467D" w14:textId="77777777" w:rsidR="002272DE" w:rsidRPr="00853046" w:rsidRDefault="002272DE" w:rsidP="002272DE">
                  <w:pPr>
                    <w:jc w:val="right"/>
                    <w:rPr>
                      <w:rFonts w:ascii="Times New Roman" w:hAnsi="Times New Roman"/>
                      <w:color w:val="000000"/>
                    </w:rPr>
                  </w:pPr>
                  <w:r w:rsidRPr="00853046">
                    <w:rPr>
                      <w:rFonts w:ascii="Times New Roman" w:hAnsi="Times New Roman"/>
                      <w:color w:val="000000"/>
                    </w:rPr>
                    <w:t>10</w:t>
                  </w:r>
                  <w:r>
                    <w:rPr>
                      <w:rFonts w:ascii="Times New Roman" w:hAnsi="Times New Roman"/>
                      <w:color w:val="000000"/>
                    </w:rPr>
                    <w:t xml:space="preserve"> </w:t>
                  </w:r>
                  <w:r w:rsidRPr="00853046">
                    <w:rPr>
                      <w:rFonts w:ascii="Times New Roman" w:hAnsi="Times New Roman"/>
                      <w:color w:val="000000"/>
                    </w:rPr>
                    <w:t>590</w:t>
                  </w:r>
                  <w:r>
                    <w:rPr>
                      <w:rFonts w:ascii="Times New Roman" w:hAnsi="Times New Roman"/>
                      <w:color w:val="000000"/>
                    </w:rPr>
                    <w:t xml:space="preserve"> </w:t>
                  </w:r>
                  <w:r w:rsidRPr="00853046">
                    <w:rPr>
                      <w:rFonts w:ascii="Times New Roman" w:hAnsi="Times New Roman"/>
                      <w:color w:val="000000"/>
                    </w:rPr>
                    <w:t>665</w:t>
                  </w:r>
                </w:p>
              </w:tc>
              <w:tc>
                <w:tcPr>
                  <w:tcW w:w="1520" w:type="dxa"/>
                  <w:tcBorders>
                    <w:top w:val="nil"/>
                    <w:left w:val="nil"/>
                    <w:bottom w:val="single" w:sz="4" w:space="0" w:color="auto"/>
                    <w:right w:val="single" w:sz="4" w:space="0" w:color="auto"/>
                  </w:tcBorders>
                  <w:shd w:val="clear" w:color="auto" w:fill="auto"/>
                  <w:vAlign w:val="center"/>
                  <w:hideMark/>
                </w:tcPr>
                <w:p w14:paraId="525BF3AA" w14:textId="77777777" w:rsidR="002272DE" w:rsidRPr="00853046" w:rsidRDefault="002272DE" w:rsidP="002272DE">
                  <w:pPr>
                    <w:jc w:val="right"/>
                    <w:rPr>
                      <w:rFonts w:ascii="Times New Roman" w:hAnsi="Times New Roman"/>
                      <w:color w:val="000000"/>
                    </w:rPr>
                  </w:pPr>
                  <w:r w:rsidRPr="00853046">
                    <w:rPr>
                      <w:rFonts w:ascii="Times New Roman" w:hAnsi="Times New Roman"/>
                      <w:color w:val="000000"/>
                    </w:rPr>
                    <w:t>1464</w:t>
                  </w:r>
                </w:p>
              </w:tc>
            </w:tr>
          </w:tbl>
          <w:p w14:paraId="020350DF" w14:textId="77777777" w:rsidR="002272DE" w:rsidRDefault="002272DE" w:rsidP="002272DE">
            <w:pPr>
              <w:spacing w:after="120"/>
              <w:jc w:val="both"/>
              <w:rPr>
                <w:rFonts w:ascii="Times New Roman" w:hAnsi="Times New Roman"/>
                <w:color w:val="000000"/>
              </w:rPr>
            </w:pPr>
            <w:r w:rsidRPr="00853046">
              <w:rPr>
                <w:rFonts w:ascii="Times New Roman" w:hAnsi="Times New Roman"/>
                <w:color w:val="000000"/>
              </w:rPr>
              <w:lastRenderedPageBreak/>
              <w:t>Pomimo największej liczby mieszkańców miast, którzy stanowią 47,7% ogółu, gminy wiejskie oraz wiejsko-miejskie stanowią aż 2175 gmin spośród wszystkich 2477.</w:t>
            </w:r>
            <w:r>
              <w:rPr>
                <w:rFonts w:ascii="Times New Roman" w:hAnsi="Times New Roman"/>
                <w:color w:val="000000"/>
              </w:rPr>
              <w:t xml:space="preserve"> </w:t>
            </w:r>
          </w:p>
          <w:p w14:paraId="544221AC" w14:textId="720AFD2A" w:rsidR="002272DE" w:rsidRDefault="00915305" w:rsidP="002272DE">
            <w:pPr>
              <w:spacing w:after="120"/>
              <w:jc w:val="both"/>
              <w:rPr>
                <w:rFonts w:ascii="Times New Roman" w:hAnsi="Times New Roman"/>
                <w:color w:val="000000"/>
              </w:rPr>
            </w:pPr>
            <w:r w:rsidRPr="00915305">
              <w:rPr>
                <w:rFonts w:ascii="Times New Roman" w:hAnsi="Times New Roman"/>
                <w:color w:val="000000"/>
              </w:rPr>
              <w:t>Obszary wiejskie oraz wiejsko-miejskie charakteryzują się innym układem zagospodarowania przestrzennego oraz znacznie większymi niezabudowanymi obszarami aniżeli gminy miejskie, a także istotnie mniejszą gęstością zaludnienia. W przypadku tych pierwszych, przeważającą część zabudowań stanowią domy jednorodzinne, natomiast w przypadku gmin miejskich, są to budynki wielorodzinne. Z tego względu przewiduje się, że liczba spółdzielni, które powstaną po umożliwienie mieszkańcom gmin miejskich tworzenia takich kooperatyw będzie mała. Wynika to z charakteru tego rodzaju gmin, w tym mniej zintegrowanych społeczności i ograniczeń planistycznych dla wielu rodzajów źródeł, np. biogazowni, elektrowni wodnych, wymogów przewidzianych dla spółdzielni energetycznych, które, biorąc pod uwagę czas potrzebny do uchwalenia przepisów i notyfikacji, będzie już znacznie wyższy dla gmin miejskich, niż obecnie, a także funkcjonowania konkurencyjnych, atrakcyjnych rozwiązań, takich jak, np. prosument lokatorski czy prosument wirtualny (od 2 lipca 2025 r.), które zmniejszają zachętę do zakładania spółdzielni. Biorąc to pod uwagę, można przewidywać, że liczba takich spółdzielni wyniesie nie więcej niż kilkadziesiąt.</w:t>
            </w:r>
            <w:r w:rsidR="002272DE" w:rsidRPr="00853046">
              <w:rPr>
                <w:rFonts w:ascii="Times New Roman" w:hAnsi="Times New Roman"/>
                <w:color w:val="000000"/>
              </w:rPr>
              <w:t>.</w:t>
            </w:r>
            <w:r w:rsidR="002272DE">
              <w:rPr>
                <w:rFonts w:ascii="Times New Roman" w:hAnsi="Times New Roman"/>
                <w:color w:val="000000"/>
              </w:rPr>
              <w:t xml:space="preserve"> </w:t>
            </w:r>
          </w:p>
          <w:p w14:paraId="0812B934" w14:textId="4DA302AF" w:rsidR="002272DE" w:rsidRDefault="002272DE" w:rsidP="002272DE">
            <w:pPr>
              <w:spacing w:after="120"/>
              <w:jc w:val="both"/>
              <w:rPr>
                <w:rFonts w:ascii="Times New Roman" w:hAnsi="Times New Roman"/>
                <w:color w:val="000000"/>
              </w:rPr>
            </w:pPr>
            <w:r w:rsidRPr="007A0F9F">
              <w:rPr>
                <w:rFonts w:ascii="Times New Roman" w:hAnsi="Times New Roman"/>
                <w:color w:val="000000"/>
              </w:rPr>
              <w:t>Zgodnie z ustawą z dnia 17 sierpnia 2023 r. o zmianie ustawy o odnawialnych źródłach energii oraz niektórych innych ustaw (Dz.</w:t>
            </w:r>
            <w:r w:rsidR="00EA14D7">
              <w:rPr>
                <w:rFonts w:ascii="Times New Roman" w:hAnsi="Times New Roman"/>
                <w:color w:val="000000"/>
              </w:rPr>
              <w:t xml:space="preserve"> </w:t>
            </w:r>
            <w:r w:rsidRPr="007A0F9F">
              <w:rPr>
                <w:rFonts w:ascii="Times New Roman" w:hAnsi="Times New Roman"/>
                <w:color w:val="000000"/>
              </w:rPr>
              <w:t>U. poz. 1762), jeżeli do dnia 31 grudnia 2025 r. spółdzielnia energetyczna złoży wniosek o wpis do wykazu spółdzielni energetycznych KOWR, sprawność wytwarzania energii elektrycznej ma umożliwiać pokrycie w ciągu roku nie mniej niż 40% potrzeb własnych tej spółdzielni oraz jej członków. W przypadku spółdzielni, które złożą taki wniosek po 31 grudnia 2025 r., wartość ta wynosić będzie 70%. Ze względu na powyższe warunki, spółdzielnia energetyczna musi zapewnić, że moc instalacji OZE w wybranej technologii zapewni w ciągu roku odpowiednią ilość wygenerowanej energii pozwalając na spełnienie ustawowych wymagań.</w:t>
            </w:r>
          </w:p>
          <w:p w14:paraId="5157B1B8" w14:textId="77777777" w:rsidR="002272DE" w:rsidRDefault="002272DE" w:rsidP="002272DE">
            <w:pPr>
              <w:spacing w:after="120"/>
              <w:jc w:val="both"/>
              <w:rPr>
                <w:rFonts w:ascii="Times New Roman" w:hAnsi="Times New Roman"/>
                <w:color w:val="000000"/>
              </w:rPr>
            </w:pPr>
            <w:r w:rsidRPr="007A0F9F">
              <w:rPr>
                <w:rFonts w:ascii="Times New Roman" w:hAnsi="Times New Roman"/>
                <w:color w:val="000000"/>
              </w:rPr>
              <w:t xml:space="preserve">Dobór technologii wytwarzania energii ze źródeł odnawialnych </w:t>
            </w:r>
            <w:r>
              <w:rPr>
                <w:rFonts w:ascii="Times New Roman" w:hAnsi="Times New Roman"/>
                <w:color w:val="000000"/>
              </w:rPr>
              <w:t xml:space="preserve">pozwalających na spełnienie powyższego wymogu </w:t>
            </w:r>
            <w:r w:rsidRPr="007A0F9F">
              <w:rPr>
                <w:rFonts w:ascii="Times New Roman" w:hAnsi="Times New Roman"/>
                <w:color w:val="000000"/>
              </w:rPr>
              <w:t xml:space="preserve">zależny </w:t>
            </w:r>
            <w:r>
              <w:rPr>
                <w:rFonts w:ascii="Times New Roman" w:hAnsi="Times New Roman"/>
                <w:color w:val="000000"/>
              </w:rPr>
              <w:t>będzie</w:t>
            </w:r>
            <w:r w:rsidRPr="007A0F9F">
              <w:rPr>
                <w:rFonts w:ascii="Times New Roman" w:hAnsi="Times New Roman"/>
                <w:color w:val="000000"/>
              </w:rPr>
              <w:t xml:space="preserve"> m.in. od uwarunkowań lokalnych miejsca funkcjonowania danej spółdzielni energetycznej oraz powierzchni dostępnej tam dla takich instalacji</w:t>
            </w:r>
            <w:r>
              <w:rPr>
                <w:rFonts w:ascii="Times New Roman" w:hAnsi="Times New Roman"/>
                <w:color w:val="000000"/>
              </w:rPr>
              <w:t>.</w:t>
            </w:r>
          </w:p>
          <w:p w14:paraId="2C49B1AB" w14:textId="77777777" w:rsidR="002272DE" w:rsidRDefault="002272DE" w:rsidP="002272DE">
            <w:pPr>
              <w:spacing w:after="120"/>
              <w:jc w:val="both"/>
              <w:rPr>
                <w:rFonts w:ascii="Times New Roman" w:hAnsi="Times New Roman"/>
                <w:color w:val="000000"/>
              </w:rPr>
            </w:pPr>
            <w:r w:rsidRPr="007A0F9F">
              <w:rPr>
                <w:rFonts w:ascii="Times New Roman" w:hAnsi="Times New Roman"/>
                <w:color w:val="000000"/>
              </w:rPr>
              <w:t>Rozważyć można spółdzielnię energetyczną, w której roczne zużycie energii elektrycznej wszystkich spółdzielców wynosi 500 MWh. Mając na uwadze ustawowy minimalny poziom pokrycia zapotrzebowania energii, instalacje OZE w takiej spółdzielni zapewnić musiałyby kolejno 140 MWh, aby zapewnić pokrycie zapotrzebowania na poziomie 40% oraz 350 MWh dla 70%. Przyjmując, że cała energia zapewniana byłaby z instalacji fotowoltaicznych, należałoby zapewnić instalacje o mocach zainstalowanych kolejno 140 kW oraz 350 kW, przyjmując, że z 1 kWp otrzymać można 1000 kWh energii elektrycznej w skali roku. Przeciętnie moduły fotowoltaiczne zapewniają moc zainstalowaną równą 450 Wp. W związku z tym, liczba modułów potrzebnych do zapewnienia wymaganej ilości energii elektrycznej wynosić mogłaby 311 modułów, w przypadku minimalnego poziomu pokrycia zapotrzebowania w wysokości 40%, lub 778 modułów dla 70%. Rozpatrując przypadek, w którym zapotrzebowanie zapewnione by zostało przez instalację biogazową, jej moc zainstalowana wynosić musiałaby 16,9 kW lub 42,2 kW.</w:t>
            </w:r>
          </w:p>
          <w:p w14:paraId="2231AE16" w14:textId="77777777" w:rsidR="002272DE" w:rsidRDefault="002272DE" w:rsidP="002272DE">
            <w:pPr>
              <w:spacing w:after="120"/>
              <w:jc w:val="both"/>
              <w:rPr>
                <w:rFonts w:ascii="Times New Roman" w:hAnsi="Times New Roman"/>
                <w:color w:val="000000"/>
              </w:rPr>
            </w:pPr>
            <w:r w:rsidRPr="007A0F9F">
              <w:rPr>
                <w:rFonts w:ascii="Times New Roman" w:hAnsi="Times New Roman"/>
                <w:color w:val="000000"/>
              </w:rPr>
              <w:t>W kontekście instalacji biogazowych, ważnym jest podkreślenie, że ich stabilna praca możliwa jest przy zapewnieniu nieprzerwanych dostaw substratu, z którego generowana będzie energia elektryczna, a zatem istnieją pewne ograniczenia co do możliwości i zasadności ekonomicznej budowy takich instalacji w lokalizacjach, w których dostęp do takich surowców będzie ograniczony.</w:t>
            </w:r>
            <w:r>
              <w:rPr>
                <w:rFonts w:ascii="Times New Roman" w:hAnsi="Times New Roman"/>
                <w:color w:val="000000"/>
              </w:rPr>
              <w:t xml:space="preserve"> </w:t>
            </w:r>
          </w:p>
          <w:p w14:paraId="66F047F9" w14:textId="099DEB3B" w:rsidR="002272DE" w:rsidRDefault="002272DE" w:rsidP="002272DE">
            <w:pPr>
              <w:spacing w:after="120"/>
              <w:jc w:val="both"/>
              <w:rPr>
                <w:rFonts w:ascii="Times New Roman" w:hAnsi="Times New Roman"/>
                <w:color w:val="000000"/>
              </w:rPr>
            </w:pPr>
            <w:r>
              <w:rPr>
                <w:rFonts w:ascii="Times New Roman" w:hAnsi="Times New Roman"/>
                <w:color w:val="000000"/>
              </w:rPr>
              <w:t>Spółdzielnie energetyczne funkcjonujące na obszarach miejskich będą miały największe szanse na sukcesywny rozwój w</w:t>
            </w:r>
            <w:r w:rsidR="00944BCE">
              <w:rPr>
                <w:rFonts w:ascii="Times New Roman" w:hAnsi="Times New Roman"/>
                <w:color w:val="000000"/>
              </w:rPr>
              <w:t> </w:t>
            </w:r>
            <w:r>
              <w:rPr>
                <w:rFonts w:ascii="Times New Roman" w:hAnsi="Times New Roman"/>
                <w:color w:val="000000"/>
              </w:rPr>
              <w:t xml:space="preserve">szczególności w mniejszych miastach, w których warunki i możliwości do założenia spółdzielni energetycznych będą najbardziej korzystne. W konsekwencji, idea spółdzielni energetycznych polegająca na </w:t>
            </w:r>
            <w:r w:rsidRPr="00C822E3">
              <w:rPr>
                <w:rFonts w:ascii="Times New Roman" w:hAnsi="Times New Roman"/>
                <w:color w:val="000000"/>
              </w:rPr>
              <w:t>zapewnien</w:t>
            </w:r>
            <w:r>
              <w:rPr>
                <w:rFonts w:ascii="Times New Roman" w:hAnsi="Times New Roman"/>
                <w:color w:val="000000"/>
              </w:rPr>
              <w:t>iu</w:t>
            </w:r>
            <w:r w:rsidRPr="00C822E3">
              <w:rPr>
                <w:rFonts w:ascii="Times New Roman" w:hAnsi="Times New Roman"/>
                <w:color w:val="000000"/>
              </w:rPr>
              <w:t xml:space="preserve"> korzyści jej członkom, w tym energii tańszej niż na rynku poprzez wykorzystanie lokalnie dostępnych zasobów energetycznych</w:t>
            </w:r>
            <w:r>
              <w:rPr>
                <w:rFonts w:ascii="Times New Roman" w:hAnsi="Times New Roman"/>
                <w:color w:val="000000"/>
              </w:rPr>
              <w:t xml:space="preserve"> oraz </w:t>
            </w:r>
            <w:r w:rsidRPr="00C822E3">
              <w:rPr>
                <w:rFonts w:ascii="Times New Roman" w:hAnsi="Times New Roman"/>
                <w:color w:val="000000"/>
              </w:rPr>
              <w:t xml:space="preserve"> </w:t>
            </w:r>
            <w:r>
              <w:rPr>
                <w:rFonts w:ascii="Times New Roman" w:hAnsi="Times New Roman"/>
                <w:color w:val="000000"/>
              </w:rPr>
              <w:t>zapewnienie</w:t>
            </w:r>
            <w:r w:rsidRPr="00C822E3">
              <w:rPr>
                <w:rFonts w:ascii="Times New Roman" w:hAnsi="Times New Roman"/>
                <w:color w:val="000000"/>
              </w:rPr>
              <w:t xml:space="preserve"> rozw</w:t>
            </w:r>
            <w:r>
              <w:rPr>
                <w:rFonts w:ascii="Times New Roman" w:hAnsi="Times New Roman"/>
                <w:color w:val="000000"/>
              </w:rPr>
              <w:t>oju</w:t>
            </w:r>
            <w:r w:rsidRPr="00C822E3">
              <w:rPr>
                <w:rFonts w:ascii="Times New Roman" w:hAnsi="Times New Roman"/>
                <w:color w:val="000000"/>
              </w:rPr>
              <w:t xml:space="preserve"> społeczno - gospodarczy obszarów</w:t>
            </w:r>
            <w:r>
              <w:rPr>
                <w:rFonts w:ascii="Times New Roman" w:hAnsi="Times New Roman"/>
                <w:color w:val="000000"/>
              </w:rPr>
              <w:t xml:space="preserve"> zagrożonych ubóstwem energetycznych, zostanie nadal zachowana.</w:t>
            </w:r>
          </w:p>
          <w:p w14:paraId="2B060E53" w14:textId="0A55F467" w:rsidR="002272DE" w:rsidRDefault="002272DE" w:rsidP="002272DE">
            <w:pPr>
              <w:spacing w:after="120"/>
              <w:jc w:val="both"/>
              <w:rPr>
                <w:rFonts w:ascii="Times New Roman" w:hAnsi="Times New Roman"/>
                <w:color w:val="000000"/>
              </w:rPr>
            </w:pPr>
            <w:r>
              <w:rPr>
                <w:rFonts w:ascii="Times New Roman" w:hAnsi="Times New Roman"/>
                <w:color w:val="000000"/>
              </w:rPr>
              <w:t xml:space="preserve">Przepisy przewidują dla spółdzielni system wsparcia opierający się na </w:t>
            </w:r>
            <w:r w:rsidRPr="00586CCF">
              <w:rPr>
                <w:rFonts w:ascii="Times New Roman" w:hAnsi="Times New Roman"/>
                <w:color w:val="000000"/>
              </w:rPr>
              <w:t>rozliczeni</w:t>
            </w:r>
            <w:r>
              <w:rPr>
                <w:rFonts w:ascii="Times New Roman" w:hAnsi="Times New Roman"/>
                <w:color w:val="000000"/>
              </w:rPr>
              <w:t>u</w:t>
            </w:r>
            <w:r w:rsidRPr="00586CCF">
              <w:rPr>
                <w:rFonts w:ascii="Times New Roman" w:hAnsi="Times New Roman"/>
                <w:color w:val="000000"/>
              </w:rPr>
              <w:t xml:space="preserve"> ilości energii elektrycznej wprowadzonej do sieci dystrybucyjnej elektroenergetycznej wobec ilości energii elektrycznej pobranej z tej sieci w celu jej zużycia na potrzeby własne przez spółdzielnię energetyczną i jej członków w stosunku ilościowym 1 do 0,</w:t>
            </w:r>
            <w:r>
              <w:rPr>
                <w:rFonts w:ascii="Times New Roman" w:hAnsi="Times New Roman"/>
                <w:color w:val="000000"/>
              </w:rPr>
              <w:t>6. Dodatkowo, w</w:t>
            </w:r>
            <w:r w:rsidR="00944BCE">
              <w:rPr>
                <w:rFonts w:ascii="Times New Roman" w:hAnsi="Times New Roman"/>
                <w:color w:val="000000"/>
              </w:rPr>
              <w:t> </w:t>
            </w:r>
            <w:r w:rsidRPr="006327CF">
              <w:rPr>
                <w:rFonts w:ascii="Times New Roman" w:hAnsi="Times New Roman"/>
                <w:color w:val="000000"/>
              </w:rPr>
              <w:t xml:space="preserve">odniesieniu do ilości energii elektrycznej wytworzonej we wszystkich </w:t>
            </w:r>
            <w:r>
              <w:rPr>
                <w:rFonts w:ascii="Times New Roman" w:hAnsi="Times New Roman"/>
                <w:color w:val="000000"/>
              </w:rPr>
              <w:t xml:space="preserve"> </w:t>
            </w:r>
            <w:r w:rsidRPr="006327CF">
              <w:rPr>
                <w:rFonts w:ascii="Times New Roman" w:hAnsi="Times New Roman"/>
                <w:color w:val="000000"/>
              </w:rPr>
              <w:t>instalacjach odnawialnych źródeł energii spółdzielni energetycznej</w:t>
            </w:r>
            <w:r>
              <w:rPr>
                <w:rFonts w:ascii="Times New Roman" w:hAnsi="Times New Roman"/>
                <w:color w:val="000000"/>
              </w:rPr>
              <w:t xml:space="preserve"> </w:t>
            </w:r>
            <w:r w:rsidRPr="006327CF">
              <w:rPr>
                <w:rFonts w:ascii="Times New Roman" w:hAnsi="Times New Roman"/>
                <w:color w:val="000000"/>
              </w:rPr>
              <w:t>nie nalicza się</w:t>
            </w:r>
            <w:r>
              <w:rPr>
                <w:rFonts w:ascii="Times New Roman" w:hAnsi="Times New Roman"/>
                <w:color w:val="000000"/>
              </w:rPr>
              <w:t xml:space="preserve"> opłat OZE, kogeneracyjnej, mocowej i dystrybucyjnej, nie pobiera się również podatku akcyzowego, </w:t>
            </w:r>
            <w:r w:rsidRPr="006327CF">
              <w:rPr>
                <w:rFonts w:ascii="Times New Roman" w:hAnsi="Times New Roman"/>
                <w:color w:val="000000"/>
              </w:rPr>
              <w:t>pod warunkiem że łączna moc zainstalowana elektryczna wszystkich instalacji odnawialnego źródła energii spółdzielni energetycznej nie przekracza 1 MW.</w:t>
            </w:r>
            <w:r>
              <w:rPr>
                <w:rFonts w:ascii="Times New Roman" w:hAnsi="Times New Roman"/>
                <w:color w:val="000000"/>
              </w:rPr>
              <w:t xml:space="preserve"> </w:t>
            </w:r>
          </w:p>
          <w:p w14:paraId="2C1AD4E6" w14:textId="41532282" w:rsidR="002272DE" w:rsidRPr="003453D3" w:rsidRDefault="002272DE" w:rsidP="00DB084E">
            <w:pPr>
              <w:spacing w:after="120"/>
              <w:jc w:val="both"/>
              <w:rPr>
                <w:rFonts w:ascii="Times New Roman" w:hAnsi="Times New Roman"/>
                <w:color w:val="000000"/>
              </w:rPr>
            </w:pPr>
            <w:r>
              <w:rPr>
                <w:rFonts w:ascii="Times New Roman" w:hAnsi="Times New Roman"/>
                <w:color w:val="000000"/>
              </w:rPr>
              <w:lastRenderedPageBreak/>
              <w:t>Rozważając spółdzielnię energetyczną funkcjonującą w oparciu o instalację fotowoltaiczną o mocy zainstalowanej 10 kWp, której członkami są gospodarstwa domowe w taryfie G11, roczna wartość oszczędności wynikających z</w:t>
            </w:r>
            <w:r w:rsidR="00944BCE">
              <w:rPr>
                <w:rFonts w:ascii="Times New Roman" w:hAnsi="Times New Roman"/>
                <w:color w:val="000000"/>
              </w:rPr>
              <w:t> </w:t>
            </w:r>
            <w:r>
              <w:rPr>
                <w:rFonts w:ascii="Times New Roman" w:hAnsi="Times New Roman"/>
                <w:color w:val="000000"/>
              </w:rPr>
              <w:t xml:space="preserve">zastosowanych obniżek wynieść może </w:t>
            </w:r>
            <w:r w:rsidRPr="002E2E1E">
              <w:rPr>
                <w:rFonts w:ascii="Times New Roman" w:hAnsi="Times New Roman"/>
                <w:color w:val="000000"/>
              </w:rPr>
              <w:t>1 202,97 zł</w:t>
            </w:r>
            <w:r>
              <w:rPr>
                <w:rFonts w:ascii="Times New Roman" w:hAnsi="Times New Roman"/>
                <w:color w:val="000000"/>
              </w:rPr>
              <w:t xml:space="preserve">, uwzględniając przeciętny profil autokonsumpcji gospodarstwa domowego. W przypadku większej spółdzielni, w której ilość energii wygenerowanej i w całości wprowadzonej do sieci, a następnie zużytej, będzie miała wartość 250 MWh w skali roku, oszczędności takie wynieść mogą </w:t>
            </w:r>
            <w:r w:rsidRPr="001D01D2">
              <w:rPr>
                <w:rFonts w:ascii="Times New Roman" w:hAnsi="Times New Roman"/>
                <w:color w:val="000000"/>
              </w:rPr>
              <w:t>73 941,55 zł</w:t>
            </w:r>
            <w:r>
              <w:rPr>
                <w:rFonts w:ascii="Times New Roman" w:hAnsi="Times New Roman"/>
                <w:color w:val="000000"/>
              </w:rPr>
              <w:t xml:space="preserve">. Dla 40 takich powstałych spółdzielni całkowita wartość wyniesie </w:t>
            </w:r>
            <w:r w:rsidRPr="001D01D2">
              <w:rPr>
                <w:rFonts w:ascii="Times New Roman" w:hAnsi="Times New Roman"/>
                <w:color w:val="000000"/>
              </w:rPr>
              <w:t>2 957 661,94 zł</w:t>
            </w:r>
            <w:r>
              <w:rPr>
                <w:rFonts w:ascii="Times New Roman" w:hAnsi="Times New Roman"/>
                <w:color w:val="000000"/>
              </w:rPr>
              <w:t xml:space="preserve">. </w:t>
            </w:r>
          </w:p>
        </w:tc>
      </w:tr>
      <w:tr w:rsidR="006A701A" w:rsidRPr="00A87B3A" w14:paraId="0BC804EE" w14:textId="77777777" w:rsidTr="00676C8D">
        <w:trPr>
          <w:gridAfter w:val="1"/>
          <w:wAfter w:w="10" w:type="dxa"/>
          <w:trHeight w:val="307"/>
        </w:trPr>
        <w:tc>
          <w:tcPr>
            <w:tcW w:w="10937" w:type="dxa"/>
            <w:gridSpan w:val="27"/>
            <w:shd w:val="clear" w:color="auto" w:fill="99CCFF"/>
            <w:vAlign w:val="center"/>
          </w:tcPr>
          <w:p w14:paraId="1D70CF28" w14:textId="77777777" w:rsidR="006A701A" w:rsidRPr="00A87B3A" w:rsidRDefault="009E3C4B" w:rsidP="009629CE">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spacing w:val="-2"/>
              </w:rPr>
              <w:lastRenderedPageBreak/>
              <w:t>Jak problem został rozwiązany w innych krajach, w szczególności krajach członkowskich OECD/UE</w:t>
            </w:r>
            <w:r w:rsidR="006A701A" w:rsidRPr="00A87B3A">
              <w:rPr>
                <w:rFonts w:ascii="Times New Roman" w:hAnsi="Times New Roman"/>
                <w:b/>
                <w:color w:val="000000"/>
              </w:rPr>
              <w:t>?</w:t>
            </w:r>
            <w:r w:rsidR="006A701A" w:rsidRPr="00A87B3A">
              <w:rPr>
                <w:rFonts w:ascii="Times New Roman" w:hAnsi="Times New Roman"/>
                <w:i/>
                <w:color w:val="000000"/>
              </w:rPr>
              <w:t xml:space="preserve"> </w:t>
            </w:r>
          </w:p>
        </w:tc>
      </w:tr>
      <w:tr w:rsidR="006A701A" w:rsidRPr="00A87B3A" w14:paraId="6643E08E" w14:textId="77777777" w:rsidTr="00676C8D">
        <w:trPr>
          <w:gridAfter w:val="1"/>
          <w:wAfter w:w="10" w:type="dxa"/>
          <w:trHeight w:val="142"/>
        </w:trPr>
        <w:tc>
          <w:tcPr>
            <w:tcW w:w="10937" w:type="dxa"/>
            <w:gridSpan w:val="27"/>
            <w:shd w:val="clear" w:color="auto" w:fill="auto"/>
          </w:tcPr>
          <w:p w14:paraId="7D410C58" w14:textId="77A6A705" w:rsidR="008D7AE7" w:rsidRPr="008D7AE7" w:rsidRDefault="008D7AE7" w:rsidP="008D7AE7">
            <w:pPr>
              <w:pStyle w:val="Akapitzlist"/>
              <w:numPr>
                <w:ilvl w:val="0"/>
                <w:numId w:val="98"/>
              </w:numPr>
              <w:spacing w:before="240" w:after="120"/>
              <w:contextualSpacing w:val="0"/>
              <w:jc w:val="both"/>
              <w:rPr>
                <w:rFonts w:ascii="Times New Roman" w:hAnsi="Times New Roman"/>
                <w:color w:val="000000"/>
                <w:spacing w:val="-2"/>
              </w:rPr>
            </w:pPr>
            <w:r>
              <w:rPr>
                <w:rFonts w:ascii="Times New Roman" w:hAnsi="Times New Roman"/>
                <w:color w:val="000000"/>
                <w:spacing w:val="-2"/>
              </w:rPr>
              <w:t>System wsparcia dla morskich farm wiatrowych</w:t>
            </w:r>
          </w:p>
          <w:p w14:paraId="32AC96ED" w14:textId="3FC17F65" w:rsidR="00AA19CB" w:rsidRPr="008D7AE7" w:rsidRDefault="00AA19CB" w:rsidP="008D7AE7">
            <w:pPr>
              <w:spacing w:after="120"/>
              <w:jc w:val="both"/>
              <w:rPr>
                <w:rFonts w:ascii="Times New Roman" w:hAnsi="Times New Roman"/>
                <w:color w:val="000000"/>
                <w:spacing w:val="-2"/>
              </w:rPr>
            </w:pPr>
            <w:r w:rsidRPr="008D7AE7">
              <w:rPr>
                <w:rFonts w:ascii="Times New Roman" w:hAnsi="Times New Roman"/>
                <w:color w:val="000000"/>
                <w:spacing w:val="-2"/>
              </w:rPr>
              <w:t xml:space="preserve">Konstrukcja systemów wsparcia dla energii z odnawialnych źródeł energii, w szczególności morskiej energetyki wiatrowej, należy do właściwości poszczególnych państw członkowskich UE. Pierwsze projekty we wschodzących rynkach offshore wind ze względu na rozproszony łańcuch dostaw, ryzyko rynkowe oraz kwestie logistyczne generują istotnie wyższe koszty w porównaniu z rynkami rozwiniętymi, przez co dla uzasadnienia opłacalności wymagają systemu wsparcia (np. kontraktu różnicowego – </w:t>
            </w:r>
            <w:r w:rsidRPr="008D7AE7">
              <w:rPr>
                <w:rFonts w:ascii="Times New Roman" w:hAnsi="Times New Roman"/>
                <w:i/>
                <w:iCs/>
                <w:color w:val="000000"/>
                <w:spacing w:val="-2"/>
              </w:rPr>
              <w:t>ang. Contract for Difference, CfD</w:t>
            </w:r>
            <w:r w:rsidRPr="008D7AE7">
              <w:rPr>
                <w:rFonts w:ascii="Times New Roman" w:hAnsi="Times New Roman"/>
                <w:color w:val="000000"/>
                <w:spacing w:val="-2"/>
              </w:rPr>
              <w:t>).</w:t>
            </w:r>
          </w:p>
          <w:p w14:paraId="2226DF3C" w14:textId="77777777" w:rsidR="00AA19CB" w:rsidRDefault="00AA19CB" w:rsidP="008D7AE7">
            <w:pPr>
              <w:spacing w:after="120"/>
              <w:jc w:val="both"/>
              <w:rPr>
                <w:rFonts w:ascii="Times New Roman" w:hAnsi="Times New Roman"/>
                <w:color w:val="000000"/>
                <w:spacing w:val="-2"/>
              </w:rPr>
            </w:pPr>
            <w:r>
              <w:rPr>
                <w:rFonts w:ascii="Times New Roman" w:hAnsi="Times New Roman"/>
                <w:color w:val="000000"/>
                <w:spacing w:val="-2"/>
              </w:rPr>
              <w:t>K</w:t>
            </w:r>
            <w:r w:rsidRPr="00140F4C">
              <w:rPr>
                <w:rFonts w:ascii="Times New Roman" w:hAnsi="Times New Roman"/>
                <w:color w:val="000000"/>
                <w:spacing w:val="-2"/>
              </w:rPr>
              <w:t>onstrukcja</w:t>
            </w:r>
            <w:r>
              <w:rPr>
                <w:rFonts w:ascii="Times New Roman" w:hAnsi="Times New Roman"/>
                <w:color w:val="000000"/>
                <w:spacing w:val="-2"/>
              </w:rPr>
              <w:t xml:space="preserve"> kontraktów różnicowych</w:t>
            </w:r>
            <w:r w:rsidRPr="00140F4C">
              <w:rPr>
                <w:rFonts w:ascii="Times New Roman" w:hAnsi="Times New Roman"/>
                <w:color w:val="000000"/>
                <w:spacing w:val="-2"/>
              </w:rPr>
              <w:t xml:space="preserve"> w innych państwach </w:t>
            </w:r>
            <w:r>
              <w:rPr>
                <w:rFonts w:ascii="Times New Roman" w:hAnsi="Times New Roman"/>
                <w:color w:val="000000"/>
                <w:spacing w:val="-2"/>
              </w:rPr>
              <w:t>zakłada</w:t>
            </w:r>
            <w:r w:rsidRPr="00140F4C">
              <w:rPr>
                <w:rFonts w:ascii="Times New Roman" w:hAnsi="Times New Roman"/>
                <w:color w:val="000000"/>
                <w:spacing w:val="-2"/>
              </w:rPr>
              <w:t xml:space="preserve"> określenie </w:t>
            </w:r>
            <w:r>
              <w:rPr>
                <w:rFonts w:ascii="Times New Roman" w:hAnsi="Times New Roman"/>
                <w:color w:val="000000"/>
                <w:spacing w:val="-2"/>
              </w:rPr>
              <w:t xml:space="preserve">zarówno </w:t>
            </w:r>
            <w:r w:rsidRPr="00140F4C">
              <w:rPr>
                <w:rFonts w:ascii="Times New Roman" w:hAnsi="Times New Roman"/>
                <w:color w:val="000000"/>
                <w:spacing w:val="-2"/>
              </w:rPr>
              <w:t>maksymalnej ceny aukcyjnej</w:t>
            </w:r>
            <w:r>
              <w:rPr>
                <w:rFonts w:ascii="Times New Roman" w:hAnsi="Times New Roman"/>
                <w:color w:val="000000"/>
                <w:spacing w:val="-2"/>
              </w:rPr>
              <w:t xml:space="preserve"> jak i </w:t>
            </w:r>
            <w:r w:rsidRPr="00140F4C">
              <w:rPr>
                <w:rFonts w:ascii="Times New Roman" w:hAnsi="Times New Roman"/>
                <w:color w:val="000000"/>
                <w:spacing w:val="-2"/>
              </w:rPr>
              <w:t>minimaln</w:t>
            </w:r>
            <w:r>
              <w:rPr>
                <w:rFonts w:ascii="Times New Roman" w:hAnsi="Times New Roman"/>
                <w:color w:val="000000"/>
                <w:spacing w:val="-2"/>
              </w:rPr>
              <w:t>ej</w:t>
            </w:r>
            <w:r w:rsidRPr="00140F4C">
              <w:rPr>
                <w:rFonts w:ascii="Times New Roman" w:hAnsi="Times New Roman"/>
                <w:color w:val="000000"/>
                <w:spacing w:val="-2"/>
              </w:rPr>
              <w:t>).</w:t>
            </w:r>
            <w:r>
              <w:rPr>
                <w:rFonts w:ascii="Times New Roman" w:hAnsi="Times New Roman"/>
                <w:color w:val="000000"/>
                <w:spacing w:val="-2"/>
              </w:rPr>
              <w:t xml:space="preserve"> Cena jest ustalana na podstawie średniego kosztu wytwarzania energii elektrycznej (LCOE) danej technologii. Ostatecznie system wsparcia w Niemczech, Holandii czy Wielkiej Brytanii jest oparty na systemie aukcyjnym, w którym każdy inwestor składa ofertę, a wygrywa inwestor o najniższym koszcie wytwarzania energii dla danego wolumenu mocy.</w:t>
            </w:r>
          </w:p>
          <w:p w14:paraId="484ED22B" w14:textId="77777777" w:rsidR="00AA19CB" w:rsidRDefault="00AA19CB" w:rsidP="008D7AE7">
            <w:pPr>
              <w:spacing w:after="120"/>
              <w:jc w:val="center"/>
              <w:rPr>
                <w:rFonts w:ascii="Times New Roman" w:hAnsi="Times New Roman"/>
                <w:color w:val="000000"/>
                <w:spacing w:val="-2"/>
              </w:rPr>
            </w:pPr>
            <w:r w:rsidRPr="008404E6">
              <w:rPr>
                <w:rFonts w:ascii="Times New Roman" w:hAnsi="Times New Roman"/>
                <w:noProof/>
                <w:color w:val="000000"/>
                <w:spacing w:val="-2"/>
              </w:rPr>
              <w:drawing>
                <wp:inline distT="0" distB="0" distL="0" distR="0" wp14:anchorId="527E7B97" wp14:editId="59581F0E">
                  <wp:extent cx="5448300" cy="2931545"/>
                  <wp:effectExtent l="0" t="0" r="0" b="2540"/>
                  <wp:docPr id="20469623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62388" name=""/>
                          <pic:cNvPicPr/>
                        </pic:nvPicPr>
                        <pic:blipFill>
                          <a:blip r:embed="rId10"/>
                          <a:stretch>
                            <a:fillRect/>
                          </a:stretch>
                        </pic:blipFill>
                        <pic:spPr>
                          <a:xfrm>
                            <a:off x="0" y="0"/>
                            <a:ext cx="5454744" cy="2935012"/>
                          </a:xfrm>
                          <a:prstGeom prst="rect">
                            <a:avLst/>
                          </a:prstGeom>
                        </pic:spPr>
                      </pic:pic>
                    </a:graphicData>
                  </a:graphic>
                </wp:inline>
              </w:drawing>
            </w:r>
          </w:p>
          <w:p w14:paraId="12E19F81" w14:textId="77777777" w:rsidR="00AA19CB" w:rsidRPr="008F1F34" w:rsidRDefault="00AA19CB" w:rsidP="008D7AE7">
            <w:pPr>
              <w:spacing w:after="120"/>
              <w:jc w:val="both"/>
              <w:rPr>
                <w:rFonts w:ascii="Times New Roman" w:hAnsi="Times New Roman"/>
                <w:color w:val="000000"/>
                <w:spacing w:val="-2"/>
                <w:sz w:val="20"/>
                <w:szCs w:val="20"/>
              </w:rPr>
            </w:pPr>
            <w:r w:rsidRPr="008F1F34">
              <w:rPr>
                <w:rFonts w:ascii="Times New Roman" w:hAnsi="Times New Roman"/>
                <w:color w:val="000000"/>
                <w:spacing w:val="-2"/>
                <w:sz w:val="20"/>
                <w:szCs w:val="20"/>
              </w:rPr>
              <w:t>Wykres 1. Wskaźnik uśrednionych kosztów instalacji, współczynnik mocy, LCOE dla morskich farm wiatrowych w latach 2010-2022 ($/kWh) (źródło: IRENA, „Renewable Power Generation Costs in 2022”)</w:t>
            </w:r>
          </w:p>
          <w:p w14:paraId="74B0D035" w14:textId="77777777" w:rsidR="00AA19CB" w:rsidRDefault="00AA19CB" w:rsidP="008D7AE7">
            <w:pPr>
              <w:spacing w:after="120"/>
              <w:jc w:val="both"/>
              <w:rPr>
                <w:rFonts w:ascii="Times New Roman" w:hAnsi="Times New Roman"/>
                <w:color w:val="000000"/>
                <w:spacing w:val="-2"/>
              </w:rPr>
            </w:pPr>
            <w:r>
              <w:rPr>
                <w:rFonts w:ascii="Times New Roman" w:hAnsi="Times New Roman"/>
                <w:color w:val="000000"/>
                <w:spacing w:val="-2"/>
              </w:rPr>
              <w:t xml:space="preserve">W 2022 r. wolumen mocy z </w:t>
            </w:r>
            <w:r w:rsidRPr="00231D66">
              <w:rPr>
                <w:rFonts w:ascii="Times New Roman" w:hAnsi="Times New Roman"/>
                <w:color w:val="000000"/>
                <w:spacing w:val="-2"/>
              </w:rPr>
              <w:t xml:space="preserve">morskiej energetyki wiatrowej </w:t>
            </w:r>
            <w:r>
              <w:rPr>
                <w:rFonts w:ascii="Times New Roman" w:hAnsi="Times New Roman"/>
                <w:color w:val="000000"/>
                <w:spacing w:val="-2"/>
              </w:rPr>
              <w:t>wzrósł o</w:t>
            </w:r>
            <w:r w:rsidRPr="00231D66">
              <w:rPr>
                <w:rFonts w:ascii="Times New Roman" w:hAnsi="Times New Roman"/>
                <w:color w:val="000000"/>
                <w:spacing w:val="-2"/>
              </w:rPr>
              <w:t xml:space="preserve"> 8,9 GW</w:t>
            </w:r>
            <w:r>
              <w:rPr>
                <w:rFonts w:ascii="Times New Roman" w:hAnsi="Times New Roman"/>
                <w:color w:val="000000"/>
                <w:spacing w:val="-2"/>
              </w:rPr>
              <w:t>.</w:t>
            </w:r>
            <w:r w:rsidRPr="00231D66">
              <w:rPr>
                <w:rFonts w:ascii="Times New Roman" w:hAnsi="Times New Roman"/>
                <w:color w:val="000000"/>
                <w:spacing w:val="-2"/>
              </w:rPr>
              <w:t xml:space="preserve"> Byłby to nowy rekord, gdyby nie ekspansja obserwowana w 2021 r., kiedy to </w:t>
            </w:r>
            <w:r>
              <w:rPr>
                <w:rFonts w:ascii="Times New Roman" w:hAnsi="Times New Roman"/>
                <w:color w:val="000000"/>
                <w:spacing w:val="-2"/>
              </w:rPr>
              <w:t>na świecie zainstalowano</w:t>
            </w:r>
            <w:r w:rsidRPr="00231D66">
              <w:rPr>
                <w:rFonts w:ascii="Times New Roman" w:hAnsi="Times New Roman"/>
                <w:color w:val="000000"/>
                <w:spacing w:val="-2"/>
              </w:rPr>
              <w:t xml:space="preserve"> </w:t>
            </w:r>
            <w:r>
              <w:rPr>
                <w:rFonts w:ascii="Times New Roman" w:hAnsi="Times New Roman"/>
                <w:color w:val="000000"/>
                <w:spacing w:val="-2"/>
              </w:rPr>
              <w:t xml:space="preserve">w sumie </w:t>
            </w:r>
            <w:r w:rsidRPr="00231D66">
              <w:rPr>
                <w:rFonts w:ascii="Times New Roman" w:hAnsi="Times New Roman"/>
                <w:color w:val="000000"/>
                <w:spacing w:val="-2"/>
              </w:rPr>
              <w:t>21 GW nowych mocy, a na wynik miał wpływ dynamicznie rozwijający się rynek w Chinach.</w:t>
            </w:r>
            <w:r>
              <w:rPr>
                <w:rFonts w:ascii="Times New Roman" w:hAnsi="Times New Roman"/>
                <w:color w:val="000000"/>
                <w:spacing w:val="-2"/>
              </w:rPr>
              <w:t xml:space="preserve"> </w:t>
            </w:r>
            <w:r w:rsidRPr="00386E58">
              <w:rPr>
                <w:rFonts w:ascii="Times New Roman" w:hAnsi="Times New Roman"/>
                <w:color w:val="000000"/>
                <w:spacing w:val="-2"/>
              </w:rPr>
              <w:t xml:space="preserve">Międzynarodowa Agencja Energii Odnawialnej </w:t>
            </w:r>
            <w:r>
              <w:rPr>
                <w:rFonts w:ascii="Times New Roman" w:hAnsi="Times New Roman"/>
                <w:color w:val="000000"/>
                <w:spacing w:val="-2"/>
              </w:rPr>
              <w:t>(</w:t>
            </w:r>
            <w:r w:rsidRPr="00231D66">
              <w:rPr>
                <w:rFonts w:ascii="Times New Roman" w:hAnsi="Times New Roman"/>
                <w:color w:val="000000"/>
                <w:spacing w:val="-2"/>
              </w:rPr>
              <w:t>IRENA</w:t>
            </w:r>
            <w:r>
              <w:rPr>
                <w:rFonts w:ascii="Times New Roman" w:hAnsi="Times New Roman"/>
                <w:color w:val="000000"/>
                <w:spacing w:val="-2"/>
              </w:rPr>
              <w:t>)</w:t>
            </w:r>
            <w:r w:rsidRPr="00231D66">
              <w:rPr>
                <w:rFonts w:ascii="Times New Roman" w:hAnsi="Times New Roman"/>
                <w:color w:val="000000"/>
                <w:spacing w:val="-2"/>
              </w:rPr>
              <w:t xml:space="preserve"> </w:t>
            </w:r>
            <w:r>
              <w:rPr>
                <w:rFonts w:ascii="Times New Roman" w:hAnsi="Times New Roman"/>
                <w:color w:val="000000"/>
                <w:spacing w:val="-2"/>
              </w:rPr>
              <w:t xml:space="preserve">w swoim raporcie </w:t>
            </w:r>
            <w:r w:rsidRPr="00231D66">
              <w:rPr>
                <w:rFonts w:ascii="Times New Roman" w:hAnsi="Times New Roman"/>
                <w:color w:val="000000"/>
                <w:spacing w:val="-2"/>
              </w:rPr>
              <w:t xml:space="preserve">wskazuje, że spadek </w:t>
            </w:r>
            <w:r>
              <w:rPr>
                <w:rFonts w:ascii="Times New Roman" w:hAnsi="Times New Roman"/>
                <w:color w:val="000000"/>
                <w:spacing w:val="-2"/>
              </w:rPr>
              <w:t xml:space="preserve">w 2022 r. </w:t>
            </w:r>
            <w:r w:rsidRPr="00231D66">
              <w:rPr>
                <w:rFonts w:ascii="Times New Roman" w:hAnsi="Times New Roman"/>
                <w:color w:val="000000"/>
                <w:spacing w:val="-2"/>
              </w:rPr>
              <w:t>udziału Chin w przyrostach nowych mocy i uruchomienie projektów na nowych rynkach spowodowały, że LCOE dla nowych projektów wzrósł o 2% w porównaniu z 2021 r., z 0,079 $/kWh do 0,081 $/kWh.</w:t>
            </w:r>
          </w:p>
          <w:p w14:paraId="3E3071DF" w14:textId="77777777" w:rsidR="00AA19CB" w:rsidRPr="001B2332" w:rsidRDefault="00AA19CB" w:rsidP="008D7AE7">
            <w:pPr>
              <w:spacing w:after="120"/>
              <w:jc w:val="both"/>
              <w:rPr>
                <w:rFonts w:ascii="Times New Roman" w:hAnsi="Times New Roman"/>
                <w:color w:val="000000"/>
                <w:spacing w:val="-2"/>
              </w:rPr>
            </w:pPr>
            <w:r w:rsidRPr="00DF37F9">
              <w:rPr>
                <w:rFonts w:ascii="Times New Roman" w:hAnsi="Times New Roman"/>
                <w:color w:val="000000"/>
                <w:spacing w:val="-2"/>
                <w:lang w:val="en-US"/>
              </w:rPr>
              <w:t xml:space="preserve">Analizy przygotowane przez National Renewable Energy Laboratory (NREL) - „2022 Cost of Wind Energy Review” oraz brytyjski Department for Business, Energy and Industrial Strategy (BEIS) - „Electricity generation cost 2023” wskazują na tendencję spadkową LCOE z morskich farm wiatrowych. </w:t>
            </w:r>
            <w:r w:rsidRPr="001B2332">
              <w:rPr>
                <w:rFonts w:ascii="Times New Roman" w:hAnsi="Times New Roman"/>
                <w:color w:val="000000"/>
                <w:spacing w:val="-2"/>
              </w:rPr>
              <w:t>Na ten spadek wpłynęły takie czynniki jak: zwiększenie produktywności turbin, minimalizacja zakłóceń produktywności (ograniczenie „wake-effect”), optymalizacja procesów obsługi i utrzymania, zmniejszenie ryzyka finansowania (dojrzałość branży i projektów), coraz większa podaż statków oraz portów, efektywniejsza technologia produkcji komponentów.</w:t>
            </w:r>
          </w:p>
          <w:p w14:paraId="638D5226" w14:textId="77777777" w:rsidR="00AA19CB" w:rsidRPr="00303944" w:rsidRDefault="00AA19CB" w:rsidP="008D7AE7">
            <w:pPr>
              <w:spacing w:after="120"/>
              <w:jc w:val="both"/>
              <w:rPr>
                <w:rFonts w:ascii="Times New Roman" w:hAnsi="Times New Roman"/>
                <w:color w:val="000000"/>
                <w:spacing w:val="-2"/>
              </w:rPr>
            </w:pPr>
            <w:r w:rsidRPr="00303944">
              <w:rPr>
                <w:rFonts w:ascii="Times New Roman" w:hAnsi="Times New Roman"/>
                <w:color w:val="000000"/>
                <w:spacing w:val="-2"/>
              </w:rPr>
              <w:lastRenderedPageBreak/>
              <w:t>Obecnie najbardziej rozpowszechnioną formą wsparcia jest</w:t>
            </w:r>
            <w:r>
              <w:rPr>
                <w:rFonts w:ascii="Times New Roman" w:hAnsi="Times New Roman"/>
                <w:color w:val="000000"/>
                <w:spacing w:val="-2"/>
              </w:rPr>
              <w:t xml:space="preserve"> wspomniany wcześniej</w:t>
            </w:r>
            <w:r w:rsidRPr="00303944">
              <w:rPr>
                <w:rFonts w:ascii="Times New Roman" w:hAnsi="Times New Roman"/>
                <w:color w:val="000000"/>
                <w:spacing w:val="-2"/>
              </w:rPr>
              <w:t xml:space="preserve"> kontrakt różnicowy.</w:t>
            </w:r>
            <w:r>
              <w:rPr>
                <w:rFonts w:ascii="Times New Roman" w:hAnsi="Times New Roman"/>
                <w:color w:val="000000"/>
                <w:spacing w:val="-2"/>
              </w:rPr>
              <w:t xml:space="preserve"> Stanowi on państwową gwarancję kupna po stałej cenie referencyjnej wyprodukowanej i wprowadzonej do sieci energii elektrycznej. W przypadku gdy rynkowe ceny energii są niższe niż cena referencyjna, dodatnia różnica jest wypłacana wytwórcy. Natomiast gdy ceny rynkowe energii są wyższe niż cena referencyjna, wówczas tę różnicę otrzymuje strona wspierająca. System ten jest satysfakcjonujący dla wszystkich stron, gdyż zapewnia </w:t>
            </w:r>
            <w:r w:rsidRPr="00303944">
              <w:rPr>
                <w:rFonts w:ascii="Times New Roman" w:hAnsi="Times New Roman"/>
                <w:color w:val="000000"/>
                <w:spacing w:val="-2"/>
              </w:rPr>
              <w:t>stabilne przychody i minimalizuje koszty finansowe.</w:t>
            </w:r>
          </w:p>
          <w:p w14:paraId="3F95695A" w14:textId="77777777" w:rsidR="00AA19CB" w:rsidRPr="00303944" w:rsidRDefault="00AA19CB" w:rsidP="008D7AE7">
            <w:pPr>
              <w:spacing w:after="120"/>
              <w:jc w:val="both"/>
              <w:rPr>
                <w:rFonts w:ascii="Times New Roman" w:hAnsi="Times New Roman"/>
                <w:color w:val="000000"/>
                <w:spacing w:val="-2"/>
              </w:rPr>
            </w:pPr>
            <w:r>
              <w:rPr>
                <w:rFonts w:ascii="Times New Roman" w:hAnsi="Times New Roman"/>
                <w:color w:val="000000"/>
                <w:spacing w:val="-2"/>
              </w:rPr>
              <w:t>W 2023 r. n</w:t>
            </w:r>
            <w:r w:rsidRPr="00303944">
              <w:rPr>
                <w:rFonts w:ascii="Times New Roman" w:hAnsi="Times New Roman"/>
                <w:color w:val="000000"/>
                <w:spacing w:val="-2"/>
              </w:rPr>
              <w:t>iektóre rządy zaczęły stosować</w:t>
            </w:r>
            <w:r>
              <w:rPr>
                <w:rFonts w:ascii="Times New Roman" w:hAnsi="Times New Roman"/>
                <w:color w:val="000000"/>
                <w:spacing w:val="-2"/>
              </w:rPr>
              <w:t xml:space="preserve"> tzw. </w:t>
            </w:r>
            <w:r w:rsidRPr="00303944">
              <w:rPr>
                <w:rFonts w:ascii="Times New Roman" w:hAnsi="Times New Roman"/>
                <w:color w:val="000000"/>
                <w:spacing w:val="-2"/>
              </w:rPr>
              <w:t>“licytacj</w:t>
            </w:r>
            <w:r>
              <w:rPr>
                <w:rFonts w:ascii="Times New Roman" w:hAnsi="Times New Roman"/>
                <w:color w:val="000000"/>
                <w:spacing w:val="-2"/>
              </w:rPr>
              <w:t>e</w:t>
            </w:r>
            <w:r w:rsidRPr="00303944">
              <w:rPr>
                <w:rFonts w:ascii="Times New Roman" w:hAnsi="Times New Roman"/>
                <w:color w:val="000000"/>
                <w:spacing w:val="-2"/>
              </w:rPr>
              <w:t xml:space="preserve"> ujemne” </w:t>
            </w:r>
            <w:r w:rsidRPr="007D0D17">
              <w:rPr>
                <w:rFonts w:ascii="Times New Roman" w:hAnsi="Times New Roman"/>
                <w:color w:val="000000"/>
                <w:spacing w:val="-2"/>
              </w:rPr>
              <w:t xml:space="preserve">w aukcjach dla </w:t>
            </w:r>
            <w:r>
              <w:rPr>
                <w:rFonts w:ascii="Times New Roman" w:hAnsi="Times New Roman"/>
                <w:color w:val="000000"/>
                <w:spacing w:val="-2"/>
              </w:rPr>
              <w:t xml:space="preserve">morskiej </w:t>
            </w:r>
            <w:r w:rsidRPr="007D0D17">
              <w:rPr>
                <w:rFonts w:ascii="Times New Roman" w:hAnsi="Times New Roman"/>
                <w:color w:val="000000"/>
                <w:spacing w:val="-2"/>
              </w:rPr>
              <w:t xml:space="preserve">energetyki wiatrowej, </w:t>
            </w:r>
            <w:r>
              <w:rPr>
                <w:rFonts w:ascii="Times New Roman" w:hAnsi="Times New Roman"/>
                <w:color w:val="000000"/>
                <w:spacing w:val="-2"/>
              </w:rPr>
              <w:t>czyli opłatę</w:t>
            </w:r>
            <w:r w:rsidRPr="007D0D17">
              <w:rPr>
                <w:rFonts w:ascii="Times New Roman" w:hAnsi="Times New Roman"/>
                <w:color w:val="000000"/>
                <w:spacing w:val="-2"/>
              </w:rPr>
              <w:t xml:space="preserve"> </w:t>
            </w:r>
            <w:r>
              <w:rPr>
                <w:rFonts w:ascii="Times New Roman" w:hAnsi="Times New Roman"/>
                <w:color w:val="000000"/>
                <w:spacing w:val="-2"/>
              </w:rPr>
              <w:t xml:space="preserve">ponoszoną przez dewelopera </w:t>
            </w:r>
            <w:r w:rsidRPr="007D0D17">
              <w:rPr>
                <w:rFonts w:ascii="Times New Roman" w:hAnsi="Times New Roman"/>
                <w:color w:val="000000"/>
                <w:spacing w:val="-2"/>
              </w:rPr>
              <w:t>za prawo do budowy nowej farmy wiatrowej</w:t>
            </w:r>
            <w:r>
              <w:rPr>
                <w:rFonts w:ascii="Times New Roman" w:hAnsi="Times New Roman"/>
                <w:color w:val="000000"/>
                <w:spacing w:val="-2"/>
              </w:rPr>
              <w:t>.</w:t>
            </w:r>
            <w:r w:rsidRPr="007D0D17">
              <w:rPr>
                <w:rFonts w:ascii="Times New Roman" w:hAnsi="Times New Roman"/>
                <w:color w:val="000000"/>
                <w:spacing w:val="-2"/>
              </w:rPr>
              <w:t xml:space="preserve"> </w:t>
            </w:r>
            <w:r>
              <w:rPr>
                <w:rFonts w:ascii="Times New Roman" w:hAnsi="Times New Roman"/>
                <w:color w:val="000000"/>
                <w:spacing w:val="-2"/>
              </w:rPr>
              <w:t>O</w:t>
            </w:r>
            <w:r w:rsidRPr="00303944">
              <w:rPr>
                <w:rFonts w:ascii="Times New Roman" w:hAnsi="Times New Roman"/>
                <w:color w:val="000000"/>
                <w:spacing w:val="-2"/>
              </w:rPr>
              <w:t xml:space="preserve">znacza </w:t>
            </w:r>
            <w:r>
              <w:rPr>
                <w:rFonts w:ascii="Times New Roman" w:hAnsi="Times New Roman"/>
                <w:color w:val="000000"/>
                <w:spacing w:val="-2"/>
              </w:rPr>
              <w:t xml:space="preserve">to jednak </w:t>
            </w:r>
            <w:r w:rsidRPr="00303944">
              <w:rPr>
                <w:rFonts w:ascii="Times New Roman" w:hAnsi="Times New Roman"/>
                <w:color w:val="000000"/>
                <w:spacing w:val="-2"/>
              </w:rPr>
              <w:t>wyższe koszty finansowe</w:t>
            </w:r>
            <w:r>
              <w:rPr>
                <w:rFonts w:ascii="Times New Roman" w:hAnsi="Times New Roman"/>
                <w:color w:val="000000"/>
                <w:spacing w:val="-2"/>
              </w:rPr>
              <w:t xml:space="preserve"> wynikające z problemów z pozyskaniem kredytów, </w:t>
            </w:r>
            <w:r w:rsidRPr="00303944">
              <w:rPr>
                <w:rFonts w:ascii="Times New Roman" w:hAnsi="Times New Roman"/>
                <w:color w:val="000000"/>
                <w:spacing w:val="-2"/>
              </w:rPr>
              <w:t>gdyż</w:t>
            </w:r>
            <w:r>
              <w:rPr>
                <w:rFonts w:ascii="Times New Roman" w:hAnsi="Times New Roman"/>
                <w:color w:val="000000"/>
                <w:spacing w:val="-2"/>
              </w:rPr>
              <w:t xml:space="preserve"> banki</w:t>
            </w:r>
            <w:r w:rsidRPr="00303944">
              <w:rPr>
                <w:rFonts w:ascii="Times New Roman" w:hAnsi="Times New Roman"/>
                <w:color w:val="000000"/>
                <w:spacing w:val="-2"/>
              </w:rPr>
              <w:t xml:space="preserve"> nie widzą </w:t>
            </w:r>
            <w:r>
              <w:rPr>
                <w:rFonts w:ascii="Times New Roman" w:hAnsi="Times New Roman"/>
                <w:color w:val="000000"/>
                <w:spacing w:val="-2"/>
              </w:rPr>
              <w:t xml:space="preserve">w takim przypadku </w:t>
            </w:r>
            <w:r w:rsidRPr="00303944">
              <w:rPr>
                <w:rFonts w:ascii="Times New Roman" w:hAnsi="Times New Roman"/>
                <w:color w:val="000000"/>
                <w:spacing w:val="-2"/>
              </w:rPr>
              <w:t>stabilnych przychodów.</w:t>
            </w:r>
            <w:r>
              <w:rPr>
                <w:rFonts w:ascii="Times New Roman" w:hAnsi="Times New Roman"/>
                <w:color w:val="000000"/>
                <w:spacing w:val="-2"/>
              </w:rPr>
              <w:t xml:space="preserve"> Zatem, chcąc się zabezpieczyć banki podwyższają</w:t>
            </w:r>
            <w:r w:rsidRPr="007D0D17">
              <w:rPr>
                <w:rFonts w:ascii="Times New Roman" w:hAnsi="Times New Roman"/>
                <w:color w:val="000000"/>
                <w:spacing w:val="-2"/>
              </w:rPr>
              <w:t xml:space="preserve"> st</w:t>
            </w:r>
            <w:r>
              <w:rPr>
                <w:rFonts w:ascii="Times New Roman" w:hAnsi="Times New Roman"/>
                <w:color w:val="000000"/>
                <w:spacing w:val="-2"/>
              </w:rPr>
              <w:t>opy</w:t>
            </w:r>
            <w:r w:rsidRPr="007D0D17">
              <w:rPr>
                <w:rFonts w:ascii="Times New Roman" w:hAnsi="Times New Roman"/>
                <w:color w:val="000000"/>
                <w:spacing w:val="-2"/>
              </w:rPr>
              <w:t xml:space="preserve"> procentow</w:t>
            </w:r>
            <w:r>
              <w:rPr>
                <w:rFonts w:ascii="Times New Roman" w:hAnsi="Times New Roman"/>
                <w:color w:val="000000"/>
                <w:spacing w:val="-2"/>
              </w:rPr>
              <w:t>e, co przyczynia się do</w:t>
            </w:r>
            <w:r w:rsidRPr="007D0D17">
              <w:rPr>
                <w:rFonts w:ascii="Times New Roman" w:hAnsi="Times New Roman"/>
                <w:color w:val="000000"/>
                <w:spacing w:val="-2"/>
              </w:rPr>
              <w:t xml:space="preserve"> zwięk</w:t>
            </w:r>
            <w:r>
              <w:rPr>
                <w:rFonts w:ascii="Times New Roman" w:hAnsi="Times New Roman"/>
                <w:color w:val="000000"/>
                <w:spacing w:val="-2"/>
              </w:rPr>
              <w:t>szenia</w:t>
            </w:r>
            <w:r w:rsidRPr="007D0D17">
              <w:rPr>
                <w:rFonts w:ascii="Times New Roman" w:hAnsi="Times New Roman"/>
                <w:color w:val="000000"/>
                <w:spacing w:val="-2"/>
              </w:rPr>
              <w:t xml:space="preserve"> ogólne</w:t>
            </w:r>
            <w:r>
              <w:rPr>
                <w:rFonts w:ascii="Times New Roman" w:hAnsi="Times New Roman"/>
                <w:color w:val="000000"/>
                <w:spacing w:val="-2"/>
              </w:rPr>
              <w:t>go</w:t>
            </w:r>
            <w:r w:rsidRPr="007D0D17">
              <w:rPr>
                <w:rFonts w:ascii="Times New Roman" w:hAnsi="Times New Roman"/>
                <w:color w:val="000000"/>
                <w:spacing w:val="-2"/>
              </w:rPr>
              <w:t xml:space="preserve"> ryzyk</w:t>
            </w:r>
            <w:r>
              <w:rPr>
                <w:rFonts w:ascii="Times New Roman" w:hAnsi="Times New Roman"/>
                <w:color w:val="000000"/>
                <w:spacing w:val="-2"/>
              </w:rPr>
              <w:t>a</w:t>
            </w:r>
            <w:r w:rsidRPr="007D0D17">
              <w:rPr>
                <w:rFonts w:ascii="Times New Roman" w:hAnsi="Times New Roman"/>
                <w:color w:val="000000"/>
                <w:spacing w:val="-2"/>
              </w:rPr>
              <w:t xml:space="preserve"> projektu, co z kolei podnosi koszty kapitałowe. </w:t>
            </w:r>
            <w:r>
              <w:rPr>
                <w:rFonts w:ascii="Times New Roman" w:hAnsi="Times New Roman"/>
                <w:color w:val="000000"/>
                <w:spacing w:val="-2"/>
              </w:rPr>
              <w:t>System ten</w:t>
            </w:r>
            <w:r w:rsidRPr="00303944">
              <w:rPr>
                <w:rFonts w:ascii="Times New Roman" w:hAnsi="Times New Roman"/>
                <w:color w:val="000000"/>
                <w:spacing w:val="-2"/>
              </w:rPr>
              <w:t xml:space="preserve"> nakłada na </w:t>
            </w:r>
            <w:r>
              <w:rPr>
                <w:rFonts w:ascii="Times New Roman" w:hAnsi="Times New Roman"/>
                <w:color w:val="000000"/>
                <w:spacing w:val="-2"/>
              </w:rPr>
              <w:t xml:space="preserve">morskie </w:t>
            </w:r>
            <w:r w:rsidRPr="00303944">
              <w:rPr>
                <w:rFonts w:ascii="Times New Roman" w:hAnsi="Times New Roman"/>
                <w:color w:val="000000"/>
                <w:spacing w:val="-2"/>
              </w:rPr>
              <w:t xml:space="preserve">farmy wiatrowe dodatkowe koszty, które następnie </w:t>
            </w:r>
            <w:r>
              <w:rPr>
                <w:rFonts w:ascii="Times New Roman" w:hAnsi="Times New Roman"/>
                <w:color w:val="000000"/>
                <w:spacing w:val="-2"/>
              </w:rPr>
              <w:t>zostają</w:t>
            </w:r>
            <w:r w:rsidRPr="00303944">
              <w:rPr>
                <w:rFonts w:ascii="Times New Roman" w:hAnsi="Times New Roman"/>
                <w:color w:val="000000"/>
                <w:spacing w:val="-2"/>
              </w:rPr>
              <w:t xml:space="preserve"> przerzucone na społeczeństwo</w:t>
            </w:r>
            <w:r>
              <w:rPr>
                <w:rFonts w:ascii="Times New Roman" w:hAnsi="Times New Roman"/>
                <w:color w:val="000000"/>
                <w:spacing w:val="-2"/>
              </w:rPr>
              <w:t xml:space="preserve"> </w:t>
            </w:r>
            <w:r w:rsidRPr="00276C7D">
              <w:rPr>
                <w:rFonts w:ascii="Times New Roman" w:hAnsi="Times New Roman"/>
                <w:color w:val="000000"/>
                <w:spacing w:val="-2"/>
              </w:rPr>
              <w:t>w postaci wyższych rachunków za energię</w:t>
            </w:r>
            <w:r>
              <w:rPr>
                <w:rFonts w:ascii="Times New Roman" w:hAnsi="Times New Roman"/>
                <w:color w:val="000000"/>
                <w:spacing w:val="-2"/>
              </w:rPr>
              <w:t>, bądź na wytwórców energii</w:t>
            </w:r>
            <w:r w:rsidRPr="00276C7D">
              <w:rPr>
                <w:rFonts w:ascii="Times New Roman" w:hAnsi="Times New Roman"/>
                <w:color w:val="000000"/>
                <w:spacing w:val="-2"/>
              </w:rPr>
              <w:t xml:space="preserve">, </w:t>
            </w:r>
            <w:r w:rsidRPr="007D0D17">
              <w:rPr>
                <w:rFonts w:ascii="Times New Roman" w:hAnsi="Times New Roman"/>
                <w:color w:val="000000"/>
                <w:spacing w:val="-2"/>
              </w:rPr>
              <w:t>któr</w:t>
            </w:r>
            <w:r>
              <w:rPr>
                <w:rFonts w:ascii="Times New Roman" w:hAnsi="Times New Roman"/>
                <w:color w:val="000000"/>
                <w:spacing w:val="-2"/>
              </w:rPr>
              <w:t>zy</w:t>
            </w:r>
            <w:r w:rsidRPr="007D0D17">
              <w:rPr>
                <w:rFonts w:ascii="Times New Roman" w:hAnsi="Times New Roman"/>
                <w:color w:val="000000"/>
                <w:spacing w:val="-2"/>
              </w:rPr>
              <w:t xml:space="preserve"> już teraz zmaga</w:t>
            </w:r>
            <w:r>
              <w:rPr>
                <w:rFonts w:ascii="Times New Roman" w:hAnsi="Times New Roman"/>
                <w:color w:val="000000"/>
                <w:spacing w:val="-2"/>
              </w:rPr>
              <w:t>ją</w:t>
            </w:r>
            <w:r w:rsidRPr="007D0D17">
              <w:rPr>
                <w:rFonts w:ascii="Times New Roman" w:hAnsi="Times New Roman"/>
                <w:color w:val="000000"/>
                <w:spacing w:val="-2"/>
              </w:rPr>
              <w:t xml:space="preserve"> się z</w:t>
            </w:r>
            <w:r>
              <w:rPr>
                <w:rFonts w:ascii="Times New Roman" w:hAnsi="Times New Roman"/>
                <w:color w:val="000000"/>
                <w:spacing w:val="-2"/>
              </w:rPr>
              <w:t> </w:t>
            </w:r>
            <w:r w:rsidRPr="007D0D17">
              <w:rPr>
                <w:rFonts w:ascii="Times New Roman" w:hAnsi="Times New Roman"/>
                <w:color w:val="000000"/>
                <w:spacing w:val="-2"/>
              </w:rPr>
              <w:t>inflacją i</w:t>
            </w:r>
            <w:r>
              <w:rPr>
                <w:rFonts w:ascii="Times New Roman" w:hAnsi="Times New Roman"/>
                <w:color w:val="000000"/>
                <w:spacing w:val="-2"/>
              </w:rPr>
              <w:t> </w:t>
            </w:r>
            <w:r w:rsidRPr="007D0D17">
              <w:rPr>
                <w:rFonts w:ascii="Times New Roman" w:hAnsi="Times New Roman"/>
                <w:color w:val="000000"/>
                <w:spacing w:val="-2"/>
              </w:rPr>
              <w:t>wzrostem kosztów</w:t>
            </w:r>
            <w:r w:rsidRPr="00276C7D">
              <w:rPr>
                <w:rFonts w:ascii="Times New Roman" w:hAnsi="Times New Roman"/>
                <w:color w:val="000000"/>
                <w:spacing w:val="-2"/>
              </w:rPr>
              <w:t>.</w:t>
            </w:r>
          </w:p>
          <w:p w14:paraId="61F76A99" w14:textId="77777777" w:rsidR="00AA19CB" w:rsidRDefault="00AA19CB" w:rsidP="008D7AE7">
            <w:pPr>
              <w:spacing w:after="120"/>
              <w:rPr>
                <w:rFonts w:ascii="Times New Roman" w:hAnsi="Times New Roman"/>
                <w:b/>
                <w:bCs/>
                <w:color w:val="000000"/>
                <w:spacing w:val="-2"/>
              </w:rPr>
            </w:pPr>
            <w:r w:rsidRPr="005818E4">
              <w:rPr>
                <w:rFonts w:ascii="Times New Roman" w:hAnsi="Times New Roman"/>
                <w:b/>
                <w:bCs/>
                <w:color w:val="000000"/>
                <w:spacing w:val="-2"/>
              </w:rPr>
              <w:t xml:space="preserve">Niemcy: </w:t>
            </w:r>
          </w:p>
          <w:p w14:paraId="6BC165AB" w14:textId="77777777" w:rsidR="00AA19CB" w:rsidRPr="007B6825" w:rsidRDefault="00AA19CB" w:rsidP="008D7AE7">
            <w:pPr>
              <w:spacing w:after="120"/>
              <w:jc w:val="both"/>
              <w:rPr>
                <w:rFonts w:ascii="Times New Roman" w:hAnsi="Times New Roman"/>
                <w:spacing w:val="-2"/>
              </w:rPr>
            </w:pPr>
            <w:r w:rsidRPr="007B6825">
              <w:rPr>
                <w:rFonts w:ascii="Times New Roman" w:hAnsi="Times New Roman"/>
                <w:spacing w:val="-2"/>
              </w:rPr>
              <w:t xml:space="preserve">W 2023 r. Niemcy ogłosiły zwycięzców aukcji na morskie farmy wiatrowe </w:t>
            </w:r>
            <w:r>
              <w:rPr>
                <w:rFonts w:ascii="Times New Roman" w:hAnsi="Times New Roman"/>
                <w:spacing w:val="-2"/>
              </w:rPr>
              <w:t xml:space="preserve">na Morzu Północnym i Morzu Bałtyckim </w:t>
            </w:r>
            <w:r w:rsidRPr="007B6825">
              <w:rPr>
                <w:rFonts w:ascii="Times New Roman" w:hAnsi="Times New Roman"/>
                <w:spacing w:val="-2"/>
              </w:rPr>
              <w:t>o mocy w sumie 8,8 GW</w:t>
            </w:r>
            <w:r>
              <w:rPr>
                <w:rFonts w:ascii="Times New Roman" w:hAnsi="Times New Roman"/>
                <w:spacing w:val="-2"/>
              </w:rPr>
              <w:t>.</w:t>
            </w:r>
          </w:p>
          <w:p w14:paraId="75663526" w14:textId="77777777" w:rsidR="00AA19CB" w:rsidRPr="007B6825" w:rsidRDefault="00AA19CB" w:rsidP="008D7AE7">
            <w:pPr>
              <w:pStyle w:val="Akapitzlist"/>
              <w:numPr>
                <w:ilvl w:val="0"/>
                <w:numId w:val="81"/>
              </w:numPr>
              <w:spacing w:after="120"/>
              <w:contextualSpacing w:val="0"/>
              <w:jc w:val="both"/>
              <w:rPr>
                <w:rFonts w:ascii="Times New Roman" w:hAnsi="Times New Roman"/>
                <w:spacing w:val="-2"/>
              </w:rPr>
            </w:pPr>
            <w:r w:rsidRPr="007B6825">
              <w:rPr>
                <w:rFonts w:ascii="Times New Roman" w:hAnsi="Times New Roman"/>
                <w:spacing w:val="-2"/>
              </w:rPr>
              <w:t>Aukcje z „dynamiczną procedurą przetargową”</w:t>
            </w:r>
            <w:r>
              <w:rPr>
                <w:rFonts w:ascii="Times New Roman" w:hAnsi="Times New Roman"/>
                <w:spacing w:val="-2"/>
              </w:rPr>
              <w:t xml:space="preserve"> (4 lokalizacje, 7 GW)</w:t>
            </w:r>
          </w:p>
          <w:p w14:paraId="6D11DF86" w14:textId="77777777" w:rsidR="00AA19CB" w:rsidRPr="007B6825" w:rsidRDefault="00AA19CB" w:rsidP="008D7AE7">
            <w:pPr>
              <w:spacing w:after="120"/>
              <w:jc w:val="both"/>
              <w:rPr>
                <w:rFonts w:ascii="Times New Roman" w:hAnsi="Times New Roman"/>
                <w:spacing w:val="-2"/>
              </w:rPr>
            </w:pPr>
            <w:r>
              <w:rPr>
                <w:rFonts w:ascii="Times New Roman" w:hAnsi="Times New Roman"/>
                <w:spacing w:val="-2"/>
              </w:rPr>
              <w:t xml:space="preserve">Inwestorzy ubiegający się o prawo do </w:t>
            </w:r>
            <w:r w:rsidRPr="007B6825">
              <w:rPr>
                <w:rFonts w:ascii="Times New Roman" w:hAnsi="Times New Roman"/>
                <w:spacing w:val="-2"/>
              </w:rPr>
              <w:t>każdej z lokalizacji zobowiąza</w:t>
            </w:r>
            <w:r>
              <w:rPr>
                <w:rFonts w:ascii="Times New Roman" w:hAnsi="Times New Roman"/>
                <w:spacing w:val="-2"/>
              </w:rPr>
              <w:t>li</w:t>
            </w:r>
            <w:r w:rsidRPr="007B6825">
              <w:rPr>
                <w:rFonts w:ascii="Times New Roman" w:hAnsi="Times New Roman"/>
                <w:spacing w:val="-2"/>
              </w:rPr>
              <w:t xml:space="preserve"> się do budowy</w:t>
            </w:r>
            <w:r>
              <w:rPr>
                <w:rFonts w:ascii="Times New Roman" w:hAnsi="Times New Roman"/>
                <w:spacing w:val="-2"/>
              </w:rPr>
              <w:t xml:space="preserve"> morskiej farmy wiatrowej</w:t>
            </w:r>
            <w:r w:rsidRPr="007B6825">
              <w:rPr>
                <w:rFonts w:ascii="Times New Roman" w:hAnsi="Times New Roman"/>
                <w:spacing w:val="-2"/>
              </w:rPr>
              <w:t xml:space="preserve"> bez żadnego wsparcia ze strony państwa, uruchamiając dodatkową </w:t>
            </w:r>
            <w:r>
              <w:rPr>
                <w:rFonts w:ascii="Times New Roman" w:hAnsi="Times New Roman"/>
                <w:spacing w:val="-2"/>
              </w:rPr>
              <w:t>„</w:t>
            </w:r>
            <w:r w:rsidRPr="007B6825">
              <w:rPr>
                <w:rFonts w:ascii="Times New Roman" w:hAnsi="Times New Roman"/>
                <w:spacing w:val="-2"/>
              </w:rPr>
              <w:t>dynamiczną procedurę przetargową</w:t>
            </w:r>
            <w:r>
              <w:rPr>
                <w:rFonts w:ascii="Times New Roman" w:hAnsi="Times New Roman"/>
                <w:spacing w:val="-2"/>
              </w:rPr>
              <w:t>”</w:t>
            </w:r>
            <w:r w:rsidRPr="007B6825">
              <w:rPr>
                <w:rFonts w:ascii="Times New Roman" w:hAnsi="Times New Roman"/>
                <w:spacing w:val="-2"/>
              </w:rPr>
              <w:t xml:space="preserve">. Procedura ta wymagała od deweloperów przystąpienia do drugiej rundy nieograniczonej </w:t>
            </w:r>
            <w:r>
              <w:rPr>
                <w:rFonts w:ascii="Times New Roman" w:hAnsi="Times New Roman"/>
                <w:spacing w:val="-2"/>
              </w:rPr>
              <w:t>„licytacji ujemnej”</w:t>
            </w:r>
            <w:r w:rsidRPr="007B6825">
              <w:rPr>
                <w:rFonts w:ascii="Times New Roman" w:hAnsi="Times New Roman"/>
                <w:spacing w:val="-2"/>
              </w:rPr>
              <w:t xml:space="preserve">. </w:t>
            </w:r>
            <w:r w:rsidRPr="000751B6">
              <w:rPr>
                <w:rFonts w:ascii="Times New Roman" w:hAnsi="Times New Roman"/>
                <w:spacing w:val="-2"/>
              </w:rPr>
              <w:t xml:space="preserve">W przypadku licytacji negatywnej, zwanej również licytacją odwróconą, dostawcy energii starają się zaoferować najniższą możliwą cenę, która jest zazwyczaj ujemna. W praktyce oznacza to, że dostawca proponuje, że będzie płacił państwu za prawo do wyprodukowania energii. </w:t>
            </w:r>
            <w:r w:rsidRPr="007B6825">
              <w:rPr>
                <w:rFonts w:ascii="Times New Roman" w:hAnsi="Times New Roman"/>
                <w:spacing w:val="-2"/>
              </w:rPr>
              <w:t>Oferty były przyznawane wyłącznie na podstawie ceny.</w:t>
            </w:r>
          </w:p>
          <w:p w14:paraId="61B90719" w14:textId="77777777" w:rsidR="00AA19CB" w:rsidRPr="007B6825" w:rsidRDefault="00AA19CB" w:rsidP="008D7AE7">
            <w:pPr>
              <w:spacing w:after="120"/>
              <w:jc w:val="both"/>
              <w:rPr>
                <w:rFonts w:ascii="Times New Roman" w:hAnsi="Times New Roman"/>
                <w:spacing w:val="-2"/>
              </w:rPr>
            </w:pPr>
            <w:r w:rsidRPr="007B6825">
              <w:rPr>
                <w:rFonts w:ascii="Times New Roman" w:hAnsi="Times New Roman"/>
                <w:spacing w:val="-2"/>
              </w:rPr>
              <w:t xml:space="preserve">W rezultacie </w:t>
            </w:r>
            <w:r>
              <w:rPr>
                <w:rFonts w:ascii="Times New Roman" w:hAnsi="Times New Roman"/>
                <w:spacing w:val="-2"/>
              </w:rPr>
              <w:t xml:space="preserve">wygrani </w:t>
            </w:r>
            <w:r w:rsidRPr="007B6825">
              <w:rPr>
                <w:rFonts w:ascii="Times New Roman" w:hAnsi="Times New Roman"/>
                <w:spacing w:val="-2"/>
              </w:rPr>
              <w:t xml:space="preserve">deweloperzy </w:t>
            </w:r>
            <w:r>
              <w:rPr>
                <w:rFonts w:ascii="Times New Roman" w:hAnsi="Times New Roman"/>
                <w:spacing w:val="-2"/>
              </w:rPr>
              <w:t>morskich farm wiatrowych</w:t>
            </w:r>
            <w:r w:rsidRPr="007B6825">
              <w:rPr>
                <w:rFonts w:ascii="Times New Roman" w:hAnsi="Times New Roman"/>
                <w:spacing w:val="-2"/>
              </w:rPr>
              <w:t xml:space="preserve"> będą musieli zapłacić rządowi Niemiec łącznie 12,6 mld euro. 90% pieniędzy zostanie przeznaczon</w:t>
            </w:r>
            <w:r>
              <w:rPr>
                <w:rFonts w:ascii="Times New Roman" w:hAnsi="Times New Roman"/>
                <w:spacing w:val="-2"/>
              </w:rPr>
              <w:t>ych</w:t>
            </w:r>
            <w:r w:rsidRPr="007B6825">
              <w:rPr>
                <w:rFonts w:ascii="Times New Roman" w:hAnsi="Times New Roman"/>
                <w:spacing w:val="-2"/>
              </w:rPr>
              <w:t xml:space="preserve"> na sfinansowanie kosztów podłączenia do sieci, 5% zostanie wykorzystane na ochronę morskiej różnorodności biologicznej, a kolejne 5% na wsparcie przyjaznego dla środowiska rybołówstwa.</w:t>
            </w:r>
          </w:p>
          <w:p w14:paraId="125227D2" w14:textId="77777777" w:rsidR="00AA19CB" w:rsidRPr="007B6825" w:rsidRDefault="00AA19CB" w:rsidP="008D7AE7">
            <w:pPr>
              <w:spacing w:after="120"/>
              <w:jc w:val="both"/>
              <w:rPr>
                <w:rFonts w:ascii="Times New Roman" w:hAnsi="Times New Roman"/>
                <w:spacing w:val="-2"/>
              </w:rPr>
            </w:pPr>
            <w:r w:rsidRPr="007B6825">
              <w:rPr>
                <w:rFonts w:ascii="Times New Roman" w:hAnsi="Times New Roman"/>
                <w:spacing w:val="-2"/>
              </w:rPr>
              <w:t xml:space="preserve">Cztery projekty mają zostać oddane do użytku do 2030 roku. W celu terminowej realizacji tych projektów Niemcy muszą rozszerzyć swój łańcuch dostaw </w:t>
            </w:r>
            <w:r>
              <w:rPr>
                <w:rFonts w:ascii="Times New Roman" w:hAnsi="Times New Roman"/>
                <w:spacing w:val="-2"/>
              </w:rPr>
              <w:t>dla morskiej energetyki wiatrowej, np.</w:t>
            </w:r>
            <w:r w:rsidRPr="007B6825">
              <w:rPr>
                <w:rFonts w:ascii="Times New Roman" w:hAnsi="Times New Roman"/>
                <w:spacing w:val="-2"/>
              </w:rPr>
              <w:t xml:space="preserve"> </w:t>
            </w:r>
            <w:r>
              <w:rPr>
                <w:rFonts w:ascii="Times New Roman" w:hAnsi="Times New Roman"/>
                <w:spacing w:val="-2"/>
              </w:rPr>
              <w:t xml:space="preserve">o </w:t>
            </w:r>
            <w:r w:rsidRPr="007B6825">
              <w:rPr>
                <w:rFonts w:ascii="Times New Roman" w:hAnsi="Times New Roman"/>
                <w:spacing w:val="-2"/>
              </w:rPr>
              <w:t>zdolnoś</w:t>
            </w:r>
            <w:r>
              <w:rPr>
                <w:rFonts w:ascii="Times New Roman" w:hAnsi="Times New Roman"/>
                <w:spacing w:val="-2"/>
              </w:rPr>
              <w:t>ć</w:t>
            </w:r>
            <w:r w:rsidRPr="007B6825">
              <w:rPr>
                <w:rFonts w:ascii="Times New Roman" w:hAnsi="Times New Roman"/>
                <w:spacing w:val="-2"/>
              </w:rPr>
              <w:t xml:space="preserve"> przemysłow</w:t>
            </w:r>
            <w:r>
              <w:rPr>
                <w:rFonts w:ascii="Times New Roman" w:hAnsi="Times New Roman"/>
                <w:spacing w:val="-2"/>
              </w:rPr>
              <w:t>ą</w:t>
            </w:r>
            <w:r w:rsidRPr="007B6825">
              <w:rPr>
                <w:rFonts w:ascii="Times New Roman" w:hAnsi="Times New Roman"/>
                <w:spacing w:val="-2"/>
              </w:rPr>
              <w:t xml:space="preserve"> do budowy turbin wiatrowych, fundamentów i statków instalacyjnych. Potrzebne </w:t>
            </w:r>
            <w:r>
              <w:rPr>
                <w:rFonts w:ascii="Times New Roman" w:hAnsi="Times New Roman"/>
                <w:spacing w:val="-2"/>
              </w:rPr>
              <w:t>będą</w:t>
            </w:r>
            <w:r w:rsidRPr="007B6825">
              <w:rPr>
                <w:rFonts w:ascii="Times New Roman" w:hAnsi="Times New Roman"/>
                <w:spacing w:val="-2"/>
              </w:rPr>
              <w:t xml:space="preserve"> również </w:t>
            </w:r>
            <w:r>
              <w:rPr>
                <w:rFonts w:ascii="Times New Roman" w:hAnsi="Times New Roman"/>
                <w:spacing w:val="-2"/>
              </w:rPr>
              <w:t xml:space="preserve">kolejne </w:t>
            </w:r>
            <w:r w:rsidRPr="007B6825">
              <w:rPr>
                <w:rFonts w:ascii="Times New Roman" w:hAnsi="Times New Roman"/>
                <w:spacing w:val="-2"/>
              </w:rPr>
              <w:t>inwestycje w porty</w:t>
            </w:r>
            <w:r>
              <w:rPr>
                <w:rFonts w:ascii="Times New Roman" w:hAnsi="Times New Roman"/>
                <w:spacing w:val="-2"/>
              </w:rPr>
              <w:t>, a także pozyskanie</w:t>
            </w:r>
            <w:r w:rsidRPr="007B6825">
              <w:rPr>
                <w:rFonts w:ascii="Times New Roman" w:hAnsi="Times New Roman"/>
                <w:spacing w:val="-2"/>
              </w:rPr>
              <w:t xml:space="preserve"> wykwalifikowanych pracowników. „Dynamiczna procedura przetargowa” powoduje, że firmy w łańcuchu dostaw energii wiatrowej będą musiały pracować z</w:t>
            </w:r>
            <w:r>
              <w:rPr>
                <w:rFonts w:ascii="Times New Roman" w:hAnsi="Times New Roman"/>
                <w:spacing w:val="-2"/>
              </w:rPr>
              <w:t> </w:t>
            </w:r>
            <w:r w:rsidRPr="007B6825">
              <w:rPr>
                <w:rFonts w:ascii="Times New Roman" w:hAnsi="Times New Roman"/>
                <w:spacing w:val="-2"/>
              </w:rPr>
              <w:t xml:space="preserve">jeszcze niższymi marżami, ponieważ deweloperzy przenoszą na nich dodatkowe koszty związane z </w:t>
            </w:r>
            <w:r>
              <w:rPr>
                <w:rFonts w:ascii="Times New Roman" w:hAnsi="Times New Roman"/>
                <w:spacing w:val="-2"/>
              </w:rPr>
              <w:t>„licytacją ujemną”</w:t>
            </w:r>
            <w:r w:rsidRPr="007B6825">
              <w:rPr>
                <w:rFonts w:ascii="Times New Roman" w:hAnsi="Times New Roman"/>
                <w:spacing w:val="-2"/>
              </w:rPr>
              <w:t>.</w:t>
            </w:r>
          </w:p>
          <w:p w14:paraId="74CE5FAE" w14:textId="77777777" w:rsidR="00AA19CB" w:rsidRPr="007B6825" w:rsidRDefault="00AA19CB" w:rsidP="008D7AE7">
            <w:pPr>
              <w:pStyle w:val="Akapitzlist"/>
              <w:numPr>
                <w:ilvl w:val="0"/>
                <w:numId w:val="81"/>
              </w:numPr>
              <w:spacing w:after="120"/>
              <w:contextualSpacing w:val="0"/>
              <w:rPr>
                <w:rFonts w:ascii="Times New Roman" w:hAnsi="Times New Roman"/>
                <w:spacing w:val="-2"/>
              </w:rPr>
            </w:pPr>
            <w:r w:rsidRPr="007B6825">
              <w:rPr>
                <w:rFonts w:ascii="Times New Roman" w:hAnsi="Times New Roman"/>
                <w:spacing w:val="-2"/>
              </w:rPr>
              <w:t>Aukcje bez „dynamicznej procedury przetargowej”</w:t>
            </w:r>
            <w:r>
              <w:rPr>
                <w:rFonts w:ascii="Times New Roman" w:hAnsi="Times New Roman"/>
                <w:spacing w:val="-2"/>
              </w:rPr>
              <w:t xml:space="preserve"> (4 lokalizacje, 1,8 GW)</w:t>
            </w:r>
          </w:p>
          <w:p w14:paraId="2C397F7D" w14:textId="77777777" w:rsidR="00AA19CB" w:rsidRPr="007B6825" w:rsidRDefault="00AA19CB" w:rsidP="008D7AE7">
            <w:pPr>
              <w:spacing w:after="120"/>
              <w:jc w:val="both"/>
              <w:rPr>
                <w:rFonts w:ascii="Times New Roman" w:hAnsi="Times New Roman"/>
                <w:spacing w:val="-2"/>
              </w:rPr>
            </w:pPr>
            <w:r w:rsidRPr="007B6825">
              <w:rPr>
                <w:rFonts w:ascii="Times New Roman" w:hAnsi="Times New Roman"/>
                <w:spacing w:val="-2"/>
              </w:rPr>
              <w:t>Lokalizacje zostały przyznane na aukcji w ramach innego projektu aukcyjnego, który obejmował cztery kryteria pozacenowe: ochronę środowiska, wkład w wykwalifikowaną siłę roboczą, ślad węglowy w produkcji turbin wiatrowych, istnienie umów PPA. Do tych lokalizacji nie miała zastosowania "dynamiczna procedura przetargowa".</w:t>
            </w:r>
            <w:r>
              <w:rPr>
                <w:rFonts w:ascii="Times New Roman" w:hAnsi="Times New Roman"/>
                <w:spacing w:val="-2"/>
              </w:rPr>
              <w:t xml:space="preserve"> </w:t>
            </w:r>
            <w:r w:rsidRPr="007B6825">
              <w:rPr>
                <w:rFonts w:ascii="Times New Roman" w:hAnsi="Times New Roman"/>
                <w:spacing w:val="-2"/>
              </w:rPr>
              <w:t>Oddanie do użytku morskich farm wiatrowych spodziewane jest w 2028 roku.</w:t>
            </w:r>
          </w:p>
          <w:p w14:paraId="34DC99D4" w14:textId="77777777" w:rsidR="00AA19CB" w:rsidRDefault="00AA19CB" w:rsidP="008D7AE7">
            <w:pPr>
              <w:spacing w:after="120"/>
              <w:jc w:val="both"/>
              <w:rPr>
                <w:rFonts w:ascii="Times New Roman" w:hAnsi="Times New Roman"/>
                <w:spacing w:val="-2"/>
              </w:rPr>
            </w:pPr>
            <w:r w:rsidRPr="007B6825">
              <w:rPr>
                <w:rFonts w:ascii="Times New Roman" w:hAnsi="Times New Roman"/>
                <w:spacing w:val="-2"/>
              </w:rPr>
              <w:t>Niemiecki regulator (Bundesnetzagentur) uznał, że 90% przychodów z przetargu zostanie przeznaczone na obniżenie cen energii, a pozostała część w proporcji 50/50 na ochronę mórz i zrównoważone rybołówstwo. Część przeznaczona na ochronę mórz musi zostać wpłacona do budżetu federalnego w ciągu jednego roku, podczas gdy 90% musi zostać wpłacone od 2028</w:t>
            </w:r>
            <w:r>
              <w:rPr>
                <w:rFonts w:ascii="Times New Roman" w:hAnsi="Times New Roman"/>
                <w:spacing w:val="-2"/>
              </w:rPr>
              <w:t> </w:t>
            </w:r>
            <w:r w:rsidRPr="007B6825">
              <w:rPr>
                <w:rFonts w:ascii="Times New Roman" w:hAnsi="Times New Roman"/>
                <w:spacing w:val="-2"/>
              </w:rPr>
              <w:t>r. przez okres 20 lat.</w:t>
            </w:r>
          </w:p>
          <w:p w14:paraId="01FAA5C5" w14:textId="70C8381E" w:rsidR="001152AF" w:rsidRDefault="001152AF" w:rsidP="001152AF">
            <w:pPr>
              <w:spacing w:after="120"/>
              <w:jc w:val="both"/>
              <w:rPr>
                <w:rFonts w:ascii="Times New Roman" w:hAnsi="Times New Roman"/>
                <w:spacing w:val="-2"/>
              </w:rPr>
            </w:pPr>
            <w:r>
              <w:rPr>
                <w:rFonts w:ascii="Times New Roman" w:hAnsi="Times New Roman"/>
                <w:spacing w:val="-2"/>
              </w:rPr>
              <w:t xml:space="preserve">W 2024 r. </w:t>
            </w:r>
            <w:r w:rsidRPr="001152AF">
              <w:rPr>
                <w:rFonts w:ascii="Times New Roman" w:hAnsi="Times New Roman"/>
                <w:spacing w:val="-2"/>
              </w:rPr>
              <w:t>Niemcy przyznały 2,5 GW na nowe projekty morskiej energetyki wiatrowej. Aukcje wykorzystywały licytację negatywną, w której deweloperzy farm wiatrowych licytowali kwotę, jaką są gotowi zapłacić za prawo do budowy farmy wiatrowej – a im wyższa cena, tym większe prawdopodobieństwo wygranej. Większość innych krajów w Europie stosuje aukcje kontraktów różnicowych (CfD), w których deweloperzy oferują kwotę przychodów, której potrzebują, a najniższa oferta wygrywa.</w:t>
            </w:r>
          </w:p>
          <w:p w14:paraId="1CC2019F" w14:textId="2147E757" w:rsidR="001152AF" w:rsidRPr="001152AF" w:rsidRDefault="001152AF" w:rsidP="001152AF">
            <w:pPr>
              <w:spacing w:after="120"/>
              <w:jc w:val="both"/>
              <w:rPr>
                <w:rFonts w:ascii="Times New Roman" w:hAnsi="Times New Roman"/>
                <w:spacing w:val="-2"/>
              </w:rPr>
            </w:pPr>
            <w:r w:rsidRPr="001152AF">
              <w:rPr>
                <w:rFonts w:ascii="Times New Roman" w:hAnsi="Times New Roman"/>
                <w:spacing w:val="-2"/>
              </w:rPr>
              <w:t xml:space="preserve">Jeśli </w:t>
            </w:r>
            <w:r>
              <w:rPr>
                <w:rFonts w:ascii="Times New Roman" w:hAnsi="Times New Roman"/>
                <w:spacing w:val="-2"/>
              </w:rPr>
              <w:t>inwestor wygra</w:t>
            </w:r>
            <w:r w:rsidRPr="001152AF">
              <w:rPr>
                <w:rFonts w:ascii="Times New Roman" w:hAnsi="Times New Roman"/>
                <w:spacing w:val="-2"/>
              </w:rPr>
              <w:t xml:space="preserve"> aukcję z ujemną stawką, </w:t>
            </w:r>
            <w:r>
              <w:rPr>
                <w:rFonts w:ascii="Times New Roman" w:hAnsi="Times New Roman"/>
                <w:spacing w:val="-2"/>
              </w:rPr>
              <w:t>jego</w:t>
            </w:r>
            <w:r w:rsidRPr="001152AF">
              <w:rPr>
                <w:rFonts w:ascii="Times New Roman" w:hAnsi="Times New Roman"/>
                <w:spacing w:val="-2"/>
              </w:rPr>
              <w:t xml:space="preserve"> przychód będzie równy hurtowej cenie rynkowej energii elektrycznej. Jeśli wygra aukcję CfD, </w:t>
            </w:r>
            <w:r>
              <w:rPr>
                <w:rFonts w:ascii="Times New Roman" w:hAnsi="Times New Roman"/>
                <w:spacing w:val="-2"/>
              </w:rPr>
              <w:t>jego</w:t>
            </w:r>
            <w:r w:rsidRPr="001152AF">
              <w:rPr>
                <w:rFonts w:ascii="Times New Roman" w:hAnsi="Times New Roman"/>
                <w:spacing w:val="-2"/>
              </w:rPr>
              <w:t xml:space="preserve"> przychód będzie równy ofercie złożonej na aukcji, a jeśli ceny rynkowe będą wyższe niż uzgodniona cena wykonania, zapłaci różnicę rządowi.</w:t>
            </w:r>
          </w:p>
          <w:p w14:paraId="753A9E60" w14:textId="320D1E3D" w:rsidR="001152AF" w:rsidRPr="007B6825" w:rsidRDefault="001152AF" w:rsidP="001152AF">
            <w:pPr>
              <w:spacing w:after="120"/>
              <w:jc w:val="both"/>
              <w:rPr>
                <w:rFonts w:ascii="Times New Roman" w:hAnsi="Times New Roman"/>
                <w:spacing w:val="-2"/>
              </w:rPr>
            </w:pPr>
            <w:r w:rsidRPr="001152AF">
              <w:rPr>
                <w:rFonts w:ascii="Times New Roman" w:hAnsi="Times New Roman"/>
                <w:spacing w:val="-2"/>
              </w:rPr>
              <w:lastRenderedPageBreak/>
              <w:t>Ujemne kwoty ofertowe są bezpośrednim dodatkiem do kosztów rozwoju morskiej farmy wiatrowej. Są to dodatkowe pieniądze, które deweloper musi zapłacić, a których nie płaci na aukcji CfD. Deweloperzy projektów muszą przenieść te koszty</w:t>
            </w:r>
            <w:r>
              <w:rPr>
                <w:rFonts w:ascii="Times New Roman" w:hAnsi="Times New Roman"/>
                <w:spacing w:val="-2"/>
              </w:rPr>
              <w:t xml:space="preserve"> a</w:t>
            </w:r>
            <w:r w:rsidRPr="001152AF">
              <w:rPr>
                <w:rFonts w:ascii="Times New Roman" w:hAnsi="Times New Roman"/>
                <w:spacing w:val="-2"/>
              </w:rPr>
              <w:t xml:space="preserve">lbo </w:t>
            </w:r>
            <w:r>
              <w:rPr>
                <w:rFonts w:ascii="Times New Roman" w:hAnsi="Times New Roman"/>
                <w:spacing w:val="-2"/>
              </w:rPr>
              <w:t xml:space="preserve">na </w:t>
            </w:r>
            <w:r w:rsidRPr="001152AF">
              <w:rPr>
                <w:rFonts w:ascii="Times New Roman" w:hAnsi="Times New Roman"/>
                <w:spacing w:val="-2"/>
              </w:rPr>
              <w:t>łańcuch dostaw</w:t>
            </w:r>
            <w:r>
              <w:rPr>
                <w:rFonts w:ascii="Times New Roman" w:hAnsi="Times New Roman"/>
                <w:spacing w:val="-2"/>
              </w:rPr>
              <w:t xml:space="preserve"> (</w:t>
            </w:r>
            <w:r w:rsidRPr="001152AF">
              <w:rPr>
                <w:rFonts w:ascii="Times New Roman" w:hAnsi="Times New Roman"/>
                <w:spacing w:val="-2"/>
              </w:rPr>
              <w:t>który wciąż podnosi się po zakłóceniach w dostawach i wzroście kosztów</w:t>
            </w:r>
            <w:r>
              <w:rPr>
                <w:rFonts w:ascii="Times New Roman" w:hAnsi="Times New Roman"/>
                <w:spacing w:val="-2"/>
              </w:rPr>
              <w:t xml:space="preserve">) </w:t>
            </w:r>
            <w:r w:rsidRPr="001152AF">
              <w:rPr>
                <w:rFonts w:ascii="Times New Roman" w:hAnsi="Times New Roman"/>
                <w:spacing w:val="-2"/>
              </w:rPr>
              <w:t xml:space="preserve">lub </w:t>
            </w:r>
            <w:r>
              <w:rPr>
                <w:rFonts w:ascii="Times New Roman" w:hAnsi="Times New Roman"/>
                <w:spacing w:val="-2"/>
              </w:rPr>
              <w:t xml:space="preserve">na </w:t>
            </w:r>
            <w:r w:rsidRPr="001152AF">
              <w:rPr>
                <w:rFonts w:ascii="Times New Roman" w:hAnsi="Times New Roman"/>
                <w:spacing w:val="-2"/>
              </w:rPr>
              <w:t>konsument</w:t>
            </w:r>
            <w:r>
              <w:rPr>
                <w:rFonts w:ascii="Times New Roman" w:hAnsi="Times New Roman"/>
                <w:spacing w:val="-2"/>
              </w:rPr>
              <w:t>ów</w:t>
            </w:r>
            <w:r w:rsidRPr="001152AF">
              <w:rPr>
                <w:rFonts w:ascii="Times New Roman" w:hAnsi="Times New Roman"/>
                <w:spacing w:val="-2"/>
              </w:rPr>
              <w:t xml:space="preserve"> energii elektrycznej w postaci wyższych cen energii.</w:t>
            </w:r>
          </w:p>
          <w:p w14:paraId="0E06356E" w14:textId="77777777" w:rsidR="00AA19CB" w:rsidRPr="005818E4" w:rsidRDefault="00AA19CB" w:rsidP="008D7AE7">
            <w:pPr>
              <w:spacing w:after="120"/>
              <w:rPr>
                <w:rFonts w:ascii="Times New Roman" w:hAnsi="Times New Roman"/>
                <w:color w:val="000000"/>
                <w:spacing w:val="-2"/>
              </w:rPr>
            </w:pPr>
            <w:r w:rsidRPr="005818E4">
              <w:rPr>
                <w:rFonts w:ascii="Times New Roman" w:hAnsi="Times New Roman"/>
                <w:b/>
                <w:bCs/>
                <w:color w:val="000000"/>
                <w:spacing w:val="-2"/>
              </w:rPr>
              <w:t>Holandia</w:t>
            </w:r>
          </w:p>
          <w:p w14:paraId="1F3C8784" w14:textId="77777777" w:rsidR="00AA19CB" w:rsidRPr="00381569" w:rsidRDefault="00AA19CB" w:rsidP="008D7AE7">
            <w:pPr>
              <w:spacing w:after="120"/>
              <w:jc w:val="both"/>
              <w:rPr>
                <w:rFonts w:ascii="Times New Roman" w:hAnsi="Times New Roman"/>
                <w:color w:val="000000"/>
                <w:spacing w:val="-2"/>
              </w:rPr>
            </w:pPr>
            <w:r>
              <w:rPr>
                <w:rFonts w:ascii="Times New Roman" w:hAnsi="Times New Roman"/>
                <w:color w:val="000000"/>
                <w:spacing w:val="-2"/>
              </w:rPr>
              <w:t xml:space="preserve">W 2024 r. </w:t>
            </w:r>
            <w:r w:rsidRPr="00381569">
              <w:rPr>
                <w:rFonts w:ascii="Times New Roman" w:hAnsi="Times New Roman"/>
                <w:color w:val="000000"/>
                <w:spacing w:val="-2"/>
              </w:rPr>
              <w:t xml:space="preserve">Holandia ogłosiła przetarg z zerowym subsydiowaniem na 4 GW mocy w morskiej energetyce wiatrowej na Morzu Północnym, przy czym w aukcji zastosowano znacznie wyższy wskaźnik </w:t>
            </w:r>
            <w:r>
              <w:rPr>
                <w:rFonts w:ascii="Times New Roman" w:hAnsi="Times New Roman"/>
                <w:color w:val="000000"/>
                <w:spacing w:val="-2"/>
              </w:rPr>
              <w:t>„licytacji ujemnych”</w:t>
            </w:r>
            <w:r w:rsidRPr="00381569">
              <w:rPr>
                <w:rFonts w:ascii="Times New Roman" w:hAnsi="Times New Roman"/>
                <w:color w:val="000000"/>
                <w:spacing w:val="-2"/>
              </w:rPr>
              <w:t xml:space="preserve"> niż w poprzednich rundach.</w:t>
            </w:r>
          </w:p>
          <w:p w14:paraId="7027A286" w14:textId="1869E3A9" w:rsidR="00AA19CB" w:rsidRPr="00381569" w:rsidRDefault="00AA19CB" w:rsidP="008D7AE7">
            <w:pPr>
              <w:spacing w:after="120"/>
              <w:jc w:val="both"/>
              <w:rPr>
                <w:rFonts w:ascii="Times New Roman" w:hAnsi="Times New Roman"/>
                <w:color w:val="000000"/>
                <w:spacing w:val="-2"/>
              </w:rPr>
            </w:pPr>
            <w:r>
              <w:rPr>
                <w:rFonts w:ascii="Times New Roman" w:hAnsi="Times New Roman"/>
                <w:color w:val="000000"/>
                <w:spacing w:val="-2"/>
              </w:rPr>
              <w:t>D</w:t>
            </w:r>
            <w:r w:rsidRPr="00381569">
              <w:rPr>
                <w:rFonts w:ascii="Times New Roman" w:hAnsi="Times New Roman"/>
                <w:color w:val="000000"/>
                <w:spacing w:val="-2"/>
              </w:rPr>
              <w:t xml:space="preserve">eweloperzy </w:t>
            </w:r>
            <w:r>
              <w:rPr>
                <w:rFonts w:ascii="Times New Roman" w:hAnsi="Times New Roman"/>
                <w:color w:val="000000"/>
                <w:spacing w:val="-2"/>
              </w:rPr>
              <w:t>mieli czas na złożenie</w:t>
            </w:r>
            <w:r w:rsidRPr="00381569">
              <w:rPr>
                <w:rFonts w:ascii="Times New Roman" w:hAnsi="Times New Roman"/>
                <w:color w:val="000000"/>
                <w:spacing w:val="-2"/>
              </w:rPr>
              <w:t xml:space="preserve"> ofert na dwa projekty o mocy 2 GW - IJmuiden Ver Alpha i Beta </w:t>
            </w:r>
            <w:r>
              <w:rPr>
                <w:rFonts w:ascii="Times New Roman" w:hAnsi="Times New Roman"/>
                <w:color w:val="000000"/>
                <w:spacing w:val="-2"/>
              </w:rPr>
              <w:t xml:space="preserve">do </w:t>
            </w:r>
            <w:r w:rsidRPr="00381569">
              <w:rPr>
                <w:rFonts w:ascii="Times New Roman" w:hAnsi="Times New Roman"/>
                <w:color w:val="000000"/>
                <w:spacing w:val="-2"/>
              </w:rPr>
              <w:t>28 marca</w:t>
            </w:r>
            <w:r>
              <w:rPr>
                <w:rFonts w:ascii="Times New Roman" w:hAnsi="Times New Roman"/>
                <w:color w:val="000000"/>
                <w:spacing w:val="-2"/>
              </w:rPr>
              <w:t xml:space="preserve"> 2024 r</w:t>
            </w:r>
            <w:r w:rsidRPr="00381569">
              <w:rPr>
                <w:rFonts w:ascii="Times New Roman" w:hAnsi="Times New Roman"/>
                <w:color w:val="000000"/>
                <w:spacing w:val="-2"/>
              </w:rPr>
              <w:t>.</w:t>
            </w:r>
            <w:r>
              <w:rPr>
                <w:rFonts w:ascii="Times New Roman" w:hAnsi="Times New Roman"/>
                <w:color w:val="000000"/>
                <w:spacing w:val="-2"/>
              </w:rPr>
              <w:t>, zaś 11 i 13 czerwca 2024 r. ogłoszono wyniki tych aukcji. Oferenci byli</w:t>
            </w:r>
            <w:r w:rsidRPr="00381569">
              <w:rPr>
                <w:rFonts w:ascii="Times New Roman" w:hAnsi="Times New Roman"/>
                <w:color w:val="000000"/>
                <w:spacing w:val="-2"/>
              </w:rPr>
              <w:t xml:space="preserve"> oceniani pod kątem pewności, że ukończą </w:t>
            </w:r>
            <w:r>
              <w:rPr>
                <w:rFonts w:ascii="Times New Roman" w:hAnsi="Times New Roman"/>
                <w:color w:val="000000"/>
                <w:spacing w:val="-2"/>
              </w:rPr>
              <w:t>budowę</w:t>
            </w:r>
            <w:r w:rsidRPr="00381569">
              <w:rPr>
                <w:rFonts w:ascii="Times New Roman" w:hAnsi="Times New Roman"/>
                <w:color w:val="000000"/>
                <w:spacing w:val="-2"/>
              </w:rPr>
              <w:t xml:space="preserve"> </w:t>
            </w:r>
            <w:r>
              <w:rPr>
                <w:rFonts w:ascii="Times New Roman" w:hAnsi="Times New Roman"/>
                <w:color w:val="000000"/>
                <w:spacing w:val="-2"/>
              </w:rPr>
              <w:t>morskiej farmy wiatrowej</w:t>
            </w:r>
            <w:r w:rsidRPr="00381569">
              <w:rPr>
                <w:rFonts w:ascii="Times New Roman" w:hAnsi="Times New Roman"/>
                <w:color w:val="000000"/>
                <w:spacing w:val="-2"/>
              </w:rPr>
              <w:t xml:space="preserve">. W przypadku projektu IJmuiden Ver Alpha, deweloperzy </w:t>
            </w:r>
            <w:r>
              <w:rPr>
                <w:rFonts w:ascii="Times New Roman" w:hAnsi="Times New Roman"/>
                <w:color w:val="000000"/>
                <w:spacing w:val="-2"/>
              </w:rPr>
              <w:t>byli</w:t>
            </w:r>
            <w:r w:rsidRPr="00381569">
              <w:rPr>
                <w:rFonts w:ascii="Times New Roman" w:hAnsi="Times New Roman"/>
                <w:color w:val="000000"/>
                <w:spacing w:val="-2"/>
              </w:rPr>
              <w:t xml:space="preserve"> również oceniani pod kątem zgodności farmy wiatrowej z zasadami obiegu zamkniętego, w tym jej wpływu na środowisko. W przypadku IJmuiden Ver Beta, </w:t>
            </w:r>
            <w:r>
              <w:rPr>
                <w:rFonts w:ascii="Times New Roman" w:hAnsi="Times New Roman"/>
                <w:color w:val="000000"/>
                <w:spacing w:val="-2"/>
              </w:rPr>
              <w:t>był brany pod uwagę także</w:t>
            </w:r>
            <w:r w:rsidRPr="00381569">
              <w:rPr>
                <w:rFonts w:ascii="Times New Roman" w:hAnsi="Times New Roman"/>
                <w:color w:val="000000"/>
                <w:spacing w:val="-2"/>
              </w:rPr>
              <w:t xml:space="preserve"> wkład farmy wiatrowej w</w:t>
            </w:r>
            <w:r>
              <w:rPr>
                <w:rFonts w:ascii="Times New Roman" w:hAnsi="Times New Roman"/>
                <w:color w:val="000000"/>
                <w:spacing w:val="-2"/>
              </w:rPr>
              <w:t> </w:t>
            </w:r>
            <w:r w:rsidRPr="00381569">
              <w:rPr>
                <w:rFonts w:ascii="Times New Roman" w:hAnsi="Times New Roman"/>
                <w:color w:val="000000"/>
                <w:spacing w:val="-2"/>
              </w:rPr>
              <w:t>integrację systemu.</w:t>
            </w:r>
            <w:r>
              <w:rPr>
                <w:rFonts w:ascii="Times New Roman" w:hAnsi="Times New Roman"/>
                <w:color w:val="000000"/>
                <w:spacing w:val="-2"/>
              </w:rPr>
              <w:t xml:space="preserve"> </w:t>
            </w:r>
            <w:r w:rsidRPr="00381569">
              <w:rPr>
                <w:rFonts w:ascii="Times New Roman" w:hAnsi="Times New Roman"/>
                <w:color w:val="000000"/>
                <w:spacing w:val="-2"/>
              </w:rPr>
              <w:t xml:space="preserve">Deweloperzy </w:t>
            </w:r>
            <w:r>
              <w:rPr>
                <w:rFonts w:ascii="Times New Roman" w:hAnsi="Times New Roman"/>
                <w:color w:val="000000"/>
                <w:spacing w:val="-2"/>
              </w:rPr>
              <w:t>byli</w:t>
            </w:r>
            <w:r w:rsidRPr="00381569">
              <w:rPr>
                <w:rFonts w:ascii="Times New Roman" w:hAnsi="Times New Roman"/>
                <w:color w:val="000000"/>
                <w:spacing w:val="-2"/>
              </w:rPr>
              <w:t xml:space="preserve"> również oceniani pod kątem ich gotowości do płacenia za prawo do korzystania z</w:t>
            </w:r>
            <w:r>
              <w:rPr>
                <w:rFonts w:ascii="Times New Roman" w:hAnsi="Times New Roman"/>
                <w:color w:val="000000"/>
                <w:spacing w:val="-2"/>
              </w:rPr>
              <w:t> </w:t>
            </w:r>
            <w:r w:rsidRPr="00381569">
              <w:rPr>
                <w:rFonts w:ascii="Times New Roman" w:hAnsi="Times New Roman"/>
                <w:color w:val="000000"/>
                <w:spacing w:val="-2"/>
              </w:rPr>
              <w:t xml:space="preserve">terenu </w:t>
            </w:r>
            <w:r>
              <w:rPr>
                <w:rFonts w:ascii="Times New Roman" w:hAnsi="Times New Roman"/>
                <w:color w:val="000000"/>
                <w:spacing w:val="-2"/>
              </w:rPr>
              <w:t>–</w:t>
            </w:r>
            <w:r w:rsidRPr="00381569">
              <w:rPr>
                <w:rFonts w:ascii="Times New Roman" w:hAnsi="Times New Roman"/>
                <w:color w:val="000000"/>
                <w:spacing w:val="-2"/>
              </w:rPr>
              <w:t xml:space="preserve"> </w:t>
            </w:r>
            <w:r>
              <w:rPr>
                <w:rFonts w:ascii="Times New Roman" w:hAnsi="Times New Roman"/>
                <w:color w:val="000000"/>
                <w:spacing w:val="-2"/>
              </w:rPr>
              <w:t>„licytacji ujemnych”</w:t>
            </w:r>
            <w:r w:rsidRPr="00381569">
              <w:rPr>
                <w:rFonts w:ascii="Times New Roman" w:hAnsi="Times New Roman"/>
                <w:color w:val="000000"/>
                <w:spacing w:val="-2"/>
              </w:rPr>
              <w:t xml:space="preserve"> </w:t>
            </w:r>
            <w:r>
              <w:rPr>
                <w:rFonts w:ascii="Times New Roman" w:hAnsi="Times New Roman"/>
                <w:color w:val="000000"/>
                <w:spacing w:val="-2"/>
              </w:rPr>
              <w:t xml:space="preserve">– </w:t>
            </w:r>
            <w:r w:rsidRPr="00381569">
              <w:rPr>
                <w:rFonts w:ascii="Times New Roman" w:hAnsi="Times New Roman"/>
                <w:color w:val="000000"/>
                <w:spacing w:val="-2"/>
              </w:rPr>
              <w:t>przy akceptacji rocznych opłat w</w:t>
            </w:r>
            <w:r w:rsidR="00347B23">
              <w:rPr>
                <w:rFonts w:ascii="Times New Roman" w:hAnsi="Times New Roman"/>
                <w:color w:val="000000"/>
                <w:spacing w:val="-2"/>
              </w:rPr>
              <w:t> </w:t>
            </w:r>
            <w:r w:rsidRPr="00381569">
              <w:rPr>
                <w:rFonts w:ascii="Times New Roman" w:hAnsi="Times New Roman"/>
                <w:color w:val="000000"/>
                <w:spacing w:val="-2"/>
              </w:rPr>
              <w:t xml:space="preserve">wysokości do 420 mln euro. </w:t>
            </w:r>
            <w:r w:rsidRPr="0099155F">
              <w:rPr>
                <w:rFonts w:ascii="Times New Roman" w:hAnsi="Times New Roman"/>
                <w:color w:val="000000"/>
                <w:spacing w:val="-2"/>
              </w:rPr>
              <w:t xml:space="preserve">Jednak ostateczna cena, jaką </w:t>
            </w:r>
            <w:r>
              <w:rPr>
                <w:rFonts w:ascii="Times New Roman" w:hAnsi="Times New Roman"/>
                <w:color w:val="000000"/>
                <w:spacing w:val="-2"/>
              </w:rPr>
              <w:t>zapłacą</w:t>
            </w:r>
            <w:r w:rsidRPr="0099155F">
              <w:rPr>
                <w:rFonts w:ascii="Times New Roman" w:hAnsi="Times New Roman"/>
                <w:color w:val="000000"/>
                <w:spacing w:val="-2"/>
              </w:rPr>
              <w:t xml:space="preserve"> zwycięscy oferenci, wynosi tylko 1 mln euro</w:t>
            </w:r>
            <w:r>
              <w:rPr>
                <w:rFonts w:ascii="Times New Roman" w:hAnsi="Times New Roman"/>
                <w:color w:val="000000"/>
                <w:spacing w:val="-2"/>
              </w:rPr>
              <w:t xml:space="preserve"> za rok przez 40 lat dla</w:t>
            </w:r>
            <w:r w:rsidRPr="0099155F">
              <w:rPr>
                <w:rFonts w:ascii="Times New Roman" w:hAnsi="Times New Roman"/>
                <w:color w:val="000000"/>
                <w:spacing w:val="-2"/>
              </w:rPr>
              <w:t xml:space="preserve"> IJmuiden Ver Alpha (tj. 20 mln euro za GW) i 20 mln euro za rok przez 40 lat dla Beta (tj. 400 mln euro za GW). </w:t>
            </w:r>
            <w:r w:rsidRPr="00381569">
              <w:rPr>
                <w:rFonts w:ascii="Times New Roman" w:hAnsi="Times New Roman"/>
                <w:color w:val="000000"/>
                <w:spacing w:val="-2"/>
              </w:rPr>
              <w:t>W poprzednich rundach maksymalna opłata wynosiła 50 mln euro w całym okresie trwania projektu.</w:t>
            </w:r>
            <w:r>
              <w:rPr>
                <w:rFonts w:ascii="Times New Roman" w:hAnsi="Times New Roman"/>
                <w:color w:val="000000"/>
                <w:spacing w:val="-2"/>
              </w:rPr>
              <w:t xml:space="preserve"> P</w:t>
            </w:r>
            <w:r w:rsidRPr="00381569">
              <w:rPr>
                <w:rFonts w:ascii="Times New Roman" w:hAnsi="Times New Roman"/>
                <w:color w:val="000000"/>
                <w:spacing w:val="-2"/>
              </w:rPr>
              <w:t>rojekty IJmuiden Ver mają zostać oddane do użytku w 2029 roku.</w:t>
            </w:r>
          </w:p>
          <w:p w14:paraId="3B92EB23" w14:textId="77777777" w:rsidR="00AA19CB" w:rsidRDefault="00AA19CB" w:rsidP="008D7AE7">
            <w:pPr>
              <w:spacing w:after="120"/>
              <w:jc w:val="both"/>
              <w:rPr>
                <w:rFonts w:ascii="Times New Roman" w:hAnsi="Times New Roman"/>
                <w:b/>
                <w:bCs/>
                <w:color w:val="000000"/>
                <w:spacing w:val="-2"/>
              </w:rPr>
            </w:pPr>
            <w:r w:rsidRPr="005818E4">
              <w:rPr>
                <w:rFonts w:ascii="Times New Roman" w:hAnsi="Times New Roman"/>
                <w:b/>
                <w:bCs/>
                <w:color w:val="000000"/>
                <w:spacing w:val="-2"/>
              </w:rPr>
              <w:t>Wielka Brytania</w:t>
            </w:r>
          </w:p>
          <w:p w14:paraId="0E536C51" w14:textId="77777777" w:rsidR="00AA19CB" w:rsidRPr="005818E4" w:rsidRDefault="00AA19CB" w:rsidP="008D7AE7">
            <w:pPr>
              <w:spacing w:after="120"/>
              <w:jc w:val="both"/>
              <w:rPr>
                <w:rFonts w:ascii="Times New Roman" w:hAnsi="Times New Roman"/>
                <w:color w:val="000000"/>
                <w:spacing w:val="-2"/>
              </w:rPr>
            </w:pPr>
            <w:r w:rsidRPr="005818E4">
              <w:rPr>
                <w:rFonts w:ascii="Times New Roman" w:hAnsi="Times New Roman"/>
                <w:color w:val="000000"/>
                <w:spacing w:val="-2"/>
              </w:rPr>
              <w:t>W Wielkiej Brytanii koszt przyłączenia farmy wiatrowej do sieci elektroenergetycznej leży po stronie inwestora, który następnie odsprzedaje gotowe przyłącze do tzw. OFTO (Offshore Transmission Owner)</w:t>
            </w:r>
            <w:r>
              <w:rPr>
                <w:rFonts w:ascii="Times New Roman" w:hAnsi="Times New Roman"/>
                <w:color w:val="000000"/>
                <w:spacing w:val="-2"/>
              </w:rPr>
              <w:t xml:space="preserve">. </w:t>
            </w:r>
            <w:r w:rsidRPr="00A54A22">
              <w:rPr>
                <w:rFonts w:ascii="Times New Roman" w:hAnsi="Times New Roman"/>
                <w:color w:val="000000"/>
                <w:spacing w:val="-2"/>
              </w:rPr>
              <w:t>W Wielkiej Brytanii wszyscy zwycięzcy aukcji na realizację projektów, które zakończą się w tym samym roku, otrzymują wsparcie w postaci kontraktu różnicowego w takiej samej wysokości, którą wyznacza najwyższa wygrana oferta.</w:t>
            </w:r>
          </w:p>
          <w:p w14:paraId="316F27A8" w14:textId="77777777" w:rsidR="00AA19CB" w:rsidRDefault="00AA19CB" w:rsidP="008D7AE7">
            <w:pPr>
              <w:spacing w:after="120"/>
              <w:jc w:val="both"/>
              <w:rPr>
                <w:rFonts w:ascii="Times New Roman" w:hAnsi="Times New Roman"/>
                <w:color w:val="000000"/>
                <w:spacing w:val="-2"/>
              </w:rPr>
            </w:pPr>
            <w:r w:rsidRPr="00C852A4">
              <w:rPr>
                <w:rFonts w:ascii="Times New Roman" w:hAnsi="Times New Roman"/>
                <w:color w:val="000000"/>
                <w:spacing w:val="-2"/>
              </w:rPr>
              <w:t xml:space="preserve">W </w:t>
            </w:r>
            <w:r>
              <w:rPr>
                <w:rFonts w:ascii="Times New Roman" w:hAnsi="Times New Roman"/>
                <w:color w:val="000000"/>
                <w:spacing w:val="-2"/>
              </w:rPr>
              <w:t>2023 r.</w:t>
            </w:r>
            <w:r w:rsidRPr="00C852A4">
              <w:rPr>
                <w:rFonts w:ascii="Times New Roman" w:hAnsi="Times New Roman"/>
                <w:color w:val="000000"/>
                <w:spacing w:val="-2"/>
              </w:rPr>
              <w:t xml:space="preserve"> opublikowan</w:t>
            </w:r>
            <w:r>
              <w:rPr>
                <w:rFonts w:ascii="Times New Roman" w:hAnsi="Times New Roman"/>
                <w:color w:val="000000"/>
                <w:spacing w:val="-2"/>
              </w:rPr>
              <w:t xml:space="preserve">o </w:t>
            </w:r>
            <w:r w:rsidRPr="00C852A4">
              <w:rPr>
                <w:rFonts w:ascii="Times New Roman" w:hAnsi="Times New Roman"/>
                <w:color w:val="000000"/>
                <w:spacing w:val="-2"/>
              </w:rPr>
              <w:t xml:space="preserve">wyniki piątej </w:t>
            </w:r>
            <w:r>
              <w:rPr>
                <w:rFonts w:ascii="Times New Roman" w:hAnsi="Times New Roman"/>
                <w:color w:val="000000"/>
                <w:spacing w:val="-2"/>
              </w:rPr>
              <w:t xml:space="preserve">rundy </w:t>
            </w:r>
            <w:r w:rsidRPr="00C852A4">
              <w:rPr>
                <w:rFonts w:ascii="Times New Roman" w:hAnsi="Times New Roman"/>
                <w:color w:val="000000"/>
                <w:spacing w:val="-2"/>
              </w:rPr>
              <w:t>aukcji dla projektów OZE, w której najwięcej wsparcia przewidziano dla morskiej energetyki wiatrowej (7 GW). Aukcja zakończyła się jednak fiaskiem, ponieważ do aukcji nie przystąpił ani jeden deweloper.</w:t>
            </w:r>
            <w:r>
              <w:rPr>
                <w:rFonts w:ascii="Times New Roman" w:hAnsi="Times New Roman"/>
                <w:color w:val="000000"/>
                <w:spacing w:val="-2"/>
              </w:rPr>
              <w:t xml:space="preserve"> </w:t>
            </w:r>
            <w:r w:rsidRPr="00C852A4">
              <w:rPr>
                <w:rFonts w:ascii="Times New Roman" w:hAnsi="Times New Roman"/>
                <w:color w:val="000000"/>
                <w:spacing w:val="-2"/>
              </w:rPr>
              <w:t xml:space="preserve">Inwestorów zniechęciła zbyt niska proponowana cena energii wytwarzanej przez morskie farmy wiatrowe, ustalona na poziomie maksymalnym 44 funty/MWh (około 236 zł/MWh). </w:t>
            </w:r>
          </w:p>
          <w:p w14:paraId="105135C5" w14:textId="047BE4D9" w:rsidR="00AA19CB" w:rsidRDefault="00AA19CB" w:rsidP="008D7AE7">
            <w:pPr>
              <w:spacing w:after="120"/>
              <w:jc w:val="both"/>
              <w:rPr>
                <w:rFonts w:ascii="Times New Roman" w:hAnsi="Times New Roman"/>
                <w:color w:val="000000"/>
                <w:spacing w:val="-2"/>
              </w:rPr>
            </w:pPr>
            <w:r>
              <w:rPr>
                <w:rFonts w:ascii="Times New Roman" w:hAnsi="Times New Roman"/>
                <w:color w:val="000000"/>
                <w:spacing w:val="-2"/>
              </w:rPr>
              <w:t>27 marca</w:t>
            </w:r>
            <w:r w:rsidRPr="0099155F">
              <w:rPr>
                <w:rFonts w:ascii="Times New Roman" w:hAnsi="Times New Roman"/>
                <w:color w:val="000000"/>
                <w:spacing w:val="-2"/>
              </w:rPr>
              <w:t xml:space="preserve"> 2024 r</w:t>
            </w:r>
            <w:r>
              <w:rPr>
                <w:rFonts w:ascii="Times New Roman" w:hAnsi="Times New Roman"/>
                <w:color w:val="000000"/>
                <w:spacing w:val="-2"/>
              </w:rPr>
              <w:t>.</w:t>
            </w:r>
            <w:r w:rsidRPr="0099155F">
              <w:rPr>
                <w:rFonts w:ascii="Times New Roman" w:hAnsi="Times New Roman"/>
                <w:color w:val="000000"/>
                <w:spacing w:val="-2"/>
              </w:rPr>
              <w:t xml:space="preserve"> </w:t>
            </w:r>
            <w:r>
              <w:rPr>
                <w:rFonts w:ascii="Times New Roman" w:hAnsi="Times New Roman"/>
                <w:color w:val="000000"/>
                <w:spacing w:val="-2"/>
              </w:rPr>
              <w:t>rozpoczęła się s</w:t>
            </w:r>
            <w:r w:rsidRPr="0099155F">
              <w:rPr>
                <w:rFonts w:ascii="Times New Roman" w:hAnsi="Times New Roman"/>
                <w:color w:val="000000"/>
                <w:spacing w:val="-2"/>
              </w:rPr>
              <w:t>zósta runda</w:t>
            </w:r>
            <w:r>
              <w:rPr>
                <w:rFonts w:ascii="Times New Roman" w:hAnsi="Times New Roman"/>
                <w:color w:val="000000"/>
                <w:spacing w:val="-2"/>
              </w:rPr>
              <w:t xml:space="preserve"> alokacji</w:t>
            </w:r>
            <w:r w:rsidRPr="0099155F">
              <w:rPr>
                <w:rFonts w:ascii="Times New Roman" w:hAnsi="Times New Roman"/>
                <w:color w:val="000000"/>
                <w:spacing w:val="-2"/>
              </w:rPr>
              <w:t>.</w:t>
            </w:r>
            <w:r>
              <w:rPr>
                <w:rFonts w:ascii="Times New Roman" w:hAnsi="Times New Roman"/>
                <w:color w:val="000000"/>
                <w:spacing w:val="-2"/>
              </w:rPr>
              <w:t xml:space="preserve"> Cena maksymalna dla morskiej energetyki wiatrowej została ustalona na poziomie 73 funtów/MWh.</w:t>
            </w:r>
            <w:r w:rsidR="001152AF">
              <w:t xml:space="preserve"> </w:t>
            </w:r>
            <w:r w:rsidR="001152AF">
              <w:rPr>
                <w:rFonts w:ascii="Times New Roman" w:hAnsi="Times New Roman"/>
                <w:color w:val="000000"/>
                <w:spacing w:val="-2"/>
              </w:rPr>
              <w:t>T</w:t>
            </w:r>
            <w:r w:rsidR="001152AF" w:rsidRPr="001152AF">
              <w:rPr>
                <w:rFonts w:ascii="Times New Roman" w:hAnsi="Times New Roman"/>
                <w:color w:val="000000"/>
                <w:spacing w:val="-2"/>
              </w:rPr>
              <w:t>ym razem nastąpiło wyraźne odbicie po porażce poprzedniej aukcji dla offshore, w której żaden deweloper nie złożył oferty. Teraz kontrakty różnicowe (CfD) zostały zabezpieczone dla morskich projektów wiatrowych o łącznej mocy 5,3 GW.</w:t>
            </w:r>
          </w:p>
          <w:p w14:paraId="4AB1F5E3" w14:textId="78219E9D" w:rsidR="001152AF" w:rsidRDefault="001152AF" w:rsidP="008D7AE7">
            <w:pPr>
              <w:spacing w:after="120"/>
              <w:jc w:val="both"/>
              <w:rPr>
                <w:rFonts w:ascii="Times New Roman" w:hAnsi="Times New Roman"/>
                <w:color w:val="000000"/>
                <w:spacing w:val="-2"/>
              </w:rPr>
            </w:pPr>
            <w:r w:rsidRPr="001152AF">
              <w:rPr>
                <w:rFonts w:ascii="Times New Roman" w:hAnsi="Times New Roman"/>
                <w:color w:val="000000"/>
                <w:spacing w:val="-2"/>
              </w:rPr>
              <w:t>W szóstej brytyjskiej aukcji duński Orsted, który buduje największą morską farmę wiatrową na świecie w ramach projektu Hornsea, otrzymał wsparcie dla dwóch kolejnych etapów tej inwestycji. Kontrakty różnicowe obejmą energię produkowaną z części farmy wiatrowej Hornsea 3 (wolumen 1080 MW) oraz Hornsea 4 (2400 MW).</w:t>
            </w:r>
            <w:r>
              <w:t xml:space="preserve"> </w:t>
            </w:r>
            <w:r w:rsidRPr="001152AF">
              <w:rPr>
                <w:rFonts w:ascii="Times New Roman" w:hAnsi="Times New Roman"/>
                <w:color w:val="000000"/>
                <w:spacing w:val="-2"/>
              </w:rPr>
              <w:t>Kontrakty CfD dla Orsted zostały przyznane po cenach indeksowanych inflacją – w wysokości 54,23 funtów brytyjskich za MWh (około 275 zł/MWh) dla zakontraktowanego udziału w Hornsea 3 oraz 58,87 funtów/MWh (około 298 zł/MWh) dla Hornsea 4.</w:t>
            </w:r>
          </w:p>
          <w:p w14:paraId="66F4CB90" w14:textId="5ED2D18E" w:rsidR="001152AF" w:rsidRDefault="001152AF" w:rsidP="008D7AE7">
            <w:pPr>
              <w:spacing w:after="120"/>
              <w:jc w:val="both"/>
              <w:rPr>
                <w:rFonts w:ascii="Times New Roman" w:hAnsi="Times New Roman"/>
                <w:color w:val="000000"/>
                <w:spacing w:val="-2"/>
              </w:rPr>
            </w:pPr>
            <w:r>
              <w:rPr>
                <w:rFonts w:ascii="Times New Roman" w:hAnsi="Times New Roman"/>
                <w:color w:val="000000"/>
                <w:spacing w:val="-2"/>
              </w:rPr>
              <w:t>D</w:t>
            </w:r>
            <w:r w:rsidRPr="001152AF">
              <w:rPr>
                <w:rFonts w:ascii="Times New Roman" w:hAnsi="Times New Roman"/>
                <w:color w:val="000000"/>
                <w:spacing w:val="-2"/>
              </w:rPr>
              <w:t>wustronne kontrakty różnicowe będą obowiązywać przez 15 lat począwszy od uruchomienia farmy. Cena jest indeksowana inflacją do czasu rozpoczęcia i przez cały okres obowiązywania kontraktu CfD.</w:t>
            </w:r>
            <w:r>
              <w:t xml:space="preserve"> </w:t>
            </w:r>
            <w:r w:rsidRPr="001152AF">
              <w:rPr>
                <w:rFonts w:ascii="Times New Roman" w:hAnsi="Times New Roman"/>
                <w:color w:val="000000"/>
                <w:spacing w:val="-2"/>
              </w:rPr>
              <w:t>Orsted buduje farmy wiatrowe Hornsea 3 i</w:t>
            </w:r>
            <w:r w:rsidR="00347B23">
              <w:rPr>
                <w:rFonts w:ascii="Times New Roman" w:hAnsi="Times New Roman"/>
                <w:color w:val="000000"/>
                <w:spacing w:val="-2"/>
              </w:rPr>
              <w:t> </w:t>
            </w:r>
            <w:r w:rsidRPr="001152AF">
              <w:rPr>
                <w:rFonts w:ascii="Times New Roman" w:hAnsi="Times New Roman"/>
                <w:color w:val="000000"/>
                <w:spacing w:val="-2"/>
              </w:rPr>
              <w:t>Hornsea 4 wraz z infrastrukturą przesyłową (podstacje morskie i lądowe oraz kable eksportowe). Gdy farmy wiatrowe zostaną w pełni oddane do użytku, Orsted zgodnie z brytyjskimi przepisami sprzeda aktywa przesyłowe nowemu właścicielowi.</w:t>
            </w:r>
          </w:p>
          <w:p w14:paraId="168882F6" w14:textId="77777777" w:rsidR="00AA19CB" w:rsidRDefault="00AA19CB" w:rsidP="008D7AE7">
            <w:pPr>
              <w:spacing w:after="120"/>
              <w:jc w:val="both"/>
              <w:rPr>
                <w:rFonts w:ascii="Times New Roman" w:hAnsi="Times New Roman"/>
                <w:b/>
                <w:bCs/>
                <w:color w:val="000000"/>
                <w:spacing w:val="-2"/>
              </w:rPr>
            </w:pPr>
            <w:r>
              <w:rPr>
                <w:rFonts w:ascii="Times New Roman" w:hAnsi="Times New Roman"/>
                <w:b/>
                <w:bCs/>
                <w:color w:val="000000"/>
                <w:spacing w:val="-2"/>
              </w:rPr>
              <w:t>Litwa</w:t>
            </w:r>
          </w:p>
          <w:p w14:paraId="0E14DA48" w14:textId="77777777" w:rsidR="00AA19CB" w:rsidRDefault="00AA19CB" w:rsidP="008D7AE7">
            <w:pPr>
              <w:spacing w:after="120"/>
              <w:jc w:val="both"/>
              <w:rPr>
                <w:rFonts w:ascii="Times New Roman" w:hAnsi="Times New Roman"/>
                <w:color w:val="000000"/>
                <w:spacing w:val="-2"/>
              </w:rPr>
            </w:pPr>
            <w:r w:rsidRPr="00895D59">
              <w:rPr>
                <w:rFonts w:ascii="Times New Roman" w:hAnsi="Times New Roman"/>
                <w:color w:val="000000"/>
                <w:spacing w:val="-2"/>
              </w:rPr>
              <w:t>Litwa planuje budowę dwóch morskich farm wiatrowych o mocy około 1,4 GW</w:t>
            </w:r>
            <w:r>
              <w:rPr>
                <w:rFonts w:ascii="Times New Roman" w:hAnsi="Times New Roman"/>
                <w:color w:val="000000"/>
                <w:spacing w:val="-2"/>
              </w:rPr>
              <w:t xml:space="preserve"> (po 700 MW),</w:t>
            </w:r>
            <w:r w:rsidRPr="00895D59">
              <w:rPr>
                <w:rFonts w:ascii="Times New Roman" w:hAnsi="Times New Roman"/>
                <w:color w:val="000000"/>
                <w:spacing w:val="-2"/>
              </w:rPr>
              <w:t xml:space="preserve"> które mają zostać uruchomione w wyłącznej strefie ekonomicznej na Morzu Bałtyckim w pobliżu Połągi</w:t>
            </w:r>
            <w:r>
              <w:rPr>
                <w:rFonts w:ascii="Times New Roman" w:hAnsi="Times New Roman"/>
                <w:color w:val="000000"/>
                <w:spacing w:val="-2"/>
              </w:rPr>
              <w:t>.</w:t>
            </w:r>
          </w:p>
          <w:p w14:paraId="5106B780" w14:textId="77777777" w:rsidR="00AA19CB" w:rsidRPr="00895D59" w:rsidRDefault="00AA19CB" w:rsidP="008D7AE7">
            <w:pPr>
              <w:spacing w:after="120"/>
              <w:jc w:val="both"/>
              <w:rPr>
                <w:rFonts w:ascii="Times New Roman" w:hAnsi="Times New Roman"/>
                <w:color w:val="000000"/>
                <w:spacing w:val="-2"/>
              </w:rPr>
            </w:pPr>
            <w:r>
              <w:rPr>
                <w:rFonts w:ascii="Times New Roman" w:hAnsi="Times New Roman"/>
                <w:color w:val="000000"/>
                <w:spacing w:val="-2"/>
              </w:rPr>
              <w:t>W</w:t>
            </w:r>
            <w:r w:rsidRPr="00895D59">
              <w:rPr>
                <w:rFonts w:ascii="Times New Roman" w:hAnsi="Times New Roman"/>
                <w:color w:val="000000"/>
                <w:spacing w:val="-2"/>
              </w:rPr>
              <w:t xml:space="preserve"> pierwszej aukcji przeprowadzonej </w:t>
            </w:r>
            <w:r>
              <w:rPr>
                <w:rFonts w:ascii="Times New Roman" w:hAnsi="Times New Roman"/>
                <w:color w:val="000000"/>
                <w:spacing w:val="-2"/>
              </w:rPr>
              <w:t>2023 r.</w:t>
            </w:r>
            <w:r w:rsidRPr="00895D59">
              <w:rPr>
                <w:rFonts w:ascii="Times New Roman" w:hAnsi="Times New Roman"/>
                <w:color w:val="000000"/>
                <w:spacing w:val="-2"/>
              </w:rPr>
              <w:t xml:space="preserve"> </w:t>
            </w:r>
            <w:r>
              <w:rPr>
                <w:rFonts w:ascii="Times New Roman" w:hAnsi="Times New Roman"/>
                <w:color w:val="000000"/>
                <w:spacing w:val="-2"/>
              </w:rPr>
              <w:t>zwycięzca aukcji jest zobowiązany do zapłaty</w:t>
            </w:r>
            <w:r w:rsidRPr="00895D59">
              <w:rPr>
                <w:rFonts w:ascii="Times New Roman" w:hAnsi="Times New Roman"/>
                <w:color w:val="000000"/>
                <w:spacing w:val="-2"/>
              </w:rPr>
              <w:t xml:space="preserve"> 20 mln euro za możliwość rozw</w:t>
            </w:r>
            <w:r>
              <w:rPr>
                <w:rFonts w:ascii="Times New Roman" w:hAnsi="Times New Roman"/>
                <w:color w:val="000000"/>
                <w:spacing w:val="-2"/>
              </w:rPr>
              <w:t>oju</w:t>
            </w:r>
            <w:r w:rsidRPr="00895D59">
              <w:rPr>
                <w:rFonts w:ascii="Times New Roman" w:hAnsi="Times New Roman"/>
                <w:color w:val="000000"/>
                <w:spacing w:val="-2"/>
              </w:rPr>
              <w:t xml:space="preserve"> projektu. </w:t>
            </w:r>
            <w:r>
              <w:rPr>
                <w:rFonts w:ascii="Times New Roman" w:hAnsi="Times New Roman"/>
                <w:color w:val="000000"/>
                <w:spacing w:val="-2"/>
              </w:rPr>
              <w:t>Inwestor</w:t>
            </w:r>
            <w:r w:rsidRPr="00895D59">
              <w:rPr>
                <w:rFonts w:ascii="Times New Roman" w:hAnsi="Times New Roman"/>
                <w:color w:val="000000"/>
                <w:spacing w:val="-2"/>
              </w:rPr>
              <w:t xml:space="preserve"> otrzymał pozwolenie na eksploatację elektrowni wiatrowej przez 41 lat, która ma powstać ok. 2030 r. </w:t>
            </w:r>
            <w:r>
              <w:rPr>
                <w:rFonts w:ascii="Times New Roman" w:hAnsi="Times New Roman"/>
                <w:color w:val="000000"/>
                <w:spacing w:val="-2"/>
              </w:rPr>
              <w:t>W</w:t>
            </w:r>
            <w:r w:rsidRPr="00895D59">
              <w:rPr>
                <w:rFonts w:ascii="Times New Roman" w:hAnsi="Times New Roman"/>
                <w:color w:val="000000"/>
                <w:spacing w:val="-2"/>
              </w:rPr>
              <w:t xml:space="preserve"> ramach drugiej aukcji zastosowan</w:t>
            </w:r>
            <w:r>
              <w:rPr>
                <w:rFonts w:ascii="Times New Roman" w:hAnsi="Times New Roman"/>
                <w:color w:val="000000"/>
                <w:spacing w:val="-2"/>
              </w:rPr>
              <w:t>o</w:t>
            </w:r>
            <w:r w:rsidRPr="00895D59">
              <w:rPr>
                <w:rFonts w:ascii="Times New Roman" w:hAnsi="Times New Roman"/>
                <w:color w:val="000000"/>
                <w:spacing w:val="-2"/>
              </w:rPr>
              <w:t xml:space="preserve"> model CfD (kontrakt różnicowy)</w:t>
            </w:r>
            <w:r>
              <w:rPr>
                <w:rFonts w:ascii="Times New Roman" w:hAnsi="Times New Roman"/>
                <w:color w:val="000000"/>
                <w:spacing w:val="-2"/>
              </w:rPr>
              <w:t xml:space="preserve">, gdzie wytwórcy </w:t>
            </w:r>
            <w:r w:rsidRPr="00895D59">
              <w:rPr>
                <w:rFonts w:ascii="Times New Roman" w:hAnsi="Times New Roman"/>
                <w:color w:val="000000"/>
                <w:spacing w:val="-2"/>
              </w:rPr>
              <w:t>mogli składać oferty w</w:t>
            </w:r>
            <w:r>
              <w:rPr>
                <w:rFonts w:ascii="Times New Roman" w:hAnsi="Times New Roman"/>
                <w:color w:val="000000"/>
                <w:spacing w:val="-2"/>
              </w:rPr>
              <w:t> </w:t>
            </w:r>
            <w:r w:rsidRPr="00895D59">
              <w:rPr>
                <w:rFonts w:ascii="Times New Roman" w:hAnsi="Times New Roman"/>
                <w:color w:val="000000"/>
                <w:spacing w:val="-2"/>
              </w:rPr>
              <w:t>przedziale od 64,31 euro/MWh do 107,18 euro/MWh.</w:t>
            </w:r>
            <w:r>
              <w:t xml:space="preserve"> </w:t>
            </w:r>
            <w:r w:rsidRPr="002D61E7">
              <w:rPr>
                <w:rFonts w:ascii="Times New Roman" w:hAnsi="Times New Roman"/>
                <w:color w:val="000000"/>
                <w:spacing w:val="-2"/>
              </w:rPr>
              <w:t xml:space="preserve">Litewska Krajowa Rada Regulacji Energetyki (VERT) przygotowała </w:t>
            </w:r>
            <w:r>
              <w:rPr>
                <w:rFonts w:ascii="Times New Roman" w:hAnsi="Times New Roman"/>
                <w:color w:val="000000"/>
                <w:spacing w:val="-2"/>
              </w:rPr>
              <w:lastRenderedPageBreak/>
              <w:t>aukcję, która zakończyła się</w:t>
            </w:r>
            <w:r w:rsidRPr="002D61E7">
              <w:rPr>
                <w:rFonts w:ascii="Times New Roman" w:hAnsi="Times New Roman"/>
                <w:color w:val="000000"/>
                <w:spacing w:val="-2"/>
              </w:rPr>
              <w:t xml:space="preserve"> 14 kwietnia</w:t>
            </w:r>
            <w:r>
              <w:rPr>
                <w:rFonts w:ascii="Times New Roman" w:hAnsi="Times New Roman"/>
                <w:color w:val="000000"/>
                <w:spacing w:val="-2"/>
              </w:rPr>
              <w:t xml:space="preserve"> 2024 r</w:t>
            </w:r>
            <w:r w:rsidRPr="002D61E7">
              <w:rPr>
                <w:rFonts w:ascii="Times New Roman" w:hAnsi="Times New Roman"/>
                <w:color w:val="000000"/>
                <w:spacing w:val="-2"/>
              </w:rPr>
              <w:t xml:space="preserve">. </w:t>
            </w:r>
            <w:r>
              <w:rPr>
                <w:rFonts w:ascii="Times New Roman" w:hAnsi="Times New Roman"/>
                <w:color w:val="000000"/>
                <w:spacing w:val="-2"/>
              </w:rPr>
              <w:t>Do przeprowadzenia aukcji wymagano</w:t>
            </w:r>
            <w:r w:rsidRPr="002D61E7">
              <w:rPr>
                <w:rFonts w:ascii="Times New Roman" w:hAnsi="Times New Roman"/>
                <w:color w:val="000000"/>
                <w:spacing w:val="-2"/>
              </w:rPr>
              <w:t xml:space="preserve"> udziału co najmniej dwóch </w:t>
            </w:r>
            <w:r>
              <w:rPr>
                <w:rFonts w:ascii="Times New Roman" w:hAnsi="Times New Roman"/>
                <w:color w:val="000000"/>
                <w:spacing w:val="-2"/>
              </w:rPr>
              <w:t>ofert</w:t>
            </w:r>
            <w:r w:rsidRPr="002D61E7">
              <w:rPr>
                <w:rFonts w:ascii="Times New Roman" w:hAnsi="Times New Roman"/>
                <w:color w:val="000000"/>
                <w:spacing w:val="-2"/>
              </w:rPr>
              <w:t xml:space="preserve">. </w:t>
            </w:r>
            <w:r>
              <w:rPr>
                <w:rFonts w:ascii="Times New Roman" w:hAnsi="Times New Roman"/>
                <w:color w:val="000000"/>
                <w:spacing w:val="-2"/>
              </w:rPr>
              <w:t>Niestety wpłynęła jedynie jedna oferta, zatem aukcja została nierozstrzygnięta.</w:t>
            </w:r>
          </w:p>
          <w:p w14:paraId="51B37F89" w14:textId="4BB17650" w:rsidR="00DB084E" w:rsidRDefault="00AA19CB" w:rsidP="008D7AE7">
            <w:pPr>
              <w:spacing w:after="120"/>
              <w:jc w:val="both"/>
              <w:rPr>
                <w:rFonts w:ascii="Times New Roman" w:hAnsi="Times New Roman"/>
                <w:color w:val="000000"/>
                <w:spacing w:val="-2"/>
              </w:rPr>
            </w:pPr>
            <w:r>
              <w:rPr>
                <w:rFonts w:ascii="Times New Roman" w:hAnsi="Times New Roman"/>
                <w:color w:val="000000"/>
                <w:spacing w:val="-2"/>
              </w:rPr>
              <w:t>Reasumując</w:t>
            </w:r>
            <w:r w:rsidR="001152AF">
              <w:rPr>
                <w:rFonts w:ascii="Times New Roman" w:hAnsi="Times New Roman"/>
                <w:color w:val="000000"/>
                <w:spacing w:val="-2"/>
              </w:rPr>
              <w:t xml:space="preserve"> sposób prowadzenia aukcji </w:t>
            </w:r>
            <w:r w:rsidR="00497E0F">
              <w:rPr>
                <w:rFonts w:ascii="Times New Roman" w:hAnsi="Times New Roman"/>
                <w:color w:val="000000"/>
                <w:spacing w:val="-2"/>
              </w:rPr>
              <w:t>i ustalone w ich ramach ceny</w:t>
            </w:r>
            <w:r>
              <w:rPr>
                <w:rFonts w:ascii="Times New Roman" w:hAnsi="Times New Roman"/>
                <w:color w:val="000000"/>
                <w:spacing w:val="-2"/>
              </w:rPr>
              <w:t xml:space="preserve"> zależą od wielu czynników i różnią się względem poszczególnych rynków. Dodatkowo, opracowania branżowe wskazują, że projekty realizowane na nowych rynkach będą wymagały podobnego poziomu wsparcia względem rynków rozwijających morskie farmy wiatrowe, ze względu na specyfikę danego kraju oraz czynniki takie jak dostęp do infrastruktury portowej czy wyższy poziom ryzyka. P</w:t>
            </w:r>
            <w:r w:rsidRPr="00502444">
              <w:rPr>
                <w:rFonts w:ascii="Times New Roman" w:hAnsi="Times New Roman"/>
                <w:color w:val="000000"/>
                <w:spacing w:val="-2"/>
              </w:rPr>
              <w:t>rzedstawiane powyżej system</w:t>
            </w:r>
            <w:r w:rsidR="00497E0F">
              <w:rPr>
                <w:rFonts w:ascii="Times New Roman" w:hAnsi="Times New Roman"/>
                <w:color w:val="000000"/>
                <w:spacing w:val="-2"/>
              </w:rPr>
              <w:t>y</w:t>
            </w:r>
            <w:r w:rsidRPr="00502444">
              <w:rPr>
                <w:rFonts w:ascii="Times New Roman" w:hAnsi="Times New Roman"/>
                <w:color w:val="000000"/>
                <w:spacing w:val="-2"/>
              </w:rPr>
              <w:t xml:space="preserve"> aukcyjn</w:t>
            </w:r>
            <w:r w:rsidR="00497E0F">
              <w:rPr>
                <w:rFonts w:ascii="Times New Roman" w:hAnsi="Times New Roman"/>
                <w:color w:val="000000"/>
                <w:spacing w:val="-2"/>
              </w:rPr>
              <w:t>e</w:t>
            </w:r>
            <w:r w:rsidRPr="00502444">
              <w:rPr>
                <w:rFonts w:ascii="Times New Roman" w:hAnsi="Times New Roman"/>
                <w:color w:val="000000"/>
                <w:spacing w:val="-2"/>
              </w:rPr>
              <w:t xml:space="preserve"> mają</w:t>
            </w:r>
            <w:r w:rsidR="00497E0F">
              <w:rPr>
                <w:rFonts w:ascii="Times New Roman" w:hAnsi="Times New Roman"/>
                <w:color w:val="000000"/>
                <w:spacing w:val="-2"/>
              </w:rPr>
              <w:t xml:space="preserve"> </w:t>
            </w:r>
            <w:r w:rsidRPr="00502444">
              <w:rPr>
                <w:rFonts w:ascii="Times New Roman" w:hAnsi="Times New Roman"/>
                <w:color w:val="000000"/>
                <w:spacing w:val="-2"/>
              </w:rPr>
              <w:t>na celu zachowanie konkurencji oraz optymalizację kosztową portfolio realizowanych projektów.</w:t>
            </w:r>
          </w:p>
          <w:p w14:paraId="0CA52F88" w14:textId="77777777" w:rsidR="00DB084E" w:rsidRDefault="00DB084E" w:rsidP="00DD284D">
            <w:pPr>
              <w:spacing w:before="120"/>
              <w:ind w:left="360"/>
              <w:jc w:val="both"/>
              <w:rPr>
                <w:rFonts w:ascii="Times New Roman" w:hAnsi="Times New Roman"/>
                <w:color w:val="000000"/>
                <w:spacing w:val="-2"/>
              </w:rPr>
            </w:pPr>
            <w:r>
              <w:rPr>
                <w:rFonts w:ascii="Times New Roman" w:hAnsi="Times New Roman"/>
                <w:color w:val="000000"/>
                <w:spacing w:val="-2"/>
              </w:rPr>
              <w:t xml:space="preserve">2. </w:t>
            </w:r>
            <w:r w:rsidRPr="00DD284D">
              <w:rPr>
                <w:rFonts w:ascii="Times New Roman" w:hAnsi="Times New Roman"/>
                <w:color w:val="000000"/>
                <w:spacing w:val="-2"/>
              </w:rPr>
              <w:t>Mapowanie obszarów niezbędnych do wniesienia krajowych wkładów w realizację ogólnego celu unijnego w zakresie energii odnawialnej wyznaczonego na 2030 r. oraz ramy prawne dla wyznaczania OPRO</w:t>
            </w:r>
          </w:p>
          <w:p w14:paraId="4C3D1A39" w14:textId="77777777" w:rsidR="00DB084E" w:rsidRPr="00DB084E" w:rsidRDefault="00DB084E" w:rsidP="00DD284D">
            <w:pPr>
              <w:spacing w:before="120"/>
              <w:jc w:val="both"/>
              <w:rPr>
                <w:rFonts w:ascii="Times New Roman" w:hAnsi="Times New Roman"/>
                <w:color w:val="000000"/>
                <w:spacing w:val="-2"/>
              </w:rPr>
            </w:pPr>
            <w:r w:rsidRPr="00DB084E">
              <w:rPr>
                <w:rFonts w:ascii="Times New Roman" w:hAnsi="Times New Roman"/>
                <w:color w:val="000000"/>
                <w:spacing w:val="-2"/>
              </w:rPr>
              <w:t xml:space="preserve">Z uwagi na fakt, że przedmiotowe regulacje wynikają z zobowiązań nałożonych dyrektywą RED III, w chwili obecnej omawiane rozwiązania są przedmiotem prac analityczno-koncepcyjnych i/lub legislacyjnych w większości krajów członkowskich UE. Poniżej, na podstawie dostępnych materiałów źródłowych, zaprezentowano przykłady dwóch z nich. </w:t>
            </w:r>
          </w:p>
          <w:p w14:paraId="5F23D5DF" w14:textId="77777777" w:rsidR="00DB084E" w:rsidRPr="00DD284D" w:rsidRDefault="00DB084E" w:rsidP="00DD284D">
            <w:pPr>
              <w:spacing w:before="120"/>
              <w:jc w:val="both"/>
              <w:rPr>
                <w:rFonts w:ascii="Times New Roman" w:hAnsi="Times New Roman"/>
                <w:b/>
                <w:bCs/>
                <w:color w:val="000000"/>
                <w:spacing w:val="-2"/>
              </w:rPr>
            </w:pPr>
            <w:r w:rsidRPr="00DD284D">
              <w:rPr>
                <w:rFonts w:ascii="Times New Roman" w:hAnsi="Times New Roman"/>
                <w:b/>
                <w:bCs/>
                <w:color w:val="000000"/>
                <w:spacing w:val="-2"/>
              </w:rPr>
              <w:t>Niemcy</w:t>
            </w:r>
          </w:p>
          <w:p w14:paraId="7CD0ABB1" w14:textId="77777777" w:rsidR="00DB084E" w:rsidRPr="00DB084E" w:rsidRDefault="00DB084E" w:rsidP="00DD284D">
            <w:pPr>
              <w:jc w:val="both"/>
              <w:rPr>
                <w:rFonts w:ascii="Times New Roman" w:hAnsi="Times New Roman"/>
                <w:color w:val="000000"/>
                <w:spacing w:val="-2"/>
              </w:rPr>
            </w:pPr>
            <w:r w:rsidRPr="00DB084E">
              <w:rPr>
                <w:rFonts w:ascii="Times New Roman" w:hAnsi="Times New Roman"/>
                <w:color w:val="000000"/>
                <w:spacing w:val="-2"/>
              </w:rPr>
              <w:t>Wobec potrzeby dalszego rozwoju sektora OZE oraz konieczności uniezależnienia energetycznego od Federacji Rosyjskiej po jej inwazji na Ukrainę, od 2022 r. Niemcy przyjęły szereg rozwiązań legislacyjnych mających służyć przyspieszeniu inwestycji w OZE. Wobec obowiązujących już przepisów dotyczących wyznaczania obszarów przeznaczonych do rozwoju energetyki słonecznej oraz energetyki wiatrowej, Niemcy nie dokonywały mapowania potencjału oraz nie tworzyły dotychczas procedur dotyczących wyznaczania OPRO.</w:t>
            </w:r>
          </w:p>
          <w:p w14:paraId="6C57A3C7" w14:textId="0BD4963D" w:rsidR="00DB084E" w:rsidRPr="00DB084E" w:rsidRDefault="00DB084E" w:rsidP="00DD284D">
            <w:pPr>
              <w:spacing w:before="120"/>
              <w:jc w:val="both"/>
              <w:rPr>
                <w:rFonts w:ascii="Times New Roman" w:hAnsi="Times New Roman"/>
                <w:color w:val="000000"/>
                <w:spacing w:val="-2"/>
              </w:rPr>
            </w:pPr>
            <w:r w:rsidRPr="00DB084E">
              <w:rPr>
                <w:rFonts w:ascii="Times New Roman" w:hAnsi="Times New Roman"/>
                <w:color w:val="000000"/>
                <w:spacing w:val="-2"/>
              </w:rPr>
              <w:t xml:space="preserve">Niemniej, obecnie jest procedowany projekt ustawy implementującej dyrektywę RED III, zgodnie z którym wyznaczanie obszarów przyspieszonego rozwoju dla fotowoltaiki i energetyki wiatrowej ma być przeprowadzane przez gminę. Uproszczeniu ulec mają procedury środowiskowe. Na obszarach przyspieszonego rozwoju </w:t>
            </w:r>
            <w:r w:rsidR="006B1C98">
              <w:rPr>
                <w:rFonts w:ascii="Times New Roman" w:hAnsi="Times New Roman"/>
                <w:color w:val="000000"/>
                <w:spacing w:val="-2"/>
              </w:rPr>
              <w:t xml:space="preserve">instalacji </w:t>
            </w:r>
            <w:r w:rsidRPr="00DB084E">
              <w:rPr>
                <w:rFonts w:ascii="Times New Roman" w:hAnsi="Times New Roman"/>
                <w:color w:val="000000"/>
                <w:spacing w:val="-2"/>
              </w:rPr>
              <w:t>OZE, właściwy organ zobowiązany będzie do przeprowadzenia jedynie procedury weryfikującej zgodność inwestycji ze strategiczną oceną oddziaływania na środowisko (tzw. screening), z wyjątkiem projektów transgranicznych.</w:t>
            </w:r>
          </w:p>
          <w:p w14:paraId="7932FA82" w14:textId="77777777" w:rsidR="00DB084E" w:rsidRPr="00DD284D" w:rsidRDefault="00DB084E" w:rsidP="00DD284D">
            <w:pPr>
              <w:spacing w:before="120"/>
              <w:rPr>
                <w:rFonts w:ascii="Times New Roman" w:hAnsi="Times New Roman"/>
                <w:b/>
                <w:bCs/>
                <w:color w:val="000000"/>
                <w:spacing w:val="-2"/>
              </w:rPr>
            </w:pPr>
            <w:r w:rsidRPr="00DD284D">
              <w:rPr>
                <w:rFonts w:ascii="Times New Roman" w:hAnsi="Times New Roman"/>
                <w:b/>
                <w:bCs/>
                <w:color w:val="000000"/>
                <w:spacing w:val="-2"/>
              </w:rPr>
              <w:t>Portugalia</w:t>
            </w:r>
          </w:p>
          <w:p w14:paraId="33C138C0" w14:textId="77777777" w:rsidR="00DB084E" w:rsidRPr="00DB084E" w:rsidRDefault="00DB084E" w:rsidP="00DD284D">
            <w:pPr>
              <w:jc w:val="both"/>
              <w:rPr>
                <w:rFonts w:ascii="Times New Roman" w:hAnsi="Times New Roman"/>
                <w:color w:val="000000"/>
                <w:spacing w:val="-2"/>
              </w:rPr>
            </w:pPr>
            <w:r w:rsidRPr="00DB084E">
              <w:rPr>
                <w:rFonts w:ascii="Times New Roman" w:hAnsi="Times New Roman"/>
                <w:color w:val="000000"/>
                <w:spacing w:val="-2"/>
              </w:rPr>
              <w:t>W przeciwieństwie do Niemiec, Portugalia przeprowadziła kompleksowe mapowanie potencjału OZE, zgodnie z art. 15b dyrektywy RED III.</w:t>
            </w:r>
          </w:p>
          <w:p w14:paraId="16AAEA68" w14:textId="77777777" w:rsidR="00DB084E" w:rsidRPr="00DB084E" w:rsidRDefault="00DB084E" w:rsidP="00DD284D">
            <w:pPr>
              <w:jc w:val="both"/>
              <w:rPr>
                <w:rFonts w:ascii="Times New Roman" w:hAnsi="Times New Roman"/>
                <w:color w:val="000000"/>
                <w:spacing w:val="-2"/>
              </w:rPr>
            </w:pPr>
            <w:r w:rsidRPr="00DB084E">
              <w:rPr>
                <w:rFonts w:ascii="Times New Roman" w:hAnsi="Times New Roman"/>
                <w:color w:val="000000"/>
                <w:spacing w:val="-2"/>
              </w:rPr>
              <w:t>W pierwotnej wersji mapy wyłączono obszary wrażliwości środowiskowej, wskazując zarazem ok. 12% powierzchni kraju o najlepszych uwarunkowaniach do lokalizowania instalacji OZE. Tym samym, w sposób kompleksowy zidentyfikowano obszary pozwalające na wyznaczanie na ich terenie OPRO. Po weryfikacji uwag zgłoszonych przez władze lokalne oraz organizacje pozarządowe i zastosowaniu bardziej restrykcyjnych kryteriów, zredukowano liczbę obszarów o niskiej wrażliwości środowiskowej do 3% terytorium Portugalii.</w:t>
            </w:r>
          </w:p>
          <w:p w14:paraId="3C1755D0" w14:textId="1212CB08" w:rsidR="00DB084E" w:rsidRPr="00DD284D" w:rsidRDefault="00DB084E" w:rsidP="00DD284D">
            <w:pPr>
              <w:jc w:val="both"/>
              <w:rPr>
                <w:rFonts w:ascii="Times New Roman" w:hAnsi="Times New Roman"/>
                <w:color w:val="000000"/>
                <w:spacing w:val="-2"/>
              </w:rPr>
            </w:pPr>
            <w:r w:rsidRPr="00DB084E">
              <w:rPr>
                <w:rFonts w:ascii="Times New Roman" w:hAnsi="Times New Roman"/>
                <w:color w:val="000000"/>
                <w:spacing w:val="-2"/>
              </w:rPr>
              <w:t xml:space="preserve">Jednocześnie Ministerstwo Klimatu i Środowiska nie posiada informacji na temat prowadzonych w Portugalii prac legislacyjnych, mających na celu stworzenie procedur wyznaczania obszarów przyspieszonego rozwoju </w:t>
            </w:r>
            <w:r w:rsidR="006B1C98">
              <w:rPr>
                <w:rFonts w:ascii="Times New Roman" w:hAnsi="Times New Roman"/>
                <w:color w:val="000000"/>
                <w:spacing w:val="-2"/>
              </w:rPr>
              <w:t xml:space="preserve">instalacji </w:t>
            </w:r>
            <w:r w:rsidRPr="00DB084E">
              <w:rPr>
                <w:rFonts w:ascii="Times New Roman" w:hAnsi="Times New Roman"/>
                <w:color w:val="000000"/>
                <w:spacing w:val="-2"/>
              </w:rPr>
              <w:t>OZE.</w:t>
            </w:r>
          </w:p>
        </w:tc>
      </w:tr>
      <w:tr w:rsidR="006A701A" w:rsidRPr="00A87B3A" w14:paraId="12A33B47" w14:textId="77777777" w:rsidTr="00676C8D">
        <w:trPr>
          <w:gridAfter w:val="1"/>
          <w:wAfter w:w="10" w:type="dxa"/>
          <w:trHeight w:val="359"/>
        </w:trPr>
        <w:tc>
          <w:tcPr>
            <w:tcW w:w="10937" w:type="dxa"/>
            <w:gridSpan w:val="27"/>
            <w:shd w:val="clear" w:color="auto" w:fill="99CCFF"/>
            <w:vAlign w:val="center"/>
          </w:tcPr>
          <w:p w14:paraId="550A992D" w14:textId="77777777" w:rsidR="006A701A" w:rsidRPr="00A87B3A" w:rsidRDefault="006A701A" w:rsidP="009629CE">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lastRenderedPageBreak/>
              <w:t>Podmioty, na które oddziałuje projekt</w:t>
            </w:r>
          </w:p>
        </w:tc>
      </w:tr>
      <w:tr w:rsidR="00260F33" w:rsidRPr="00A87B3A" w14:paraId="05552CDB" w14:textId="77777777" w:rsidTr="00676C8D">
        <w:trPr>
          <w:gridAfter w:val="1"/>
          <w:wAfter w:w="10" w:type="dxa"/>
          <w:trHeight w:val="142"/>
        </w:trPr>
        <w:tc>
          <w:tcPr>
            <w:tcW w:w="2668" w:type="dxa"/>
            <w:gridSpan w:val="3"/>
            <w:shd w:val="clear" w:color="auto" w:fill="auto"/>
          </w:tcPr>
          <w:p w14:paraId="1B25C3CC" w14:textId="77777777" w:rsidR="00260F33" w:rsidRPr="00A87B3A" w:rsidRDefault="00260F33" w:rsidP="003453D3">
            <w:pPr>
              <w:spacing w:before="120" w:after="120" w:line="240" w:lineRule="auto"/>
              <w:rPr>
                <w:rFonts w:ascii="Times New Roman" w:hAnsi="Times New Roman"/>
                <w:color w:val="000000"/>
                <w:spacing w:val="-2"/>
              </w:rPr>
            </w:pPr>
            <w:r w:rsidRPr="00A87B3A">
              <w:rPr>
                <w:rFonts w:ascii="Times New Roman" w:hAnsi="Times New Roman"/>
                <w:color w:val="000000"/>
                <w:spacing w:val="-2"/>
              </w:rPr>
              <w:t>Grupa</w:t>
            </w:r>
          </w:p>
        </w:tc>
        <w:tc>
          <w:tcPr>
            <w:tcW w:w="2292" w:type="dxa"/>
            <w:gridSpan w:val="7"/>
            <w:shd w:val="clear" w:color="auto" w:fill="auto"/>
          </w:tcPr>
          <w:p w14:paraId="12D53B02" w14:textId="77777777" w:rsidR="00260F33" w:rsidRPr="00A87B3A" w:rsidRDefault="00563199" w:rsidP="003453D3">
            <w:pPr>
              <w:spacing w:before="120" w:after="120" w:line="240" w:lineRule="auto"/>
              <w:rPr>
                <w:rFonts w:ascii="Times New Roman" w:hAnsi="Times New Roman"/>
                <w:color w:val="000000"/>
                <w:spacing w:val="-2"/>
              </w:rPr>
            </w:pPr>
            <w:r w:rsidRPr="00A87B3A">
              <w:rPr>
                <w:rFonts w:ascii="Times New Roman" w:hAnsi="Times New Roman"/>
                <w:color w:val="000000"/>
                <w:spacing w:val="-2"/>
              </w:rPr>
              <w:t>Wielkość</w:t>
            </w:r>
          </w:p>
        </w:tc>
        <w:tc>
          <w:tcPr>
            <w:tcW w:w="2996" w:type="dxa"/>
            <w:gridSpan w:val="12"/>
            <w:shd w:val="clear" w:color="auto" w:fill="auto"/>
          </w:tcPr>
          <w:p w14:paraId="194583A9" w14:textId="77777777" w:rsidR="00260F33" w:rsidRPr="00A87B3A" w:rsidRDefault="00260F33" w:rsidP="003453D3">
            <w:pPr>
              <w:spacing w:before="120" w:after="120" w:line="240" w:lineRule="auto"/>
              <w:rPr>
                <w:rFonts w:ascii="Times New Roman" w:hAnsi="Times New Roman"/>
                <w:color w:val="000000"/>
                <w:spacing w:val="-2"/>
              </w:rPr>
            </w:pPr>
            <w:r w:rsidRPr="00A87B3A">
              <w:rPr>
                <w:rFonts w:ascii="Times New Roman" w:hAnsi="Times New Roman"/>
                <w:color w:val="000000"/>
                <w:spacing w:val="-2"/>
              </w:rPr>
              <w:t>Źródło danych</w:t>
            </w:r>
            <w:r w:rsidRPr="00A87B3A" w:rsidDel="00260F33">
              <w:rPr>
                <w:rFonts w:ascii="Times New Roman" w:hAnsi="Times New Roman"/>
                <w:color w:val="000000"/>
                <w:spacing w:val="-2"/>
              </w:rPr>
              <w:t xml:space="preserve"> </w:t>
            </w:r>
          </w:p>
        </w:tc>
        <w:tc>
          <w:tcPr>
            <w:tcW w:w="2981" w:type="dxa"/>
            <w:gridSpan w:val="5"/>
            <w:shd w:val="clear" w:color="auto" w:fill="auto"/>
          </w:tcPr>
          <w:p w14:paraId="1AD8AC42" w14:textId="77777777" w:rsidR="00260F33" w:rsidRPr="00A87B3A" w:rsidRDefault="00260F33" w:rsidP="003453D3">
            <w:pPr>
              <w:spacing w:before="120" w:after="120" w:line="240" w:lineRule="auto"/>
              <w:rPr>
                <w:rFonts w:ascii="Times New Roman" w:hAnsi="Times New Roman"/>
                <w:color w:val="000000"/>
                <w:spacing w:val="-2"/>
              </w:rPr>
            </w:pPr>
            <w:r w:rsidRPr="00A87B3A">
              <w:rPr>
                <w:rFonts w:ascii="Times New Roman" w:hAnsi="Times New Roman"/>
                <w:color w:val="000000"/>
                <w:spacing w:val="-2"/>
              </w:rPr>
              <w:t>Oddziaływanie</w:t>
            </w:r>
          </w:p>
        </w:tc>
      </w:tr>
      <w:tr w:rsidR="00BA77A8" w:rsidRPr="00A87B3A" w14:paraId="6E7046CA" w14:textId="77777777" w:rsidTr="00676C8D">
        <w:trPr>
          <w:gridAfter w:val="1"/>
          <w:wAfter w:w="10" w:type="dxa"/>
          <w:trHeight w:val="142"/>
        </w:trPr>
        <w:tc>
          <w:tcPr>
            <w:tcW w:w="2668" w:type="dxa"/>
            <w:gridSpan w:val="3"/>
            <w:shd w:val="clear" w:color="auto" w:fill="auto"/>
          </w:tcPr>
          <w:p w14:paraId="5DB8073A" w14:textId="4A63624A" w:rsidR="00BA77A8" w:rsidRPr="00BA77A8" w:rsidRDefault="00BA77A8" w:rsidP="003453D3">
            <w:pPr>
              <w:tabs>
                <w:tab w:val="left" w:pos="1560"/>
              </w:tabs>
              <w:spacing w:before="120" w:after="120" w:line="240" w:lineRule="auto"/>
              <w:rPr>
                <w:rFonts w:ascii="Times New Roman" w:hAnsi="Times New Roman"/>
                <w:color w:val="000000"/>
              </w:rPr>
            </w:pPr>
            <w:r w:rsidRPr="00BA77A8">
              <w:rPr>
                <w:rFonts w:ascii="Times New Roman" w:hAnsi="Times New Roman"/>
                <w:color w:val="000000"/>
              </w:rPr>
              <w:t>Urząd Regulacji Energetyki</w:t>
            </w:r>
          </w:p>
        </w:tc>
        <w:tc>
          <w:tcPr>
            <w:tcW w:w="2292" w:type="dxa"/>
            <w:gridSpan w:val="7"/>
            <w:shd w:val="clear" w:color="auto" w:fill="auto"/>
          </w:tcPr>
          <w:p w14:paraId="77FA1E00" w14:textId="0D22D357" w:rsidR="00BA77A8" w:rsidRPr="00A87B3A" w:rsidRDefault="00BA77A8" w:rsidP="003453D3">
            <w:pPr>
              <w:spacing w:before="120" w:after="120" w:line="240" w:lineRule="auto"/>
              <w:rPr>
                <w:rFonts w:ascii="Times New Roman" w:hAnsi="Times New Roman"/>
                <w:color w:val="000000"/>
                <w:spacing w:val="-2"/>
              </w:rPr>
            </w:pPr>
            <w:r w:rsidRPr="00BA77A8">
              <w:rPr>
                <w:rFonts w:ascii="Times New Roman" w:hAnsi="Times New Roman"/>
                <w:color w:val="000000"/>
                <w:spacing w:val="-2"/>
              </w:rPr>
              <w:t>1</w:t>
            </w:r>
          </w:p>
        </w:tc>
        <w:tc>
          <w:tcPr>
            <w:tcW w:w="2996" w:type="dxa"/>
            <w:gridSpan w:val="12"/>
            <w:shd w:val="clear" w:color="auto" w:fill="auto"/>
          </w:tcPr>
          <w:p w14:paraId="515DCF59" w14:textId="585102C8" w:rsidR="00BA77A8" w:rsidRPr="00A87B3A" w:rsidRDefault="00BA77A8" w:rsidP="003453D3">
            <w:pPr>
              <w:spacing w:before="120" w:after="120" w:line="240" w:lineRule="auto"/>
              <w:rPr>
                <w:rFonts w:ascii="Times New Roman" w:hAnsi="Times New Roman"/>
                <w:color w:val="000000"/>
                <w:spacing w:val="-2"/>
              </w:rPr>
            </w:pPr>
            <w:r>
              <w:rPr>
                <w:rFonts w:ascii="Times New Roman" w:hAnsi="Times New Roman"/>
                <w:color w:val="000000"/>
                <w:spacing w:val="-2"/>
              </w:rPr>
              <w:t>-</w:t>
            </w:r>
          </w:p>
        </w:tc>
        <w:tc>
          <w:tcPr>
            <w:tcW w:w="2981" w:type="dxa"/>
            <w:gridSpan w:val="5"/>
            <w:shd w:val="clear" w:color="auto" w:fill="auto"/>
          </w:tcPr>
          <w:p w14:paraId="16E87229" w14:textId="38DA1A5B" w:rsidR="00D83A94" w:rsidRPr="00A87B3A" w:rsidRDefault="00497E0F" w:rsidP="008C2087">
            <w:pPr>
              <w:spacing w:before="120" w:after="120" w:line="240" w:lineRule="auto"/>
              <w:rPr>
                <w:rFonts w:ascii="Times New Roman" w:hAnsi="Times New Roman"/>
                <w:color w:val="000000"/>
                <w:spacing w:val="-2"/>
              </w:rPr>
            </w:pPr>
            <w:r>
              <w:rPr>
                <w:rFonts w:ascii="Times New Roman" w:hAnsi="Times New Roman"/>
                <w:color w:val="000000"/>
                <w:spacing w:val="-2"/>
              </w:rPr>
              <w:t>Zmiany w systemie aukcyjnym dla MEW i skrócenie niektórych procedur.</w:t>
            </w:r>
            <w:r w:rsidR="008C2087">
              <w:rPr>
                <w:rFonts w:ascii="Times New Roman" w:hAnsi="Times New Roman"/>
                <w:color w:val="000000"/>
                <w:spacing w:val="-2"/>
              </w:rPr>
              <w:t xml:space="preserve"> </w:t>
            </w:r>
          </w:p>
        </w:tc>
      </w:tr>
      <w:tr w:rsidR="00830ACC" w:rsidRPr="00A87B3A" w14:paraId="7C00A9DF" w14:textId="77777777" w:rsidTr="00676C8D">
        <w:trPr>
          <w:gridAfter w:val="1"/>
          <w:wAfter w:w="10" w:type="dxa"/>
          <w:trHeight w:val="142"/>
        </w:trPr>
        <w:tc>
          <w:tcPr>
            <w:tcW w:w="2668" w:type="dxa"/>
            <w:gridSpan w:val="3"/>
            <w:shd w:val="clear" w:color="auto" w:fill="auto"/>
          </w:tcPr>
          <w:p w14:paraId="417C26F4" w14:textId="77777777" w:rsidR="00830ACC" w:rsidRPr="005845CB" w:rsidRDefault="00830ACC" w:rsidP="00830ACC">
            <w:pPr>
              <w:spacing w:line="240" w:lineRule="auto"/>
              <w:rPr>
                <w:rFonts w:ascii="Times New Roman" w:hAnsi="Times New Roman"/>
              </w:rPr>
            </w:pPr>
            <w:r w:rsidRPr="005845CB">
              <w:rPr>
                <w:rFonts w:ascii="Times New Roman" w:hAnsi="Times New Roman"/>
              </w:rPr>
              <w:t>Zarządca rozliczeń</w:t>
            </w:r>
          </w:p>
          <w:p w14:paraId="68A42CCF" w14:textId="7ED4B6F7" w:rsidR="00830ACC" w:rsidRDefault="00830ACC" w:rsidP="00830ACC">
            <w:pPr>
              <w:tabs>
                <w:tab w:val="left" w:pos="1560"/>
              </w:tabs>
              <w:spacing w:before="120" w:after="120" w:line="240" w:lineRule="auto"/>
              <w:rPr>
                <w:rFonts w:ascii="Times New Roman" w:hAnsi="Times New Roman"/>
                <w:color w:val="000000"/>
              </w:rPr>
            </w:pPr>
          </w:p>
        </w:tc>
        <w:tc>
          <w:tcPr>
            <w:tcW w:w="2292" w:type="dxa"/>
            <w:gridSpan w:val="7"/>
            <w:shd w:val="clear" w:color="auto" w:fill="auto"/>
          </w:tcPr>
          <w:p w14:paraId="7D58012C" w14:textId="3E1D1AF1" w:rsidR="00830ACC" w:rsidRDefault="00830ACC" w:rsidP="00830ACC">
            <w:pPr>
              <w:spacing w:before="120" w:after="120" w:line="240" w:lineRule="auto"/>
              <w:rPr>
                <w:rFonts w:ascii="Times New Roman" w:hAnsi="Times New Roman"/>
                <w:color w:val="000000"/>
                <w:spacing w:val="-2"/>
              </w:rPr>
            </w:pPr>
            <w:r w:rsidRPr="005845CB">
              <w:rPr>
                <w:rFonts w:ascii="Times New Roman" w:eastAsia="Times New Roman" w:hAnsi="Times New Roman"/>
                <w:lang w:eastAsia="pl-PL"/>
              </w:rPr>
              <w:t>1</w:t>
            </w:r>
          </w:p>
        </w:tc>
        <w:tc>
          <w:tcPr>
            <w:tcW w:w="2996" w:type="dxa"/>
            <w:gridSpan w:val="12"/>
            <w:shd w:val="clear" w:color="auto" w:fill="auto"/>
          </w:tcPr>
          <w:p w14:paraId="3431FE7B" w14:textId="686429F2" w:rsidR="00830ACC" w:rsidRDefault="00830ACC" w:rsidP="00830ACC">
            <w:pPr>
              <w:autoSpaceDE w:val="0"/>
              <w:autoSpaceDN w:val="0"/>
              <w:adjustRightInd w:val="0"/>
              <w:spacing w:before="120" w:after="120" w:line="240" w:lineRule="auto"/>
              <w:rPr>
                <w:rFonts w:ascii="Times New Roman" w:hAnsi="Times New Roman"/>
                <w:sz w:val="20"/>
                <w:szCs w:val="20"/>
                <w:lang w:eastAsia="pl-PL"/>
              </w:rPr>
            </w:pPr>
            <w:r w:rsidRPr="005845CB">
              <w:rPr>
                <w:rFonts w:ascii="Times New Roman" w:hAnsi="Times New Roman"/>
                <w:spacing w:val="-2"/>
              </w:rPr>
              <w:t>Szacunki własne</w:t>
            </w:r>
          </w:p>
        </w:tc>
        <w:tc>
          <w:tcPr>
            <w:tcW w:w="2981" w:type="dxa"/>
            <w:gridSpan w:val="5"/>
            <w:shd w:val="clear" w:color="auto" w:fill="auto"/>
          </w:tcPr>
          <w:p w14:paraId="7CFC7425" w14:textId="2A2ABC80" w:rsidR="00830ACC" w:rsidRDefault="00497E0F" w:rsidP="00830ACC">
            <w:pPr>
              <w:spacing w:before="120" w:after="120" w:line="240" w:lineRule="auto"/>
              <w:rPr>
                <w:rFonts w:ascii="Times New Roman" w:hAnsi="Times New Roman"/>
                <w:color w:val="000000"/>
                <w:spacing w:val="-2"/>
              </w:rPr>
            </w:pPr>
            <w:r>
              <w:rPr>
                <w:rFonts w:ascii="Times New Roman" w:hAnsi="Times New Roman"/>
                <w:spacing w:val="-2"/>
              </w:rPr>
              <w:t xml:space="preserve">Zmiany w systemie aukcyjnym i zasadach rozliczania </w:t>
            </w:r>
            <w:r w:rsidR="00830ACC" w:rsidRPr="005845CB">
              <w:rPr>
                <w:rFonts w:ascii="Times New Roman" w:hAnsi="Times New Roman"/>
                <w:spacing w:val="-2"/>
              </w:rPr>
              <w:t>prawa do pokrycia ujemnego salda</w:t>
            </w:r>
            <w:r w:rsidR="00830ACC">
              <w:rPr>
                <w:rFonts w:ascii="Times New Roman" w:hAnsi="Times New Roman"/>
                <w:spacing w:val="-2"/>
              </w:rPr>
              <w:t>.</w:t>
            </w:r>
          </w:p>
        </w:tc>
      </w:tr>
      <w:tr w:rsidR="00830ACC" w:rsidRPr="00A87B3A" w14:paraId="2023CA90" w14:textId="77777777" w:rsidTr="00676C8D">
        <w:trPr>
          <w:gridAfter w:val="1"/>
          <w:wAfter w:w="10" w:type="dxa"/>
          <w:trHeight w:val="142"/>
        </w:trPr>
        <w:tc>
          <w:tcPr>
            <w:tcW w:w="2668" w:type="dxa"/>
            <w:gridSpan w:val="3"/>
            <w:shd w:val="clear" w:color="auto" w:fill="auto"/>
          </w:tcPr>
          <w:p w14:paraId="7EB84685" w14:textId="0D444209" w:rsidR="00830ACC" w:rsidRDefault="00830ACC" w:rsidP="00830ACC">
            <w:pPr>
              <w:tabs>
                <w:tab w:val="left" w:pos="1560"/>
              </w:tabs>
              <w:spacing w:before="120" w:after="120" w:line="240" w:lineRule="auto"/>
              <w:rPr>
                <w:rFonts w:ascii="Times New Roman" w:hAnsi="Times New Roman"/>
                <w:color w:val="000000"/>
              </w:rPr>
            </w:pPr>
            <w:r w:rsidRPr="005845CB">
              <w:rPr>
                <w:rFonts w:ascii="Times New Roman" w:hAnsi="Times New Roman"/>
              </w:rPr>
              <w:t>Wytwórcy energii w morskich farmach wiatrowych</w:t>
            </w:r>
          </w:p>
        </w:tc>
        <w:tc>
          <w:tcPr>
            <w:tcW w:w="2292" w:type="dxa"/>
            <w:gridSpan w:val="7"/>
            <w:shd w:val="clear" w:color="auto" w:fill="auto"/>
          </w:tcPr>
          <w:p w14:paraId="7E7661E9" w14:textId="15D2F73B" w:rsidR="00830ACC" w:rsidRDefault="00830ACC" w:rsidP="00830ACC">
            <w:pPr>
              <w:spacing w:before="120" w:after="120" w:line="240" w:lineRule="auto"/>
              <w:rPr>
                <w:rFonts w:ascii="Times New Roman" w:hAnsi="Times New Roman"/>
                <w:color w:val="000000"/>
                <w:spacing w:val="-2"/>
              </w:rPr>
            </w:pPr>
            <w:r w:rsidRPr="005845CB">
              <w:rPr>
                <w:rFonts w:ascii="Times New Roman" w:eastAsia="Times New Roman" w:hAnsi="Times New Roman"/>
                <w:lang w:eastAsia="pl-PL"/>
              </w:rPr>
              <w:t>kilkanaście</w:t>
            </w:r>
          </w:p>
        </w:tc>
        <w:tc>
          <w:tcPr>
            <w:tcW w:w="2996" w:type="dxa"/>
            <w:gridSpan w:val="12"/>
            <w:shd w:val="clear" w:color="auto" w:fill="auto"/>
          </w:tcPr>
          <w:p w14:paraId="1E9722C1" w14:textId="4FEE13C8" w:rsidR="00830ACC" w:rsidRDefault="00830ACC" w:rsidP="00830ACC">
            <w:pPr>
              <w:autoSpaceDE w:val="0"/>
              <w:autoSpaceDN w:val="0"/>
              <w:adjustRightInd w:val="0"/>
              <w:spacing w:before="120" w:after="120" w:line="240" w:lineRule="auto"/>
              <w:rPr>
                <w:rFonts w:ascii="Times New Roman" w:hAnsi="Times New Roman"/>
                <w:color w:val="000000"/>
                <w:spacing w:val="-2"/>
              </w:rPr>
            </w:pPr>
            <w:r w:rsidRPr="005845CB">
              <w:rPr>
                <w:rFonts w:ascii="Times New Roman" w:hAnsi="Times New Roman"/>
                <w:spacing w:val="-2"/>
              </w:rPr>
              <w:t>Szacunki własne</w:t>
            </w:r>
          </w:p>
        </w:tc>
        <w:tc>
          <w:tcPr>
            <w:tcW w:w="2981" w:type="dxa"/>
            <w:gridSpan w:val="5"/>
            <w:shd w:val="clear" w:color="auto" w:fill="auto"/>
          </w:tcPr>
          <w:p w14:paraId="271D0A60" w14:textId="09DEF704" w:rsidR="00830ACC" w:rsidRDefault="00830ACC" w:rsidP="00830ACC">
            <w:pPr>
              <w:spacing w:before="120" w:after="120" w:line="240" w:lineRule="auto"/>
              <w:rPr>
                <w:rFonts w:ascii="Times New Roman" w:hAnsi="Times New Roman"/>
                <w:color w:val="000000"/>
                <w:spacing w:val="-2"/>
              </w:rPr>
            </w:pPr>
            <w:r w:rsidRPr="005845CB">
              <w:rPr>
                <w:rFonts w:ascii="Times New Roman" w:hAnsi="Times New Roman"/>
                <w:spacing w:val="-2"/>
              </w:rPr>
              <w:t>Obniżenie ryzyka regulacyjnego, w związku z</w:t>
            </w:r>
            <w:r>
              <w:rPr>
                <w:rFonts w:ascii="Times New Roman" w:hAnsi="Times New Roman"/>
                <w:spacing w:val="-2"/>
              </w:rPr>
              <w:t> </w:t>
            </w:r>
            <w:r w:rsidRPr="005845CB">
              <w:rPr>
                <w:rFonts w:ascii="Times New Roman" w:hAnsi="Times New Roman"/>
                <w:spacing w:val="-2"/>
              </w:rPr>
              <w:t>rozstrzygnięciem wątpliwości interpretacyjnych</w:t>
            </w:r>
            <w:r>
              <w:rPr>
                <w:rFonts w:ascii="Times New Roman" w:hAnsi="Times New Roman"/>
                <w:spacing w:val="-2"/>
              </w:rPr>
              <w:t>.</w:t>
            </w:r>
          </w:p>
        </w:tc>
      </w:tr>
      <w:tr w:rsidR="00830ACC" w:rsidRPr="00A87B3A" w14:paraId="56CE0474" w14:textId="77777777" w:rsidTr="00676C8D">
        <w:trPr>
          <w:gridAfter w:val="1"/>
          <w:wAfter w:w="10" w:type="dxa"/>
          <w:trHeight w:val="142"/>
        </w:trPr>
        <w:tc>
          <w:tcPr>
            <w:tcW w:w="2668" w:type="dxa"/>
            <w:gridSpan w:val="3"/>
            <w:shd w:val="clear" w:color="auto" w:fill="auto"/>
          </w:tcPr>
          <w:p w14:paraId="11A9733E" w14:textId="00679E0B" w:rsidR="00830ACC" w:rsidRPr="00BA77A8" w:rsidRDefault="00DB084E" w:rsidP="00830ACC">
            <w:pPr>
              <w:tabs>
                <w:tab w:val="left" w:pos="1560"/>
              </w:tabs>
              <w:spacing w:before="120" w:after="120" w:line="240" w:lineRule="auto"/>
              <w:rPr>
                <w:rFonts w:ascii="Times New Roman" w:hAnsi="Times New Roman"/>
                <w:color w:val="000000"/>
              </w:rPr>
            </w:pPr>
            <w:r>
              <w:rPr>
                <w:rFonts w:ascii="Times New Roman" w:hAnsi="Times New Roman"/>
              </w:rPr>
              <w:t>M</w:t>
            </w:r>
            <w:r w:rsidR="00830ACC" w:rsidRPr="005845CB">
              <w:rPr>
                <w:rFonts w:ascii="Times New Roman" w:hAnsi="Times New Roman"/>
              </w:rPr>
              <w:t xml:space="preserve">inister </w:t>
            </w:r>
            <w:r w:rsidR="00830ACC">
              <w:rPr>
                <w:rFonts w:ascii="Times New Roman" w:hAnsi="Times New Roman"/>
              </w:rPr>
              <w:t xml:space="preserve">właściwy ds. </w:t>
            </w:r>
            <w:r w:rsidR="00497E0F">
              <w:rPr>
                <w:rFonts w:ascii="Times New Roman" w:hAnsi="Times New Roman"/>
              </w:rPr>
              <w:t>rybołówstwa</w:t>
            </w:r>
          </w:p>
        </w:tc>
        <w:tc>
          <w:tcPr>
            <w:tcW w:w="2292" w:type="dxa"/>
            <w:gridSpan w:val="7"/>
            <w:shd w:val="clear" w:color="auto" w:fill="auto"/>
          </w:tcPr>
          <w:p w14:paraId="2CB6BF02" w14:textId="74B0AAC4" w:rsidR="00830ACC" w:rsidRPr="00A87B3A" w:rsidRDefault="00830ACC" w:rsidP="00830ACC">
            <w:pPr>
              <w:spacing w:before="120" w:after="120" w:line="240" w:lineRule="auto"/>
              <w:rPr>
                <w:rFonts w:ascii="Times New Roman" w:hAnsi="Times New Roman"/>
                <w:color w:val="000000"/>
                <w:spacing w:val="-2"/>
              </w:rPr>
            </w:pPr>
            <w:r w:rsidRPr="005845CB">
              <w:rPr>
                <w:rFonts w:ascii="Times New Roman" w:hAnsi="Times New Roman"/>
              </w:rPr>
              <w:t>1</w:t>
            </w:r>
          </w:p>
        </w:tc>
        <w:tc>
          <w:tcPr>
            <w:tcW w:w="2996" w:type="dxa"/>
            <w:gridSpan w:val="12"/>
            <w:shd w:val="clear" w:color="auto" w:fill="auto"/>
          </w:tcPr>
          <w:p w14:paraId="79CA6D04" w14:textId="389420CF" w:rsidR="00830ACC" w:rsidRPr="00A87B3A" w:rsidRDefault="00830ACC" w:rsidP="00830ACC">
            <w:pPr>
              <w:spacing w:before="120" w:after="120" w:line="240" w:lineRule="auto"/>
              <w:rPr>
                <w:rFonts w:ascii="Times New Roman" w:hAnsi="Times New Roman"/>
                <w:color w:val="000000"/>
                <w:spacing w:val="-2"/>
              </w:rPr>
            </w:pPr>
            <w:r w:rsidRPr="005845CB">
              <w:rPr>
                <w:rFonts w:ascii="Times New Roman" w:hAnsi="Times New Roman"/>
              </w:rPr>
              <w:t>Szacunki własne</w:t>
            </w:r>
          </w:p>
        </w:tc>
        <w:tc>
          <w:tcPr>
            <w:tcW w:w="2981" w:type="dxa"/>
            <w:gridSpan w:val="5"/>
            <w:shd w:val="clear" w:color="auto" w:fill="auto"/>
          </w:tcPr>
          <w:p w14:paraId="65C5229E" w14:textId="5EA196CB" w:rsidR="00830ACC" w:rsidRPr="00A87B3A" w:rsidRDefault="00497E0F" w:rsidP="00830ACC">
            <w:pPr>
              <w:spacing w:before="120" w:after="120" w:line="240" w:lineRule="auto"/>
              <w:rPr>
                <w:rFonts w:ascii="Times New Roman" w:hAnsi="Times New Roman"/>
                <w:color w:val="000000"/>
                <w:spacing w:val="-2"/>
              </w:rPr>
            </w:pPr>
            <w:r>
              <w:rPr>
                <w:rFonts w:ascii="Times New Roman" w:hAnsi="Times New Roman"/>
              </w:rPr>
              <w:t>Możliwość wydania dwóch rozporządzeń wykonawczych.</w:t>
            </w:r>
          </w:p>
        </w:tc>
      </w:tr>
      <w:tr w:rsidR="00830ACC" w:rsidRPr="00A87B3A" w14:paraId="4C7D805E" w14:textId="77777777" w:rsidTr="00676C8D">
        <w:trPr>
          <w:gridAfter w:val="1"/>
          <w:wAfter w:w="10" w:type="dxa"/>
          <w:trHeight w:val="142"/>
        </w:trPr>
        <w:tc>
          <w:tcPr>
            <w:tcW w:w="2668" w:type="dxa"/>
            <w:gridSpan w:val="3"/>
            <w:shd w:val="clear" w:color="auto" w:fill="auto"/>
          </w:tcPr>
          <w:p w14:paraId="6B931C94" w14:textId="59FA01DB" w:rsidR="00830ACC" w:rsidRPr="00BA77A8" w:rsidRDefault="00830ACC" w:rsidP="00830ACC">
            <w:pPr>
              <w:tabs>
                <w:tab w:val="left" w:pos="1560"/>
              </w:tabs>
              <w:spacing w:before="120" w:after="120" w:line="240" w:lineRule="auto"/>
              <w:rPr>
                <w:rFonts w:ascii="Times New Roman" w:hAnsi="Times New Roman"/>
                <w:color w:val="000000"/>
              </w:rPr>
            </w:pPr>
            <w:r>
              <w:rPr>
                <w:rFonts w:ascii="Times New Roman" w:hAnsi="Times New Roman"/>
              </w:rPr>
              <w:lastRenderedPageBreak/>
              <w:t>Minister właściwy ds. klimatu</w:t>
            </w:r>
          </w:p>
        </w:tc>
        <w:tc>
          <w:tcPr>
            <w:tcW w:w="2292" w:type="dxa"/>
            <w:gridSpan w:val="7"/>
            <w:shd w:val="clear" w:color="auto" w:fill="auto"/>
          </w:tcPr>
          <w:p w14:paraId="05BC3FBF" w14:textId="38370D13" w:rsidR="00830ACC" w:rsidRPr="00A87B3A" w:rsidRDefault="00830ACC" w:rsidP="00830ACC">
            <w:pPr>
              <w:spacing w:before="120" w:after="120" w:line="240" w:lineRule="auto"/>
              <w:rPr>
                <w:rFonts w:ascii="Times New Roman" w:hAnsi="Times New Roman"/>
                <w:color w:val="000000"/>
                <w:spacing w:val="-2"/>
              </w:rPr>
            </w:pPr>
            <w:r>
              <w:rPr>
                <w:rFonts w:ascii="Times New Roman" w:hAnsi="Times New Roman"/>
              </w:rPr>
              <w:t>1</w:t>
            </w:r>
          </w:p>
        </w:tc>
        <w:tc>
          <w:tcPr>
            <w:tcW w:w="2996" w:type="dxa"/>
            <w:gridSpan w:val="12"/>
            <w:shd w:val="clear" w:color="auto" w:fill="auto"/>
          </w:tcPr>
          <w:p w14:paraId="21E63E1B" w14:textId="32FD5BB5" w:rsidR="00830ACC" w:rsidRPr="00A87B3A" w:rsidRDefault="00830ACC" w:rsidP="00830ACC">
            <w:pPr>
              <w:spacing w:before="120" w:after="120" w:line="240" w:lineRule="auto"/>
              <w:rPr>
                <w:rFonts w:ascii="Times New Roman" w:hAnsi="Times New Roman"/>
                <w:color w:val="000000"/>
                <w:spacing w:val="-2"/>
              </w:rPr>
            </w:pPr>
            <w:r>
              <w:rPr>
                <w:rFonts w:ascii="Times New Roman" w:hAnsi="Times New Roman"/>
              </w:rPr>
              <w:t>Szacunki własne</w:t>
            </w:r>
          </w:p>
        </w:tc>
        <w:tc>
          <w:tcPr>
            <w:tcW w:w="2981" w:type="dxa"/>
            <w:gridSpan w:val="5"/>
            <w:shd w:val="clear" w:color="auto" w:fill="auto"/>
          </w:tcPr>
          <w:p w14:paraId="0BFEF77A" w14:textId="77891CD9" w:rsidR="00830ACC" w:rsidRDefault="00830ACC" w:rsidP="00830ACC">
            <w:pPr>
              <w:spacing w:before="120" w:after="120" w:line="240" w:lineRule="auto"/>
              <w:rPr>
                <w:rFonts w:ascii="Times New Roman" w:hAnsi="Times New Roman"/>
              </w:rPr>
            </w:pPr>
            <w:r>
              <w:rPr>
                <w:rFonts w:ascii="Times New Roman" w:hAnsi="Times New Roman"/>
              </w:rPr>
              <w:t xml:space="preserve">Obowiązek wydania obwieszczenia </w:t>
            </w:r>
            <w:r w:rsidR="00347B23">
              <w:rPr>
                <w:rFonts w:ascii="Times New Roman" w:hAnsi="Times New Roman"/>
              </w:rPr>
              <w:t xml:space="preserve">zawierającego </w:t>
            </w:r>
            <w:r w:rsidR="00347B23" w:rsidRPr="00347B23">
              <w:rPr>
                <w:rFonts w:ascii="Times New Roman" w:hAnsi="Times New Roman"/>
              </w:rPr>
              <w:t xml:space="preserve">kurs wymiany euro, przyjęty do obliczenia ceny maksymalnej określonej w przepisach wykonawczych wydanych na podstawie art. </w:t>
            </w:r>
            <w:r w:rsidR="00347B23">
              <w:rPr>
                <w:rFonts w:ascii="Times New Roman" w:hAnsi="Times New Roman"/>
              </w:rPr>
              <w:t>31</w:t>
            </w:r>
            <w:r w:rsidR="00347B23" w:rsidRPr="00347B23">
              <w:rPr>
                <w:rFonts w:ascii="Times New Roman" w:hAnsi="Times New Roman"/>
              </w:rPr>
              <w:t xml:space="preserve"> ust. </w:t>
            </w:r>
            <w:r w:rsidR="00347B23">
              <w:rPr>
                <w:rFonts w:ascii="Times New Roman" w:hAnsi="Times New Roman"/>
              </w:rPr>
              <w:t>11</w:t>
            </w:r>
            <w:r w:rsidR="00347B23" w:rsidRPr="00347B23">
              <w:rPr>
                <w:rFonts w:ascii="Times New Roman" w:hAnsi="Times New Roman"/>
              </w:rPr>
              <w:t xml:space="preserve"> ustawy offshore</w:t>
            </w:r>
            <w:r w:rsidR="00347B23">
              <w:rPr>
                <w:rFonts w:ascii="Times New Roman" w:hAnsi="Times New Roman"/>
              </w:rPr>
              <w:t xml:space="preserve"> wind</w:t>
            </w:r>
            <w:r w:rsidR="001B1F26">
              <w:rPr>
                <w:rFonts w:ascii="Times New Roman" w:hAnsi="Times New Roman"/>
              </w:rPr>
              <w:t>;</w:t>
            </w:r>
          </w:p>
          <w:p w14:paraId="18E962BC" w14:textId="08596C3B" w:rsidR="00BA2892" w:rsidRPr="00A87B3A" w:rsidRDefault="00381F15" w:rsidP="00830ACC">
            <w:pPr>
              <w:spacing w:before="120" w:after="120" w:line="240" w:lineRule="auto"/>
              <w:rPr>
                <w:rFonts w:ascii="Times New Roman" w:hAnsi="Times New Roman"/>
                <w:color w:val="000000"/>
                <w:spacing w:val="-2"/>
              </w:rPr>
            </w:pPr>
            <w:r>
              <w:rPr>
                <w:rFonts w:ascii="Times New Roman" w:hAnsi="Times New Roman"/>
              </w:rPr>
              <w:t>O</w:t>
            </w:r>
            <w:r w:rsidR="001B1F26">
              <w:rPr>
                <w:rFonts w:ascii="Times New Roman" w:hAnsi="Times New Roman"/>
              </w:rPr>
              <w:t xml:space="preserve">bowiązek opublikowania </w:t>
            </w:r>
            <w:r w:rsidR="001B1F26" w:rsidRPr="001B1F26">
              <w:rPr>
                <w:rFonts w:ascii="Times New Roman" w:hAnsi="Times New Roman"/>
              </w:rPr>
              <w:t>map potencjału energii ze źródeł odnawialnych</w:t>
            </w:r>
            <w:r w:rsidR="001B1F26">
              <w:rPr>
                <w:rFonts w:ascii="Times New Roman" w:hAnsi="Times New Roman"/>
              </w:rPr>
              <w:t>.</w:t>
            </w:r>
          </w:p>
        </w:tc>
      </w:tr>
      <w:tr w:rsidR="00D33130" w:rsidRPr="00A87B3A" w14:paraId="3D19B552" w14:textId="77777777" w:rsidTr="00676C8D">
        <w:trPr>
          <w:gridAfter w:val="1"/>
          <w:wAfter w:w="10" w:type="dxa"/>
          <w:trHeight w:val="142"/>
        </w:trPr>
        <w:tc>
          <w:tcPr>
            <w:tcW w:w="2668" w:type="dxa"/>
            <w:gridSpan w:val="3"/>
            <w:shd w:val="clear" w:color="auto" w:fill="auto"/>
          </w:tcPr>
          <w:p w14:paraId="23D424E7" w14:textId="497BF626" w:rsidR="00D33130" w:rsidRDefault="00D33130" w:rsidP="00830ACC">
            <w:pPr>
              <w:tabs>
                <w:tab w:val="left" w:pos="1560"/>
              </w:tabs>
              <w:spacing w:before="120" w:after="120" w:line="240" w:lineRule="auto"/>
              <w:rPr>
                <w:rFonts w:ascii="Times New Roman" w:hAnsi="Times New Roman"/>
              </w:rPr>
            </w:pPr>
            <w:r w:rsidRPr="00D33130">
              <w:rPr>
                <w:rFonts w:ascii="Times New Roman" w:hAnsi="Times New Roman"/>
              </w:rPr>
              <w:t>Samorząd wojewódzki</w:t>
            </w:r>
          </w:p>
        </w:tc>
        <w:tc>
          <w:tcPr>
            <w:tcW w:w="2292" w:type="dxa"/>
            <w:gridSpan w:val="7"/>
            <w:shd w:val="clear" w:color="auto" w:fill="auto"/>
          </w:tcPr>
          <w:p w14:paraId="1C9879A0" w14:textId="0A4F0811" w:rsidR="00D33130" w:rsidRDefault="00D33130" w:rsidP="00830ACC">
            <w:pPr>
              <w:spacing w:before="120" w:after="120" w:line="240" w:lineRule="auto"/>
              <w:rPr>
                <w:rFonts w:ascii="Times New Roman" w:hAnsi="Times New Roman"/>
              </w:rPr>
            </w:pPr>
            <w:r>
              <w:rPr>
                <w:rFonts w:ascii="Times New Roman" w:hAnsi="Times New Roman"/>
              </w:rPr>
              <w:t>16</w:t>
            </w:r>
          </w:p>
        </w:tc>
        <w:tc>
          <w:tcPr>
            <w:tcW w:w="2996" w:type="dxa"/>
            <w:gridSpan w:val="12"/>
            <w:shd w:val="clear" w:color="auto" w:fill="auto"/>
          </w:tcPr>
          <w:p w14:paraId="207EC273" w14:textId="79042ACB" w:rsidR="00D33130" w:rsidRDefault="00D33130" w:rsidP="00830ACC">
            <w:pPr>
              <w:spacing w:before="120" w:after="120" w:line="240" w:lineRule="auto"/>
              <w:rPr>
                <w:rFonts w:ascii="Times New Roman" w:hAnsi="Times New Roman"/>
              </w:rPr>
            </w:pPr>
            <w:r>
              <w:rPr>
                <w:rFonts w:ascii="Times New Roman" w:hAnsi="Times New Roman"/>
              </w:rPr>
              <w:t>Dane GUS</w:t>
            </w:r>
          </w:p>
        </w:tc>
        <w:tc>
          <w:tcPr>
            <w:tcW w:w="2981" w:type="dxa"/>
            <w:gridSpan w:val="5"/>
            <w:shd w:val="clear" w:color="auto" w:fill="auto"/>
          </w:tcPr>
          <w:p w14:paraId="39F668A8" w14:textId="51E76A75" w:rsidR="00D33130" w:rsidRDefault="00D33130" w:rsidP="00830ACC">
            <w:pPr>
              <w:spacing w:before="120" w:after="120" w:line="240" w:lineRule="auto"/>
              <w:rPr>
                <w:rFonts w:ascii="Times New Roman" w:hAnsi="Times New Roman"/>
              </w:rPr>
            </w:pPr>
            <w:r w:rsidRPr="00D33130">
              <w:rPr>
                <w:rFonts w:ascii="Times New Roman" w:hAnsi="Times New Roman"/>
              </w:rPr>
              <w:t>Wzmożenie zadań w związku ze sporządz</w:t>
            </w:r>
            <w:r w:rsidR="001E6856">
              <w:rPr>
                <w:rFonts w:ascii="Times New Roman" w:hAnsi="Times New Roman"/>
              </w:rPr>
              <w:t>a</w:t>
            </w:r>
            <w:r w:rsidRPr="00D33130">
              <w:rPr>
                <w:rFonts w:ascii="Times New Roman" w:hAnsi="Times New Roman"/>
              </w:rPr>
              <w:t>niem planów</w:t>
            </w:r>
            <w:r w:rsidR="004D1CBF">
              <w:rPr>
                <w:rFonts w:ascii="Times New Roman" w:hAnsi="Times New Roman"/>
              </w:rPr>
              <w:t xml:space="preserve"> obszarów</w:t>
            </w:r>
            <w:r w:rsidRPr="00D33130">
              <w:rPr>
                <w:rFonts w:ascii="Times New Roman" w:hAnsi="Times New Roman"/>
              </w:rPr>
              <w:t xml:space="preserve"> przyspieszonego rozwoju </w:t>
            </w:r>
            <w:r w:rsidR="006B1C98" w:rsidRPr="006B1C98">
              <w:rPr>
                <w:rFonts w:ascii="Times New Roman" w:hAnsi="Times New Roman"/>
              </w:rPr>
              <w:t>instalacji odnawialnego źródła energii</w:t>
            </w:r>
            <w:r w:rsidR="004D1CBF">
              <w:rPr>
                <w:rFonts w:ascii="Times New Roman" w:hAnsi="Times New Roman"/>
              </w:rPr>
              <w:t xml:space="preserve"> dla województwa</w:t>
            </w:r>
            <w:r w:rsidRPr="00D33130">
              <w:rPr>
                <w:rFonts w:ascii="Times New Roman" w:hAnsi="Times New Roman"/>
              </w:rPr>
              <w:t>.</w:t>
            </w:r>
          </w:p>
        </w:tc>
      </w:tr>
      <w:tr w:rsidR="00D33130" w:rsidRPr="00A87B3A" w14:paraId="6D8E0104" w14:textId="77777777" w:rsidTr="00676C8D">
        <w:trPr>
          <w:gridAfter w:val="1"/>
          <w:wAfter w:w="10" w:type="dxa"/>
          <w:trHeight w:val="142"/>
        </w:trPr>
        <w:tc>
          <w:tcPr>
            <w:tcW w:w="2668" w:type="dxa"/>
            <w:gridSpan w:val="3"/>
            <w:shd w:val="clear" w:color="auto" w:fill="auto"/>
          </w:tcPr>
          <w:p w14:paraId="33969BB3" w14:textId="1C2D8E1C" w:rsidR="00D33130" w:rsidRDefault="00D33130" w:rsidP="00830ACC">
            <w:pPr>
              <w:tabs>
                <w:tab w:val="left" w:pos="1560"/>
              </w:tabs>
              <w:spacing w:before="120" w:after="120" w:line="240" w:lineRule="auto"/>
              <w:rPr>
                <w:rFonts w:ascii="Times New Roman" w:hAnsi="Times New Roman"/>
              </w:rPr>
            </w:pPr>
            <w:r>
              <w:rPr>
                <w:rFonts w:ascii="Times New Roman" w:hAnsi="Times New Roman"/>
              </w:rPr>
              <w:t>Gmina</w:t>
            </w:r>
          </w:p>
        </w:tc>
        <w:tc>
          <w:tcPr>
            <w:tcW w:w="2292" w:type="dxa"/>
            <w:gridSpan w:val="7"/>
            <w:shd w:val="clear" w:color="auto" w:fill="auto"/>
          </w:tcPr>
          <w:p w14:paraId="33DFEDDB" w14:textId="33239A72" w:rsidR="00D33130" w:rsidRDefault="00D33130" w:rsidP="00830ACC">
            <w:pPr>
              <w:spacing w:before="120" w:after="120" w:line="240" w:lineRule="auto"/>
              <w:rPr>
                <w:rFonts w:ascii="Times New Roman" w:hAnsi="Times New Roman"/>
              </w:rPr>
            </w:pPr>
            <w:r>
              <w:rPr>
                <w:rFonts w:ascii="Times New Roman" w:hAnsi="Times New Roman"/>
              </w:rPr>
              <w:t>2477</w:t>
            </w:r>
          </w:p>
        </w:tc>
        <w:tc>
          <w:tcPr>
            <w:tcW w:w="2996" w:type="dxa"/>
            <w:gridSpan w:val="12"/>
            <w:shd w:val="clear" w:color="auto" w:fill="auto"/>
          </w:tcPr>
          <w:p w14:paraId="30B4BD81" w14:textId="0F632BBB" w:rsidR="00D33130" w:rsidRDefault="00D33130" w:rsidP="00830ACC">
            <w:pPr>
              <w:spacing w:before="120" w:after="120" w:line="240" w:lineRule="auto"/>
              <w:rPr>
                <w:rFonts w:ascii="Times New Roman" w:hAnsi="Times New Roman"/>
              </w:rPr>
            </w:pPr>
            <w:r w:rsidRPr="00D33130">
              <w:rPr>
                <w:rFonts w:ascii="Times New Roman" w:hAnsi="Times New Roman"/>
              </w:rPr>
              <w:t>https://www.gov.pl/web/mswia/baza-jst</w:t>
            </w:r>
          </w:p>
        </w:tc>
        <w:tc>
          <w:tcPr>
            <w:tcW w:w="2981" w:type="dxa"/>
            <w:gridSpan w:val="5"/>
            <w:shd w:val="clear" w:color="auto" w:fill="auto"/>
          </w:tcPr>
          <w:p w14:paraId="20D6DAA0" w14:textId="35EBFC65" w:rsidR="00D33130" w:rsidRDefault="00D33130" w:rsidP="00830ACC">
            <w:pPr>
              <w:spacing w:before="120" w:after="120" w:line="240" w:lineRule="auto"/>
              <w:rPr>
                <w:rFonts w:ascii="Times New Roman" w:hAnsi="Times New Roman"/>
              </w:rPr>
            </w:pPr>
            <w:r w:rsidRPr="00D33130">
              <w:rPr>
                <w:rFonts w:ascii="Times New Roman" w:hAnsi="Times New Roman"/>
              </w:rPr>
              <w:t xml:space="preserve">Analiza postanowień </w:t>
            </w:r>
            <w:r w:rsidR="004D1CBF" w:rsidRPr="004D1CBF">
              <w:rPr>
                <w:rFonts w:ascii="Times New Roman" w:hAnsi="Times New Roman"/>
              </w:rPr>
              <w:t xml:space="preserve">planów obszarów przyspieszonego rozwoju </w:t>
            </w:r>
            <w:r w:rsidR="006B1C98" w:rsidRPr="006B1C98">
              <w:rPr>
                <w:rFonts w:ascii="Times New Roman" w:hAnsi="Times New Roman"/>
              </w:rPr>
              <w:t>instalacji odnawialnego źródła energii</w:t>
            </w:r>
            <w:r w:rsidR="004D1CBF" w:rsidRPr="004D1CBF">
              <w:rPr>
                <w:rFonts w:ascii="Times New Roman" w:hAnsi="Times New Roman"/>
              </w:rPr>
              <w:t xml:space="preserve"> dla województwa</w:t>
            </w:r>
            <w:r w:rsidR="004D1CBF" w:rsidRPr="004D1CBF" w:rsidDel="004D1CBF">
              <w:rPr>
                <w:rStyle w:val="Odwoaniedokomentarza"/>
                <w:rFonts w:ascii="Times New Roman" w:hAnsi="Times New Roman"/>
                <w:sz w:val="22"/>
                <w:szCs w:val="22"/>
              </w:rPr>
              <w:t xml:space="preserve"> </w:t>
            </w:r>
            <w:r w:rsidRPr="00D33130">
              <w:rPr>
                <w:rFonts w:ascii="Times New Roman" w:hAnsi="Times New Roman"/>
              </w:rPr>
              <w:t>i ewentualne ich uwzględni</w:t>
            </w:r>
            <w:r w:rsidR="001E6856">
              <w:rPr>
                <w:rFonts w:ascii="Times New Roman" w:hAnsi="Times New Roman"/>
              </w:rPr>
              <w:t>a</w:t>
            </w:r>
            <w:r w:rsidRPr="00D33130">
              <w:rPr>
                <w:rFonts w:ascii="Times New Roman" w:hAnsi="Times New Roman"/>
              </w:rPr>
              <w:t>nie w miejscowych planach zagospodarowania przestrzennego.</w:t>
            </w:r>
          </w:p>
        </w:tc>
      </w:tr>
      <w:tr w:rsidR="00D33130" w:rsidRPr="00A87B3A" w14:paraId="21048406" w14:textId="77777777" w:rsidTr="00676C8D">
        <w:trPr>
          <w:gridAfter w:val="1"/>
          <w:wAfter w:w="10" w:type="dxa"/>
          <w:trHeight w:val="142"/>
        </w:trPr>
        <w:tc>
          <w:tcPr>
            <w:tcW w:w="2668" w:type="dxa"/>
            <w:gridSpan w:val="3"/>
            <w:shd w:val="clear" w:color="auto" w:fill="auto"/>
          </w:tcPr>
          <w:p w14:paraId="6125A8F3" w14:textId="33EACD04" w:rsidR="00D33130" w:rsidRDefault="00D33130" w:rsidP="00830ACC">
            <w:pPr>
              <w:tabs>
                <w:tab w:val="left" w:pos="1560"/>
              </w:tabs>
              <w:spacing w:before="120" w:after="120" w:line="240" w:lineRule="auto"/>
              <w:rPr>
                <w:rFonts w:ascii="Times New Roman" w:hAnsi="Times New Roman"/>
              </w:rPr>
            </w:pPr>
            <w:r w:rsidRPr="00D33130">
              <w:rPr>
                <w:rFonts w:ascii="Times New Roman" w:hAnsi="Times New Roman"/>
              </w:rPr>
              <w:t>Operatorzy systemów dystrybucyjnych</w:t>
            </w:r>
          </w:p>
        </w:tc>
        <w:tc>
          <w:tcPr>
            <w:tcW w:w="2292" w:type="dxa"/>
            <w:gridSpan w:val="7"/>
            <w:shd w:val="clear" w:color="auto" w:fill="auto"/>
          </w:tcPr>
          <w:p w14:paraId="7CCF5089" w14:textId="2B54B1E0" w:rsidR="00D33130" w:rsidRDefault="00D33130" w:rsidP="00830ACC">
            <w:pPr>
              <w:spacing w:before="120" w:after="120" w:line="240" w:lineRule="auto"/>
              <w:rPr>
                <w:rFonts w:ascii="Times New Roman" w:hAnsi="Times New Roman"/>
              </w:rPr>
            </w:pPr>
            <w:r>
              <w:rPr>
                <w:rFonts w:ascii="Times New Roman" w:hAnsi="Times New Roman"/>
              </w:rPr>
              <w:t>189</w:t>
            </w:r>
          </w:p>
        </w:tc>
        <w:tc>
          <w:tcPr>
            <w:tcW w:w="2996" w:type="dxa"/>
            <w:gridSpan w:val="12"/>
            <w:shd w:val="clear" w:color="auto" w:fill="auto"/>
          </w:tcPr>
          <w:p w14:paraId="385184F1" w14:textId="6441D2A0" w:rsidR="00D33130" w:rsidRDefault="00D33130" w:rsidP="00D33130">
            <w:pPr>
              <w:spacing w:before="120" w:after="120" w:line="240" w:lineRule="auto"/>
              <w:rPr>
                <w:rFonts w:ascii="Times New Roman" w:hAnsi="Times New Roman"/>
              </w:rPr>
            </w:pPr>
            <w:r w:rsidRPr="00D33130">
              <w:rPr>
                <w:rFonts w:ascii="Times New Roman" w:hAnsi="Times New Roman"/>
              </w:rPr>
              <w:t>Sprawozdanie Prezesa</w:t>
            </w:r>
            <w:r>
              <w:rPr>
                <w:rFonts w:ascii="Times New Roman" w:hAnsi="Times New Roman"/>
              </w:rPr>
              <w:t xml:space="preserve"> </w:t>
            </w:r>
            <w:r w:rsidRPr="00D33130">
              <w:rPr>
                <w:rFonts w:ascii="Times New Roman" w:hAnsi="Times New Roman"/>
              </w:rPr>
              <w:t>URE za 2022 r.</w:t>
            </w:r>
          </w:p>
        </w:tc>
        <w:tc>
          <w:tcPr>
            <w:tcW w:w="2981" w:type="dxa"/>
            <w:gridSpan w:val="5"/>
            <w:shd w:val="clear" w:color="auto" w:fill="auto"/>
          </w:tcPr>
          <w:p w14:paraId="2A65DE0E" w14:textId="393E8C21" w:rsidR="00D33130" w:rsidRDefault="00D33130" w:rsidP="00830ACC">
            <w:pPr>
              <w:spacing w:before="120" w:after="120" w:line="240" w:lineRule="auto"/>
              <w:rPr>
                <w:rFonts w:ascii="Times New Roman" w:hAnsi="Times New Roman"/>
              </w:rPr>
            </w:pPr>
            <w:r w:rsidRPr="00D33130">
              <w:rPr>
                <w:rFonts w:ascii="Times New Roman" w:hAnsi="Times New Roman"/>
              </w:rPr>
              <w:t xml:space="preserve">Udział w pracach prowadzonych przez marszałków województw nad wyznaczaniem konkretnych obszarów i powierzchni na terenie województwa, które uznaje się za obszary przyspieszonego rozwoju </w:t>
            </w:r>
            <w:r w:rsidR="006B1C98" w:rsidRPr="006B1C98">
              <w:rPr>
                <w:rFonts w:ascii="Times New Roman" w:hAnsi="Times New Roman"/>
              </w:rPr>
              <w:t>instalacji odnawialnego źródła energii</w:t>
            </w:r>
            <w:r w:rsidRPr="00D33130">
              <w:rPr>
                <w:rFonts w:ascii="Times New Roman" w:hAnsi="Times New Roman"/>
              </w:rPr>
              <w:t>.</w:t>
            </w:r>
          </w:p>
        </w:tc>
      </w:tr>
      <w:tr w:rsidR="00D33130" w:rsidRPr="00A87B3A" w14:paraId="18AE37D4" w14:textId="77777777" w:rsidTr="00676C8D">
        <w:trPr>
          <w:gridAfter w:val="1"/>
          <w:wAfter w:w="10" w:type="dxa"/>
          <w:trHeight w:val="142"/>
        </w:trPr>
        <w:tc>
          <w:tcPr>
            <w:tcW w:w="2668" w:type="dxa"/>
            <w:gridSpan w:val="3"/>
            <w:shd w:val="clear" w:color="auto" w:fill="auto"/>
          </w:tcPr>
          <w:p w14:paraId="3BDE74FD" w14:textId="3EF44611" w:rsidR="00D33130" w:rsidRDefault="00D33130" w:rsidP="00830ACC">
            <w:pPr>
              <w:tabs>
                <w:tab w:val="left" w:pos="1560"/>
              </w:tabs>
              <w:spacing w:before="120" w:after="120" w:line="240" w:lineRule="auto"/>
              <w:rPr>
                <w:rFonts w:ascii="Times New Roman" w:hAnsi="Times New Roman"/>
              </w:rPr>
            </w:pPr>
            <w:r w:rsidRPr="00D33130">
              <w:rPr>
                <w:rFonts w:ascii="Times New Roman" w:hAnsi="Times New Roman"/>
              </w:rPr>
              <w:t>Operator systemu przesyłowego</w:t>
            </w:r>
          </w:p>
        </w:tc>
        <w:tc>
          <w:tcPr>
            <w:tcW w:w="2292" w:type="dxa"/>
            <w:gridSpan w:val="7"/>
            <w:shd w:val="clear" w:color="auto" w:fill="auto"/>
          </w:tcPr>
          <w:p w14:paraId="603AE9C5" w14:textId="66B57FF8" w:rsidR="00D33130" w:rsidRDefault="00D33130" w:rsidP="00830ACC">
            <w:pPr>
              <w:spacing w:before="120" w:after="120" w:line="240" w:lineRule="auto"/>
              <w:rPr>
                <w:rFonts w:ascii="Times New Roman" w:hAnsi="Times New Roman"/>
              </w:rPr>
            </w:pPr>
            <w:r w:rsidRPr="00D33130">
              <w:rPr>
                <w:rFonts w:ascii="Times New Roman" w:hAnsi="Times New Roman"/>
              </w:rPr>
              <w:t>Polskie Sieci Elektroenergetyczne S.A.</w:t>
            </w:r>
          </w:p>
        </w:tc>
        <w:tc>
          <w:tcPr>
            <w:tcW w:w="2996" w:type="dxa"/>
            <w:gridSpan w:val="12"/>
            <w:shd w:val="clear" w:color="auto" w:fill="auto"/>
          </w:tcPr>
          <w:p w14:paraId="4F271EEE" w14:textId="77777777" w:rsidR="00D33130" w:rsidRDefault="00D33130" w:rsidP="00830ACC">
            <w:pPr>
              <w:spacing w:before="120" w:after="120" w:line="240" w:lineRule="auto"/>
              <w:rPr>
                <w:rFonts w:ascii="Times New Roman" w:hAnsi="Times New Roman"/>
              </w:rPr>
            </w:pPr>
          </w:p>
        </w:tc>
        <w:tc>
          <w:tcPr>
            <w:tcW w:w="2981" w:type="dxa"/>
            <w:gridSpan w:val="5"/>
            <w:shd w:val="clear" w:color="auto" w:fill="auto"/>
          </w:tcPr>
          <w:p w14:paraId="2ADA6DAC" w14:textId="6999C6FB" w:rsidR="00D33130" w:rsidRDefault="00D33130" w:rsidP="00830ACC">
            <w:pPr>
              <w:spacing w:before="120" w:after="120" w:line="240" w:lineRule="auto"/>
              <w:rPr>
                <w:rFonts w:ascii="Times New Roman" w:hAnsi="Times New Roman"/>
              </w:rPr>
            </w:pPr>
            <w:r w:rsidRPr="00D33130">
              <w:rPr>
                <w:rFonts w:ascii="Times New Roman" w:hAnsi="Times New Roman"/>
              </w:rPr>
              <w:t>Udział w pracach prowadzonych przez marszałków województw nad wyznaczaniem konkretnych obszarów i powierzchni na terenie województwa, które uznaje się za obszary przyspieszonego rozwoju</w:t>
            </w:r>
            <w:r w:rsidR="00381F15">
              <w:rPr>
                <w:rFonts w:ascii="Times New Roman" w:hAnsi="Times New Roman"/>
              </w:rPr>
              <w:t xml:space="preserve"> </w:t>
            </w:r>
            <w:r w:rsidR="006B1C98" w:rsidRPr="006B1C98">
              <w:rPr>
                <w:rFonts w:ascii="Times New Roman" w:hAnsi="Times New Roman"/>
              </w:rPr>
              <w:t>instalacji odnawialnego źródła energii</w:t>
            </w:r>
            <w:r w:rsidRPr="00D33130">
              <w:rPr>
                <w:rFonts w:ascii="Times New Roman" w:hAnsi="Times New Roman"/>
              </w:rPr>
              <w:t>.</w:t>
            </w:r>
          </w:p>
        </w:tc>
      </w:tr>
      <w:tr w:rsidR="00D33130" w:rsidRPr="00A87B3A" w14:paraId="6360041F" w14:textId="77777777" w:rsidTr="00676C8D">
        <w:trPr>
          <w:gridAfter w:val="1"/>
          <w:wAfter w:w="10" w:type="dxa"/>
          <w:trHeight w:val="142"/>
        </w:trPr>
        <w:tc>
          <w:tcPr>
            <w:tcW w:w="2668" w:type="dxa"/>
            <w:gridSpan w:val="3"/>
            <w:shd w:val="clear" w:color="auto" w:fill="auto"/>
          </w:tcPr>
          <w:p w14:paraId="40A54EA9" w14:textId="609EC592" w:rsidR="00D33130" w:rsidRDefault="00D33130" w:rsidP="00830ACC">
            <w:pPr>
              <w:tabs>
                <w:tab w:val="left" w:pos="1560"/>
              </w:tabs>
              <w:spacing w:before="120" w:after="120" w:line="240" w:lineRule="auto"/>
              <w:rPr>
                <w:rFonts w:ascii="Times New Roman" w:hAnsi="Times New Roman"/>
              </w:rPr>
            </w:pPr>
            <w:r w:rsidRPr="00D33130">
              <w:rPr>
                <w:rFonts w:ascii="Times New Roman" w:hAnsi="Times New Roman"/>
              </w:rPr>
              <w:t>Generalny Dyrektor Ochrony Środowiska</w:t>
            </w:r>
          </w:p>
        </w:tc>
        <w:tc>
          <w:tcPr>
            <w:tcW w:w="2292" w:type="dxa"/>
            <w:gridSpan w:val="7"/>
            <w:shd w:val="clear" w:color="auto" w:fill="auto"/>
          </w:tcPr>
          <w:p w14:paraId="20C79226" w14:textId="540EC3E8" w:rsidR="00D33130" w:rsidRDefault="00D33130" w:rsidP="00830ACC">
            <w:pPr>
              <w:spacing w:before="120" w:after="120" w:line="240" w:lineRule="auto"/>
              <w:rPr>
                <w:rFonts w:ascii="Times New Roman" w:hAnsi="Times New Roman"/>
              </w:rPr>
            </w:pPr>
            <w:r>
              <w:rPr>
                <w:rFonts w:ascii="Times New Roman" w:hAnsi="Times New Roman"/>
              </w:rPr>
              <w:t>1</w:t>
            </w:r>
          </w:p>
        </w:tc>
        <w:tc>
          <w:tcPr>
            <w:tcW w:w="2996" w:type="dxa"/>
            <w:gridSpan w:val="12"/>
            <w:shd w:val="clear" w:color="auto" w:fill="auto"/>
          </w:tcPr>
          <w:p w14:paraId="233E6CBC" w14:textId="6331E712" w:rsidR="00D33130" w:rsidRDefault="00D33130" w:rsidP="00830ACC">
            <w:pPr>
              <w:spacing w:before="120" w:after="120" w:line="240" w:lineRule="auto"/>
              <w:rPr>
                <w:rFonts w:ascii="Times New Roman" w:hAnsi="Times New Roman"/>
              </w:rPr>
            </w:pPr>
            <w:r w:rsidRPr="00D33130">
              <w:rPr>
                <w:rFonts w:ascii="Times New Roman" w:hAnsi="Times New Roman"/>
              </w:rPr>
              <w:t>https://www.gov.pl/web/gdos</w:t>
            </w:r>
          </w:p>
        </w:tc>
        <w:tc>
          <w:tcPr>
            <w:tcW w:w="2981" w:type="dxa"/>
            <w:gridSpan w:val="5"/>
            <w:shd w:val="clear" w:color="auto" w:fill="auto"/>
          </w:tcPr>
          <w:p w14:paraId="2CDE333A" w14:textId="4B738A30" w:rsidR="00D33130" w:rsidRDefault="00D33130" w:rsidP="00830ACC">
            <w:pPr>
              <w:spacing w:before="120" w:after="120" w:line="240" w:lineRule="auto"/>
              <w:rPr>
                <w:rFonts w:ascii="Times New Roman" w:hAnsi="Times New Roman"/>
              </w:rPr>
            </w:pPr>
            <w:r w:rsidRPr="00D33130">
              <w:rPr>
                <w:rFonts w:ascii="Times New Roman" w:hAnsi="Times New Roman"/>
              </w:rPr>
              <w:t>Udział w pracach prowadzonych przez marszałków województw nad wyznaczaniem konkretnych obszarów i powierzchni na terenie województwa, które uznaje się za obszary przyspieszonego rozwoju</w:t>
            </w:r>
            <w:r w:rsidR="00381F15">
              <w:rPr>
                <w:rFonts w:ascii="Times New Roman" w:hAnsi="Times New Roman"/>
              </w:rPr>
              <w:t xml:space="preserve"> </w:t>
            </w:r>
            <w:r w:rsidR="006B1C98" w:rsidRPr="006B1C98">
              <w:rPr>
                <w:rFonts w:ascii="Times New Roman" w:hAnsi="Times New Roman"/>
              </w:rPr>
              <w:lastRenderedPageBreak/>
              <w:t>instalacji odnawialnego źródła energii</w:t>
            </w:r>
            <w:r w:rsidRPr="00D33130">
              <w:rPr>
                <w:rFonts w:ascii="Times New Roman" w:hAnsi="Times New Roman"/>
              </w:rPr>
              <w:t>.</w:t>
            </w:r>
          </w:p>
        </w:tc>
      </w:tr>
      <w:tr w:rsidR="0064314C" w:rsidRPr="00A87B3A" w14:paraId="60CA5420" w14:textId="77777777" w:rsidTr="00676C8D">
        <w:trPr>
          <w:gridAfter w:val="1"/>
          <w:wAfter w:w="10" w:type="dxa"/>
          <w:trHeight w:val="142"/>
        </w:trPr>
        <w:tc>
          <w:tcPr>
            <w:tcW w:w="2668" w:type="dxa"/>
            <w:gridSpan w:val="3"/>
            <w:shd w:val="clear" w:color="auto" w:fill="auto"/>
          </w:tcPr>
          <w:p w14:paraId="0CABF377" w14:textId="4332F5B1" w:rsidR="0064314C" w:rsidRPr="00D33130" w:rsidRDefault="0064314C" w:rsidP="00830ACC">
            <w:pPr>
              <w:tabs>
                <w:tab w:val="left" w:pos="1560"/>
              </w:tabs>
              <w:spacing w:before="120" w:after="120" w:line="240" w:lineRule="auto"/>
              <w:rPr>
                <w:rFonts w:ascii="Times New Roman" w:hAnsi="Times New Roman"/>
              </w:rPr>
            </w:pPr>
            <w:r>
              <w:rPr>
                <w:rFonts w:ascii="Times New Roman" w:hAnsi="Times New Roman"/>
              </w:rPr>
              <w:lastRenderedPageBreak/>
              <w:t>Dyrektorzy Urzędów Morskich</w:t>
            </w:r>
          </w:p>
        </w:tc>
        <w:tc>
          <w:tcPr>
            <w:tcW w:w="2292" w:type="dxa"/>
            <w:gridSpan w:val="7"/>
            <w:shd w:val="clear" w:color="auto" w:fill="auto"/>
          </w:tcPr>
          <w:p w14:paraId="3BA7C49E" w14:textId="1F0C86E0" w:rsidR="0064314C" w:rsidRDefault="0064314C" w:rsidP="00830ACC">
            <w:pPr>
              <w:spacing w:before="120" w:after="120" w:line="240" w:lineRule="auto"/>
              <w:rPr>
                <w:rFonts w:ascii="Times New Roman" w:hAnsi="Times New Roman"/>
              </w:rPr>
            </w:pPr>
            <w:r>
              <w:rPr>
                <w:rFonts w:ascii="Times New Roman" w:hAnsi="Times New Roman"/>
              </w:rPr>
              <w:t>2</w:t>
            </w:r>
          </w:p>
        </w:tc>
        <w:tc>
          <w:tcPr>
            <w:tcW w:w="2996" w:type="dxa"/>
            <w:gridSpan w:val="12"/>
            <w:shd w:val="clear" w:color="auto" w:fill="auto"/>
          </w:tcPr>
          <w:p w14:paraId="2E2EB791" w14:textId="4B94C3D5" w:rsidR="0064314C" w:rsidRPr="00D33130" w:rsidRDefault="00C81891" w:rsidP="0064314C">
            <w:pPr>
              <w:spacing w:before="120" w:after="120" w:line="240" w:lineRule="auto"/>
              <w:rPr>
                <w:rFonts w:ascii="Times New Roman" w:hAnsi="Times New Roman"/>
              </w:rPr>
            </w:pPr>
            <w:r w:rsidRPr="00C81891">
              <w:rPr>
                <w:rFonts w:ascii="Times New Roman" w:hAnsi="Times New Roman"/>
              </w:rPr>
              <w:t>§ 1</w:t>
            </w:r>
            <w:r>
              <w:rPr>
                <w:rFonts w:ascii="Times New Roman" w:hAnsi="Times New Roman"/>
              </w:rPr>
              <w:t xml:space="preserve"> r</w:t>
            </w:r>
            <w:r w:rsidR="0064314C">
              <w:rPr>
                <w:rFonts w:ascii="Times New Roman" w:hAnsi="Times New Roman"/>
              </w:rPr>
              <w:t>ozporządzeni</w:t>
            </w:r>
            <w:r>
              <w:rPr>
                <w:rFonts w:ascii="Times New Roman" w:hAnsi="Times New Roman"/>
              </w:rPr>
              <w:t>a</w:t>
            </w:r>
            <w:r w:rsidR="0064314C">
              <w:rPr>
                <w:rFonts w:ascii="Times New Roman" w:hAnsi="Times New Roman"/>
              </w:rPr>
              <w:t xml:space="preserve"> Ministra Transportu i Gospodarki Morskiej </w:t>
            </w:r>
            <w:r w:rsidR="0064314C" w:rsidRPr="0064314C">
              <w:rPr>
                <w:rFonts w:ascii="Times New Roman" w:hAnsi="Times New Roman"/>
              </w:rPr>
              <w:t>z dnia 7 października 1991 r.</w:t>
            </w:r>
            <w:r w:rsidR="0064314C">
              <w:rPr>
                <w:rFonts w:ascii="Times New Roman" w:hAnsi="Times New Roman"/>
              </w:rPr>
              <w:t xml:space="preserve"> </w:t>
            </w:r>
            <w:r w:rsidR="0064314C" w:rsidRPr="0064314C">
              <w:rPr>
                <w:rFonts w:ascii="Times New Roman" w:hAnsi="Times New Roman"/>
              </w:rPr>
              <w:t>w sprawie utworzenia urzędów morskich, określenia ich siedzib oraz terytorialnego zakresu działania dyrektorów urzędów morskich</w:t>
            </w:r>
          </w:p>
        </w:tc>
        <w:tc>
          <w:tcPr>
            <w:tcW w:w="2981" w:type="dxa"/>
            <w:gridSpan w:val="5"/>
            <w:shd w:val="clear" w:color="auto" w:fill="auto"/>
          </w:tcPr>
          <w:p w14:paraId="51450B2B" w14:textId="7EED7CCF" w:rsidR="0064314C" w:rsidRPr="00D33130" w:rsidRDefault="00C81891" w:rsidP="00830ACC">
            <w:pPr>
              <w:spacing w:before="120" w:after="120" w:line="240" w:lineRule="auto"/>
              <w:rPr>
                <w:rFonts w:ascii="Times New Roman" w:hAnsi="Times New Roman"/>
              </w:rPr>
            </w:pPr>
            <w:r>
              <w:rPr>
                <w:rFonts w:ascii="Times New Roman" w:hAnsi="Times New Roman"/>
              </w:rPr>
              <w:t xml:space="preserve">Ustanowienie, w drodze zarządzenia, strefy bezpieczeństwa oraz wyrażanie zgody na </w:t>
            </w:r>
            <w:r w:rsidR="00E15FAE">
              <w:rPr>
                <w:rFonts w:ascii="Times New Roman" w:hAnsi="Times New Roman"/>
              </w:rPr>
              <w:t>wpłynięcie statków w tę strefę.</w:t>
            </w:r>
          </w:p>
        </w:tc>
      </w:tr>
      <w:tr w:rsidR="00D33130" w:rsidRPr="00A87B3A" w14:paraId="7ADF1AE8" w14:textId="77777777" w:rsidTr="00676C8D">
        <w:trPr>
          <w:gridAfter w:val="1"/>
          <w:wAfter w:w="10" w:type="dxa"/>
          <w:trHeight w:val="142"/>
        </w:trPr>
        <w:tc>
          <w:tcPr>
            <w:tcW w:w="2668" w:type="dxa"/>
            <w:gridSpan w:val="3"/>
            <w:shd w:val="clear" w:color="auto" w:fill="auto"/>
          </w:tcPr>
          <w:p w14:paraId="56E28BAA" w14:textId="7348B314" w:rsidR="00D33130" w:rsidRDefault="00D33130" w:rsidP="00830ACC">
            <w:pPr>
              <w:tabs>
                <w:tab w:val="left" w:pos="1560"/>
              </w:tabs>
              <w:spacing w:before="120" w:after="120" w:line="240" w:lineRule="auto"/>
              <w:rPr>
                <w:rFonts w:ascii="Times New Roman" w:hAnsi="Times New Roman"/>
              </w:rPr>
            </w:pPr>
            <w:r w:rsidRPr="00D33130">
              <w:rPr>
                <w:rFonts w:ascii="Times New Roman" w:hAnsi="Times New Roman"/>
              </w:rPr>
              <w:t>Regionalni Dyrektorzy Ochrony Środowiska</w:t>
            </w:r>
          </w:p>
        </w:tc>
        <w:tc>
          <w:tcPr>
            <w:tcW w:w="2292" w:type="dxa"/>
            <w:gridSpan w:val="7"/>
            <w:shd w:val="clear" w:color="auto" w:fill="auto"/>
          </w:tcPr>
          <w:p w14:paraId="4C14D080" w14:textId="388D7156" w:rsidR="00D33130" w:rsidRDefault="00D33130" w:rsidP="00830ACC">
            <w:pPr>
              <w:spacing w:before="120" w:after="120" w:line="240" w:lineRule="auto"/>
              <w:rPr>
                <w:rFonts w:ascii="Times New Roman" w:hAnsi="Times New Roman"/>
              </w:rPr>
            </w:pPr>
            <w:r>
              <w:rPr>
                <w:rFonts w:ascii="Times New Roman" w:hAnsi="Times New Roman"/>
              </w:rPr>
              <w:t>16</w:t>
            </w:r>
          </w:p>
        </w:tc>
        <w:tc>
          <w:tcPr>
            <w:tcW w:w="2996" w:type="dxa"/>
            <w:gridSpan w:val="12"/>
            <w:shd w:val="clear" w:color="auto" w:fill="auto"/>
          </w:tcPr>
          <w:p w14:paraId="558F8CE0" w14:textId="541C0D17" w:rsidR="00D33130" w:rsidRDefault="00D33130" w:rsidP="00830ACC">
            <w:pPr>
              <w:spacing w:before="120" w:after="120" w:line="240" w:lineRule="auto"/>
              <w:rPr>
                <w:rFonts w:ascii="Times New Roman" w:hAnsi="Times New Roman"/>
              </w:rPr>
            </w:pPr>
            <w:r w:rsidRPr="00D33130">
              <w:rPr>
                <w:rFonts w:ascii="Times New Roman" w:hAnsi="Times New Roman"/>
              </w:rPr>
              <w:t>https://www.gov.pl/web/gdos/rdos</w:t>
            </w:r>
          </w:p>
        </w:tc>
        <w:tc>
          <w:tcPr>
            <w:tcW w:w="2981" w:type="dxa"/>
            <w:gridSpan w:val="5"/>
            <w:shd w:val="clear" w:color="auto" w:fill="auto"/>
          </w:tcPr>
          <w:p w14:paraId="7F1C4710" w14:textId="2A8928B5" w:rsidR="00D33130" w:rsidRDefault="00D33130" w:rsidP="00830ACC">
            <w:pPr>
              <w:spacing w:before="120" w:after="120" w:line="240" w:lineRule="auto"/>
              <w:rPr>
                <w:rFonts w:ascii="Times New Roman" w:hAnsi="Times New Roman"/>
              </w:rPr>
            </w:pPr>
            <w:r w:rsidRPr="00D33130">
              <w:rPr>
                <w:rFonts w:ascii="Times New Roman" w:hAnsi="Times New Roman"/>
              </w:rPr>
              <w:t xml:space="preserve">Udział w pracach prowadzonych przez marszałków województw nad wyznaczaniem konkretnych obszarów i powierzchni na terenie województwa, które uznaje się za obszary przyspieszonego rozwoju </w:t>
            </w:r>
            <w:r w:rsidR="006B1C98" w:rsidRPr="006B1C98">
              <w:rPr>
                <w:rFonts w:ascii="Times New Roman" w:hAnsi="Times New Roman"/>
              </w:rPr>
              <w:t>instalacji odnawialnego źródła energii</w:t>
            </w:r>
            <w:r w:rsidR="00381F15">
              <w:rPr>
                <w:rFonts w:ascii="Times New Roman" w:hAnsi="Times New Roman"/>
              </w:rPr>
              <w:t xml:space="preserve"> </w:t>
            </w:r>
            <w:r w:rsidRPr="00D33130">
              <w:rPr>
                <w:rFonts w:ascii="Times New Roman" w:hAnsi="Times New Roman"/>
              </w:rPr>
              <w:t xml:space="preserve">oraz wzmożenie zadań w związku z poddawaniem wojewódzkich planów wyznaczających obszary przyspieszonego rozwoju </w:t>
            </w:r>
            <w:r w:rsidR="006B1C98" w:rsidRPr="006B1C98">
              <w:rPr>
                <w:rFonts w:ascii="Times New Roman" w:hAnsi="Times New Roman"/>
              </w:rPr>
              <w:t>instalacji odnawialnego źródła energii</w:t>
            </w:r>
            <w:r w:rsidR="006B1C98">
              <w:rPr>
                <w:rFonts w:ascii="Times New Roman" w:hAnsi="Times New Roman"/>
              </w:rPr>
              <w:t xml:space="preserve"> </w:t>
            </w:r>
            <w:r w:rsidRPr="00D33130">
              <w:rPr>
                <w:rFonts w:ascii="Times New Roman" w:hAnsi="Times New Roman"/>
              </w:rPr>
              <w:t>strategicznej ocenie oddziaływania na środowisko.</w:t>
            </w:r>
          </w:p>
        </w:tc>
      </w:tr>
      <w:tr w:rsidR="00DB084E" w:rsidRPr="00A87B3A" w14:paraId="5349BD17" w14:textId="77777777" w:rsidTr="00676C8D">
        <w:trPr>
          <w:gridAfter w:val="1"/>
          <w:wAfter w:w="10" w:type="dxa"/>
          <w:trHeight w:val="142"/>
        </w:trPr>
        <w:tc>
          <w:tcPr>
            <w:tcW w:w="2668" w:type="dxa"/>
            <w:gridSpan w:val="3"/>
            <w:shd w:val="clear" w:color="auto" w:fill="auto"/>
          </w:tcPr>
          <w:p w14:paraId="29C1DC12" w14:textId="4960A705" w:rsidR="00DB084E" w:rsidRDefault="003A4F87" w:rsidP="00830ACC">
            <w:pPr>
              <w:tabs>
                <w:tab w:val="left" w:pos="1560"/>
              </w:tabs>
              <w:spacing w:before="120" w:after="120" w:line="240" w:lineRule="auto"/>
              <w:rPr>
                <w:rFonts w:ascii="Times New Roman" w:hAnsi="Times New Roman"/>
              </w:rPr>
            </w:pPr>
            <w:r w:rsidRPr="003A4F87">
              <w:rPr>
                <w:rFonts w:ascii="Times New Roman" w:hAnsi="Times New Roman"/>
              </w:rPr>
              <w:t>Potencjalni wytwórcy energii z odnawialnych źródeł energii w instalacjach odnawialnych źródeł energii</w:t>
            </w:r>
          </w:p>
        </w:tc>
        <w:tc>
          <w:tcPr>
            <w:tcW w:w="2292" w:type="dxa"/>
            <w:gridSpan w:val="7"/>
            <w:shd w:val="clear" w:color="auto" w:fill="auto"/>
          </w:tcPr>
          <w:p w14:paraId="0D24783B" w14:textId="6DEB4D05" w:rsidR="00DB084E" w:rsidRDefault="003A4F87" w:rsidP="00830ACC">
            <w:pPr>
              <w:spacing w:before="120" w:after="120" w:line="240" w:lineRule="auto"/>
              <w:rPr>
                <w:rFonts w:ascii="Times New Roman" w:hAnsi="Times New Roman"/>
              </w:rPr>
            </w:pPr>
            <w:r w:rsidRPr="003A4F87">
              <w:rPr>
                <w:rFonts w:ascii="Times New Roman" w:hAnsi="Times New Roman"/>
              </w:rPr>
              <w:t>Trudna do oszacowania</w:t>
            </w:r>
          </w:p>
        </w:tc>
        <w:tc>
          <w:tcPr>
            <w:tcW w:w="2996" w:type="dxa"/>
            <w:gridSpan w:val="12"/>
            <w:shd w:val="clear" w:color="auto" w:fill="auto"/>
          </w:tcPr>
          <w:p w14:paraId="4B25332B" w14:textId="6E03FDB7" w:rsidR="00D33130" w:rsidRDefault="00D33130" w:rsidP="00830ACC">
            <w:pPr>
              <w:spacing w:before="120" w:after="120" w:line="240" w:lineRule="auto"/>
              <w:rPr>
                <w:rFonts w:ascii="Times New Roman" w:hAnsi="Times New Roman"/>
              </w:rPr>
            </w:pPr>
          </w:p>
        </w:tc>
        <w:tc>
          <w:tcPr>
            <w:tcW w:w="2981" w:type="dxa"/>
            <w:gridSpan w:val="5"/>
            <w:shd w:val="clear" w:color="auto" w:fill="auto"/>
          </w:tcPr>
          <w:p w14:paraId="6D28DA40" w14:textId="2BFB3078" w:rsidR="00DB084E" w:rsidRDefault="003A4F87" w:rsidP="00830ACC">
            <w:pPr>
              <w:spacing w:before="120" w:after="120" w:line="240" w:lineRule="auto"/>
              <w:rPr>
                <w:rFonts w:ascii="Times New Roman" w:hAnsi="Times New Roman"/>
              </w:rPr>
            </w:pPr>
            <w:r w:rsidRPr="003A4F87">
              <w:rPr>
                <w:rFonts w:ascii="Times New Roman" w:hAnsi="Times New Roman"/>
              </w:rPr>
              <w:t>Uproszczenie, skrócenie lub liberalizacja procedur administracyjnych w procesie inwestycyjnym OZE.</w:t>
            </w:r>
          </w:p>
        </w:tc>
      </w:tr>
      <w:tr w:rsidR="000B0DB3" w:rsidRPr="00A87B3A" w14:paraId="6FA8DA88" w14:textId="77777777" w:rsidTr="00676C8D">
        <w:trPr>
          <w:gridAfter w:val="1"/>
          <w:wAfter w:w="10" w:type="dxa"/>
          <w:trHeight w:val="142"/>
        </w:trPr>
        <w:tc>
          <w:tcPr>
            <w:tcW w:w="2668" w:type="dxa"/>
            <w:gridSpan w:val="3"/>
            <w:shd w:val="clear" w:color="auto" w:fill="auto"/>
          </w:tcPr>
          <w:p w14:paraId="48F82BD0" w14:textId="60F4C019" w:rsidR="000B0DB3" w:rsidRPr="003A4F87" w:rsidRDefault="000B0DB3" w:rsidP="00830ACC">
            <w:pPr>
              <w:tabs>
                <w:tab w:val="left" w:pos="1560"/>
              </w:tabs>
              <w:spacing w:before="120" w:after="120" w:line="240" w:lineRule="auto"/>
              <w:rPr>
                <w:rFonts w:ascii="Times New Roman" w:hAnsi="Times New Roman"/>
              </w:rPr>
            </w:pPr>
            <w:r>
              <w:rPr>
                <w:rFonts w:ascii="Times New Roman" w:hAnsi="Times New Roman"/>
              </w:rPr>
              <w:t>Odbiorcy końcowi energii elektrycznej</w:t>
            </w:r>
          </w:p>
        </w:tc>
        <w:tc>
          <w:tcPr>
            <w:tcW w:w="2292" w:type="dxa"/>
            <w:gridSpan w:val="7"/>
            <w:shd w:val="clear" w:color="auto" w:fill="auto"/>
          </w:tcPr>
          <w:p w14:paraId="73B5B09D" w14:textId="45CA950D" w:rsidR="000B0DB3" w:rsidRPr="003A4F87" w:rsidRDefault="000B0DB3" w:rsidP="00830ACC">
            <w:pPr>
              <w:spacing w:before="120" w:after="120" w:line="240" w:lineRule="auto"/>
              <w:rPr>
                <w:rFonts w:ascii="Times New Roman" w:hAnsi="Times New Roman"/>
              </w:rPr>
            </w:pPr>
            <w:r>
              <w:rPr>
                <w:rFonts w:ascii="Times New Roman" w:hAnsi="Times New Roman"/>
              </w:rPr>
              <w:t>17,6 mln</w:t>
            </w:r>
          </w:p>
        </w:tc>
        <w:tc>
          <w:tcPr>
            <w:tcW w:w="2996" w:type="dxa"/>
            <w:gridSpan w:val="12"/>
            <w:shd w:val="clear" w:color="auto" w:fill="auto"/>
          </w:tcPr>
          <w:p w14:paraId="1C456003" w14:textId="71C14D69" w:rsidR="000B0DB3" w:rsidRDefault="000B0DB3" w:rsidP="00830ACC">
            <w:pPr>
              <w:spacing w:before="120" w:after="120" w:line="240" w:lineRule="auto"/>
              <w:rPr>
                <w:rFonts w:ascii="Times New Roman" w:hAnsi="Times New Roman"/>
              </w:rPr>
            </w:pPr>
            <w:r>
              <w:rPr>
                <w:rFonts w:ascii="Times New Roman" w:hAnsi="Times New Roman"/>
              </w:rPr>
              <w:t>URE</w:t>
            </w:r>
          </w:p>
        </w:tc>
        <w:tc>
          <w:tcPr>
            <w:tcW w:w="2981" w:type="dxa"/>
            <w:gridSpan w:val="5"/>
            <w:shd w:val="clear" w:color="auto" w:fill="auto"/>
          </w:tcPr>
          <w:p w14:paraId="2C811900" w14:textId="136F0E57" w:rsidR="000B0DB3" w:rsidRPr="003A4F87" w:rsidRDefault="000B0DB3" w:rsidP="00830ACC">
            <w:pPr>
              <w:spacing w:before="120" w:after="120" w:line="240" w:lineRule="auto"/>
              <w:rPr>
                <w:rFonts w:ascii="Times New Roman" w:hAnsi="Times New Roman"/>
              </w:rPr>
            </w:pPr>
            <w:r>
              <w:rPr>
                <w:rFonts w:ascii="Times New Roman" w:hAnsi="Times New Roman"/>
              </w:rPr>
              <w:t>Skuteczna i sprawna realizacja inwestycji w zakresie MFW zagwarantuje bezpieczeństwo dostaw energii elektrycznej oraz tańsze cen</w:t>
            </w:r>
            <w:r w:rsidR="00444322">
              <w:rPr>
                <w:rFonts w:ascii="Times New Roman" w:hAnsi="Times New Roman"/>
              </w:rPr>
              <w:t>y</w:t>
            </w:r>
            <w:r>
              <w:rPr>
                <w:rFonts w:ascii="Times New Roman" w:hAnsi="Times New Roman"/>
              </w:rPr>
              <w:t xml:space="preserve"> tej energii dla odbiorców końcowych.</w:t>
            </w:r>
          </w:p>
        </w:tc>
      </w:tr>
      <w:tr w:rsidR="000B0DB3" w:rsidRPr="00A87B3A" w14:paraId="3F94C715" w14:textId="77777777" w:rsidTr="00676C8D">
        <w:trPr>
          <w:gridAfter w:val="1"/>
          <w:wAfter w:w="10" w:type="dxa"/>
          <w:trHeight w:val="142"/>
        </w:trPr>
        <w:tc>
          <w:tcPr>
            <w:tcW w:w="2668" w:type="dxa"/>
            <w:gridSpan w:val="3"/>
            <w:shd w:val="clear" w:color="auto" w:fill="auto"/>
          </w:tcPr>
          <w:p w14:paraId="1838CCDD" w14:textId="1A825417" w:rsidR="000B0DB3" w:rsidRDefault="000B0DB3" w:rsidP="00830ACC">
            <w:pPr>
              <w:tabs>
                <w:tab w:val="left" w:pos="1560"/>
              </w:tabs>
              <w:spacing w:before="120" w:after="120" w:line="240" w:lineRule="auto"/>
              <w:rPr>
                <w:rFonts w:ascii="Times New Roman" w:hAnsi="Times New Roman"/>
              </w:rPr>
            </w:pPr>
            <w:r>
              <w:rPr>
                <w:rFonts w:ascii="Times New Roman" w:hAnsi="Times New Roman"/>
              </w:rPr>
              <w:t xml:space="preserve">Osoby pracujące </w:t>
            </w:r>
            <w:r w:rsidRPr="000B0DB3">
              <w:rPr>
                <w:rFonts w:ascii="Times New Roman" w:hAnsi="Times New Roman"/>
              </w:rPr>
              <w:t>w portach morskich</w:t>
            </w:r>
            <w:r w:rsidR="000D252D">
              <w:rPr>
                <w:rFonts w:ascii="Times New Roman" w:hAnsi="Times New Roman"/>
              </w:rPr>
              <w:t>,</w:t>
            </w:r>
            <w:r w:rsidRPr="000B0DB3">
              <w:rPr>
                <w:rFonts w:ascii="Times New Roman" w:hAnsi="Times New Roman"/>
              </w:rPr>
              <w:t xml:space="preserve"> terminalach instalacyjnych lub bazach serwisowych przeznaczonych do celów obsługi budowy lub eksploatacji MFW lub zespołu urządzeń służących do wyprowadzenia mocy</w:t>
            </w:r>
            <w:r>
              <w:rPr>
                <w:rFonts w:ascii="Times New Roman" w:hAnsi="Times New Roman"/>
              </w:rPr>
              <w:t xml:space="preserve"> oraz </w:t>
            </w:r>
            <w:r w:rsidRPr="000B0DB3">
              <w:rPr>
                <w:rFonts w:ascii="Times New Roman" w:hAnsi="Times New Roman"/>
              </w:rPr>
              <w:t>personel przemysłowy</w:t>
            </w:r>
          </w:p>
        </w:tc>
        <w:tc>
          <w:tcPr>
            <w:tcW w:w="2292" w:type="dxa"/>
            <w:gridSpan w:val="7"/>
            <w:shd w:val="clear" w:color="auto" w:fill="auto"/>
          </w:tcPr>
          <w:p w14:paraId="5617F328" w14:textId="6240E76C" w:rsidR="000B0DB3" w:rsidRDefault="000A6435" w:rsidP="00830ACC">
            <w:pPr>
              <w:spacing w:before="120" w:after="120" w:line="240" w:lineRule="auto"/>
              <w:rPr>
                <w:rFonts w:ascii="Times New Roman" w:hAnsi="Times New Roman"/>
              </w:rPr>
            </w:pPr>
            <w:r>
              <w:rPr>
                <w:rFonts w:ascii="Times New Roman" w:hAnsi="Times New Roman"/>
              </w:rPr>
              <w:t>2</w:t>
            </w:r>
            <w:r w:rsidR="00542B45">
              <w:rPr>
                <w:rFonts w:ascii="Times New Roman" w:hAnsi="Times New Roman"/>
              </w:rPr>
              <w:t>1</w:t>
            </w:r>
            <w:r>
              <w:rPr>
                <w:rFonts w:ascii="Times New Roman" w:hAnsi="Times New Roman"/>
              </w:rPr>
              <w:t xml:space="preserve"> tys</w:t>
            </w:r>
            <w:r w:rsidR="00542B45">
              <w:rPr>
                <w:rFonts w:ascii="Times New Roman" w:hAnsi="Times New Roman"/>
              </w:rPr>
              <w:t>.</w:t>
            </w:r>
            <w:r>
              <w:rPr>
                <w:rFonts w:ascii="Times New Roman" w:hAnsi="Times New Roman"/>
              </w:rPr>
              <w:t xml:space="preserve"> (</w:t>
            </w:r>
            <w:r w:rsidR="00542B45">
              <w:rPr>
                <w:rFonts w:ascii="Times New Roman" w:hAnsi="Times New Roman"/>
              </w:rPr>
              <w:t>do 2030 r.)</w:t>
            </w:r>
          </w:p>
        </w:tc>
        <w:tc>
          <w:tcPr>
            <w:tcW w:w="2996" w:type="dxa"/>
            <w:gridSpan w:val="12"/>
            <w:shd w:val="clear" w:color="auto" w:fill="auto"/>
          </w:tcPr>
          <w:p w14:paraId="6FD81A33" w14:textId="40AC80B2" w:rsidR="000B0DB3" w:rsidRDefault="00542B45" w:rsidP="00830ACC">
            <w:pPr>
              <w:spacing w:before="120" w:after="120" w:line="240" w:lineRule="auto"/>
              <w:rPr>
                <w:rFonts w:ascii="Times New Roman" w:hAnsi="Times New Roman"/>
              </w:rPr>
            </w:pPr>
            <w:r w:rsidRPr="00542B45">
              <w:rPr>
                <w:rFonts w:ascii="Times New Roman" w:hAnsi="Times New Roman"/>
              </w:rPr>
              <w:t>https://www.psew.pl/raporty/</w:t>
            </w:r>
          </w:p>
        </w:tc>
        <w:tc>
          <w:tcPr>
            <w:tcW w:w="2981" w:type="dxa"/>
            <w:gridSpan w:val="5"/>
            <w:shd w:val="clear" w:color="auto" w:fill="auto"/>
          </w:tcPr>
          <w:p w14:paraId="5071FA1B" w14:textId="2D5FB18A" w:rsidR="000B0DB3" w:rsidRDefault="00542B45" w:rsidP="00830ACC">
            <w:pPr>
              <w:spacing w:before="120" w:after="120" w:line="240" w:lineRule="auto"/>
              <w:rPr>
                <w:rFonts w:ascii="Times New Roman" w:hAnsi="Times New Roman"/>
              </w:rPr>
            </w:pPr>
            <w:r>
              <w:rPr>
                <w:rFonts w:ascii="Times New Roman" w:hAnsi="Times New Roman"/>
              </w:rPr>
              <w:t xml:space="preserve">Zagwarantowanie stabilnych </w:t>
            </w:r>
            <w:r w:rsidR="00944BCE">
              <w:rPr>
                <w:rFonts w:ascii="Times New Roman" w:hAnsi="Times New Roman"/>
              </w:rPr>
              <w:t>i </w:t>
            </w:r>
            <w:r>
              <w:rPr>
                <w:rFonts w:ascii="Times New Roman" w:hAnsi="Times New Roman"/>
              </w:rPr>
              <w:t>przejrzystych warunków pracy</w:t>
            </w:r>
            <w:r w:rsidR="000D252D">
              <w:rPr>
                <w:rFonts w:ascii="Times New Roman" w:hAnsi="Times New Roman"/>
              </w:rPr>
              <w:t>.</w:t>
            </w:r>
          </w:p>
        </w:tc>
      </w:tr>
      <w:tr w:rsidR="000B0DB3" w:rsidRPr="00A87B3A" w14:paraId="4AB97A62" w14:textId="77777777" w:rsidTr="00676C8D">
        <w:trPr>
          <w:gridAfter w:val="1"/>
          <w:wAfter w:w="10" w:type="dxa"/>
          <w:trHeight w:val="142"/>
        </w:trPr>
        <w:tc>
          <w:tcPr>
            <w:tcW w:w="2668" w:type="dxa"/>
            <w:gridSpan w:val="3"/>
            <w:shd w:val="clear" w:color="auto" w:fill="auto"/>
          </w:tcPr>
          <w:p w14:paraId="39B01208" w14:textId="2576E57A" w:rsidR="000B0DB3" w:rsidRDefault="00542B45" w:rsidP="00830ACC">
            <w:pPr>
              <w:tabs>
                <w:tab w:val="left" w:pos="1560"/>
              </w:tabs>
              <w:spacing w:before="120" w:after="120" w:line="240" w:lineRule="auto"/>
              <w:rPr>
                <w:rFonts w:ascii="Times New Roman" w:hAnsi="Times New Roman"/>
              </w:rPr>
            </w:pPr>
            <w:r>
              <w:rPr>
                <w:rFonts w:ascii="Times New Roman" w:hAnsi="Times New Roman"/>
              </w:rPr>
              <w:t>Osoby pracujące na statkach rybackich</w:t>
            </w:r>
          </w:p>
        </w:tc>
        <w:tc>
          <w:tcPr>
            <w:tcW w:w="2292" w:type="dxa"/>
            <w:gridSpan w:val="7"/>
            <w:shd w:val="clear" w:color="auto" w:fill="auto"/>
          </w:tcPr>
          <w:p w14:paraId="32B092B3" w14:textId="72DD8D71" w:rsidR="000B0DB3" w:rsidRDefault="00542B45" w:rsidP="00830ACC">
            <w:pPr>
              <w:spacing w:before="120" w:after="120" w:line="240" w:lineRule="auto"/>
              <w:rPr>
                <w:rFonts w:ascii="Times New Roman" w:hAnsi="Times New Roman"/>
              </w:rPr>
            </w:pPr>
            <w:r>
              <w:rPr>
                <w:rFonts w:ascii="Times New Roman" w:hAnsi="Times New Roman"/>
              </w:rPr>
              <w:t xml:space="preserve">Kilkaset (biorąc pod uwagę, że obecnie są </w:t>
            </w:r>
            <w:r w:rsidRPr="00542B45">
              <w:rPr>
                <w:rFonts w:ascii="Times New Roman" w:hAnsi="Times New Roman"/>
              </w:rPr>
              <w:t>824 statki i łodzie</w:t>
            </w:r>
            <w:r>
              <w:rPr>
                <w:rFonts w:ascii="Times New Roman" w:hAnsi="Times New Roman"/>
              </w:rPr>
              <w:t>, przy czym na obszarach wyłącznej strefy ekonomicznej, na których lokalizowane są MFW</w:t>
            </w:r>
            <w:r w:rsidR="000D252D">
              <w:rPr>
                <w:rFonts w:ascii="Times New Roman" w:hAnsi="Times New Roman"/>
              </w:rPr>
              <w:t>,</w:t>
            </w:r>
            <w:r>
              <w:rPr>
                <w:rFonts w:ascii="Times New Roman" w:hAnsi="Times New Roman"/>
              </w:rPr>
              <w:t xml:space="preserve"> połowy </w:t>
            </w:r>
            <w:r>
              <w:rPr>
                <w:rFonts w:ascii="Times New Roman" w:hAnsi="Times New Roman"/>
              </w:rPr>
              <w:lastRenderedPageBreak/>
              <w:t>realizowane są przez kilka procent z ww. liczby)</w:t>
            </w:r>
          </w:p>
        </w:tc>
        <w:tc>
          <w:tcPr>
            <w:tcW w:w="2996" w:type="dxa"/>
            <w:gridSpan w:val="12"/>
            <w:shd w:val="clear" w:color="auto" w:fill="auto"/>
          </w:tcPr>
          <w:p w14:paraId="3AF8B60B" w14:textId="708D22FD" w:rsidR="000B0DB3" w:rsidRDefault="00542B45" w:rsidP="00830ACC">
            <w:pPr>
              <w:spacing w:before="120" w:after="120" w:line="240" w:lineRule="auto"/>
              <w:rPr>
                <w:rFonts w:ascii="Times New Roman" w:hAnsi="Times New Roman"/>
              </w:rPr>
            </w:pPr>
            <w:r w:rsidRPr="00542B45">
              <w:rPr>
                <w:rFonts w:ascii="Times New Roman" w:hAnsi="Times New Roman"/>
              </w:rPr>
              <w:lastRenderedPageBreak/>
              <w:t>https://stat.gov.pl/obszary-tematyczne/transport-i-lacznosc/transport/gospodarka-morska-w-polsce-w-2023-roku,7,21.html</w:t>
            </w:r>
          </w:p>
        </w:tc>
        <w:tc>
          <w:tcPr>
            <w:tcW w:w="2981" w:type="dxa"/>
            <w:gridSpan w:val="5"/>
            <w:shd w:val="clear" w:color="auto" w:fill="auto"/>
          </w:tcPr>
          <w:p w14:paraId="726C95BD" w14:textId="4B2ACC94" w:rsidR="000B0DB3" w:rsidRDefault="000D252D" w:rsidP="00830ACC">
            <w:pPr>
              <w:spacing w:before="120" w:after="120" w:line="240" w:lineRule="auto"/>
              <w:rPr>
                <w:rFonts w:ascii="Times New Roman" w:hAnsi="Times New Roman"/>
              </w:rPr>
            </w:pPr>
            <w:r>
              <w:rPr>
                <w:rFonts w:ascii="Times New Roman" w:hAnsi="Times New Roman"/>
              </w:rPr>
              <w:t xml:space="preserve">Zapewnienie stabilnych </w:t>
            </w:r>
            <w:r w:rsidR="00944BCE">
              <w:rPr>
                <w:rFonts w:ascii="Times New Roman" w:hAnsi="Times New Roman"/>
              </w:rPr>
              <w:t>i </w:t>
            </w:r>
            <w:r>
              <w:rPr>
                <w:rFonts w:ascii="Times New Roman" w:hAnsi="Times New Roman"/>
              </w:rPr>
              <w:t xml:space="preserve">przejrzystych zasad </w:t>
            </w:r>
            <w:r w:rsidRPr="000D252D">
              <w:rPr>
                <w:rFonts w:ascii="Times New Roman" w:hAnsi="Times New Roman"/>
              </w:rPr>
              <w:t>wykonywania rybołówstwa komercyjnego na obszar</w:t>
            </w:r>
            <w:r>
              <w:rPr>
                <w:rFonts w:ascii="Times New Roman" w:hAnsi="Times New Roman"/>
              </w:rPr>
              <w:t xml:space="preserve"> MFW oraz </w:t>
            </w:r>
            <w:r w:rsidRPr="000D252D">
              <w:rPr>
                <w:rFonts w:ascii="Times New Roman" w:hAnsi="Times New Roman"/>
              </w:rPr>
              <w:t>spos</w:t>
            </w:r>
            <w:r>
              <w:rPr>
                <w:rFonts w:ascii="Times New Roman" w:hAnsi="Times New Roman"/>
              </w:rPr>
              <w:t>obu</w:t>
            </w:r>
            <w:r w:rsidRPr="000D252D">
              <w:rPr>
                <w:rFonts w:ascii="Times New Roman" w:hAnsi="Times New Roman"/>
              </w:rPr>
              <w:t xml:space="preserve"> szacowania wartości zadośćuczynienia</w:t>
            </w:r>
            <w:r>
              <w:rPr>
                <w:rFonts w:ascii="Times New Roman" w:hAnsi="Times New Roman"/>
              </w:rPr>
              <w:t xml:space="preserve"> za </w:t>
            </w:r>
            <w:r>
              <w:rPr>
                <w:rFonts w:ascii="Times New Roman" w:hAnsi="Times New Roman"/>
              </w:rPr>
              <w:lastRenderedPageBreak/>
              <w:t>ograniczenie połowów na tych obszarach.</w:t>
            </w:r>
          </w:p>
        </w:tc>
      </w:tr>
      <w:tr w:rsidR="00830ACC" w:rsidRPr="00A87B3A" w14:paraId="69B3A722" w14:textId="77777777" w:rsidTr="00676C8D">
        <w:trPr>
          <w:gridAfter w:val="1"/>
          <w:wAfter w:w="10" w:type="dxa"/>
          <w:trHeight w:val="302"/>
        </w:trPr>
        <w:tc>
          <w:tcPr>
            <w:tcW w:w="10937" w:type="dxa"/>
            <w:gridSpan w:val="27"/>
            <w:shd w:val="clear" w:color="auto" w:fill="99CCFF"/>
            <w:vAlign w:val="center"/>
          </w:tcPr>
          <w:p w14:paraId="7D9F7760" w14:textId="77777777" w:rsidR="00830ACC" w:rsidRPr="00A87B3A" w:rsidRDefault="00830ACC" w:rsidP="00830ACC">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lastRenderedPageBreak/>
              <w:t>Informacje na temat zakresu, czasu trwania i podsumowanie wyników konsultacji</w:t>
            </w:r>
          </w:p>
        </w:tc>
      </w:tr>
      <w:tr w:rsidR="00830ACC" w:rsidRPr="00A87B3A" w14:paraId="0A8C817F" w14:textId="77777777" w:rsidTr="00676C8D">
        <w:trPr>
          <w:gridAfter w:val="1"/>
          <w:wAfter w:w="10" w:type="dxa"/>
          <w:trHeight w:val="342"/>
        </w:trPr>
        <w:tc>
          <w:tcPr>
            <w:tcW w:w="10937" w:type="dxa"/>
            <w:gridSpan w:val="27"/>
            <w:shd w:val="clear" w:color="auto" w:fill="FFFFFF"/>
          </w:tcPr>
          <w:p w14:paraId="2C1FAB6E" w14:textId="55508714" w:rsidR="00830ACC" w:rsidRDefault="00830ACC" w:rsidP="00830ACC">
            <w:pPr>
              <w:spacing w:before="120" w:after="120" w:line="240" w:lineRule="auto"/>
              <w:jc w:val="both"/>
              <w:rPr>
                <w:rFonts w:ascii="Times New Roman" w:hAnsi="Times New Roman"/>
                <w:color w:val="000000"/>
                <w:spacing w:val="-2"/>
              </w:rPr>
            </w:pPr>
            <w:r w:rsidRPr="00CB6F96">
              <w:rPr>
                <w:rFonts w:ascii="Times New Roman" w:hAnsi="Times New Roman"/>
                <w:color w:val="000000"/>
                <w:spacing w:val="-2"/>
              </w:rPr>
              <w:t xml:space="preserve">Projekt nie był przedmiotem prekonsultacji. </w:t>
            </w:r>
          </w:p>
          <w:p w14:paraId="7F634973" w14:textId="7DAA459F" w:rsidR="00497E0F" w:rsidRDefault="00497E0F" w:rsidP="00497E0F">
            <w:pPr>
              <w:pStyle w:val="NormalnyWeb"/>
              <w:spacing w:before="120" w:beforeAutospacing="0" w:after="0" w:afterAutospacing="0"/>
              <w:jc w:val="both"/>
              <w:rPr>
                <w:color w:val="000000"/>
                <w:sz w:val="22"/>
                <w:szCs w:val="22"/>
              </w:rPr>
            </w:pPr>
            <w:r>
              <w:rPr>
                <w:color w:val="000000"/>
                <w:sz w:val="22"/>
                <w:szCs w:val="22"/>
              </w:rPr>
              <w:t>Projekt, zgodnie z art. 5 ustawy z dnia 7 lipca 2005 r. o działalności lobbingowej w procesie stanowienia prawa</w:t>
            </w:r>
            <w:r w:rsidR="005C388A">
              <w:rPr>
                <w:color w:val="000000"/>
                <w:sz w:val="22"/>
                <w:szCs w:val="22"/>
              </w:rPr>
              <w:t xml:space="preserve"> </w:t>
            </w:r>
            <w:r w:rsidR="005C388A" w:rsidRPr="005C388A">
              <w:rPr>
                <w:color w:val="000000"/>
                <w:sz w:val="22"/>
                <w:szCs w:val="22"/>
              </w:rPr>
              <w:t xml:space="preserve">(Dz.U. </w:t>
            </w:r>
            <w:r w:rsidR="00944BCE" w:rsidRPr="005C388A">
              <w:rPr>
                <w:color w:val="000000"/>
                <w:sz w:val="22"/>
                <w:szCs w:val="22"/>
              </w:rPr>
              <w:t>z</w:t>
            </w:r>
            <w:r w:rsidR="00944BCE">
              <w:rPr>
                <w:color w:val="000000"/>
                <w:sz w:val="22"/>
                <w:szCs w:val="22"/>
              </w:rPr>
              <w:t> </w:t>
            </w:r>
            <w:r w:rsidR="005C388A" w:rsidRPr="005C388A">
              <w:rPr>
                <w:color w:val="000000"/>
                <w:sz w:val="22"/>
                <w:szCs w:val="22"/>
              </w:rPr>
              <w:t>2017 r. poz. 248 oraz z 2024 r. poz. 1535)</w:t>
            </w:r>
            <w:r w:rsidR="005C388A">
              <w:rPr>
                <w:color w:val="000000"/>
                <w:sz w:val="22"/>
                <w:szCs w:val="22"/>
              </w:rPr>
              <w:t xml:space="preserve"> </w:t>
            </w:r>
            <w:r>
              <w:rPr>
                <w:color w:val="000000"/>
                <w:sz w:val="22"/>
                <w:szCs w:val="22"/>
              </w:rPr>
              <w:t>i § 52 uchwały nr 190 Rady Ministrów z dnia 29 października 2013 r. – Regulamin pracy Rady Ministrów</w:t>
            </w:r>
            <w:r w:rsidR="005C388A">
              <w:rPr>
                <w:color w:val="000000"/>
                <w:sz w:val="22"/>
                <w:szCs w:val="22"/>
              </w:rPr>
              <w:t xml:space="preserve"> (</w:t>
            </w:r>
            <w:r w:rsidR="005C388A" w:rsidRPr="005C388A">
              <w:rPr>
                <w:color w:val="000000"/>
                <w:sz w:val="22"/>
                <w:szCs w:val="22"/>
              </w:rPr>
              <w:t>M.P. 2013 poz. 979</w:t>
            </w:r>
            <w:r w:rsidR="005C388A">
              <w:rPr>
                <w:color w:val="000000"/>
                <w:sz w:val="22"/>
                <w:szCs w:val="22"/>
              </w:rPr>
              <w:t>)</w:t>
            </w:r>
            <w:r>
              <w:rPr>
                <w:color w:val="000000"/>
                <w:sz w:val="22"/>
                <w:szCs w:val="22"/>
              </w:rPr>
              <w:t xml:space="preserve">, zostanie udostępniony w Biuletynie Informacji Publicznej, na stronie podmiotowej Rządowego Centrum Legislacji, w serwisie Rządowy Proces Legislacyjny. </w:t>
            </w:r>
          </w:p>
          <w:p w14:paraId="1F05B465" w14:textId="118ADDD1" w:rsidR="00497E0F" w:rsidRDefault="00497E0F" w:rsidP="00497E0F">
            <w:pPr>
              <w:pStyle w:val="NormalnyWeb"/>
              <w:spacing w:before="120" w:beforeAutospacing="0" w:after="0" w:afterAutospacing="0"/>
              <w:jc w:val="both"/>
              <w:rPr>
                <w:color w:val="000000"/>
                <w:spacing w:val="-2"/>
              </w:rPr>
            </w:pPr>
            <w:r>
              <w:rPr>
                <w:color w:val="000000"/>
                <w:sz w:val="22"/>
                <w:szCs w:val="22"/>
              </w:rPr>
              <w:t xml:space="preserve">Projekt zostanie przekazany do konsultacji </w:t>
            </w:r>
            <w:r w:rsidR="00094578">
              <w:rPr>
                <w:color w:val="000000"/>
                <w:sz w:val="22"/>
                <w:szCs w:val="22"/>
              </w:rPr>
              <w:t xml:space="preserve">(21 dni) </w:t>
            </w:r>
            <w:r>
              <w:rPr>
                <w:color w:val="000000"/>
                <w:sz w:val="22"/>
                <w:szCs w:val="22"/>
              </w:rPr>
              <w:t xml:space="preserve">do następujących podmiotów: </w:t>
            </w:r>
          </w:p>
          <w:p w14:paraId="38E644A8"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Agencja Rozwoju Przemysłu</w:t>
            </w:r>
            <w:r>
              <w:rPr>
                <w:rFonts w:ascii="Times New Roman" w:hAnsi="Times New Roman"/>
                <w:color w:val="000000"/>
                <w:spacing w:val="-2"/>
              </w:rPr>
              <w:t>;</w:t>
            </w:r>
          </w:p>
          <w:p w14:paraId="74E4C32F" w14:textId="77777777" w:rsidR="00497E0F" w:rsidRPr="00602D2D" w:rsidRDefault="00497E0F" w:rsidP="00497E0F">
            <w:pPr>
              <w:pStyle w:val="Akapitzlist"/>
              <w:numPr>
                <w:ilvl w:val="0"/>
                <w:numId w:val="99"/>
              </w:numPr>
              <w:spacing w:line="240" w:lineRule="auto"/>
              <w:jc w:val="both"/>
              <w:rPr>
                <w:rFonts w:ascii="Times New Roman" w:hAnsi="Times New Roman"/>
                <w:color w:val="000000"/>
                <w:spacing w:val="-2"/>
                <w:lang w:val="en-GB"/>
              </w:rPr>
            </w:pPr>
            <w:r w:rsidRPr="00602D2D">
              <w:rPr>
                <w:rFonts w:ascii="Times New Roman" w:hAnsi="Times New Roman"/>
                <w:color w:val="000000"/>
                <w:spacing w:val="-2"/>
                <w:lang w:val="en-GB"/>
              </w:rPr>
              <w:t>Baltic Power</w:t>
            </w:r>
            <w:r>
              <w:rPr>
                <w:rFonts w:ascii="Times New Roman" w:hAnsi="Times New Roman"/>
                <w:color w:val="000000"/>
                <w:spacing w:val="-2"/>
                <w:lang w:val="en-GB"/>
              </w:rPr>
              <w:t>;</w:t>
            </w:r>
          </w:p>
          <w:p w14:paraId="0720E055" w14:textId="77777777" w:rsidR="00497E0F" w:rsidRPr="00602D2D" w:rsidRDefault="00497E0F" w:rsidP="00497E0F">
            <w:pPr>
              <w:pStyle w:val="Akapitzlist"/>
              <w:numPr>
                <w:ilvl w:val="0"/>
                <w:numId w:val="99"/>
              </w:numPr>
              <w:spacing w:line="240" w:lineRule="auto"/>
              <w:jc w:val="both"/>
              <w:rPr>
                <w:rFonts w:ascii="Times New Roman" w:hAnsi="Times New Roman"/>
                <w:color w:val="000000"/>
                <w:spacing w:val="-2"/>
                <w:lang w:val="en-GB"/>
              </w:rPr>
            </w:pPr>
            <w:r w:rsidRPr="00602D2D">
              <w:rPr>
                <w:rFonts w:ascii="Times New Roman" w:hAnsi="Times New Roman"/>
                <w:color w:val="000000"/>
                <w:spacing w:val="-2"/>
                <w:lang w:val="en-GB"/>
              </w:rPr>
              <w:t>Baltic Trade and Invest</w:t>
            </w:r>
            <w:r>
              <w:rPr>
                <w:rFonts w:ascii="Times New Roman" w:hAnsi="Times New Roman"/>
                <w:color w:val="000000"/>
                <w:spacing w:val="-2"/>
                <w:lang w:val="en-GB"/>
              </w:rPr>
              <w:t>;</w:t>
            </w:r>
          </w:p>
          <w:p w14:paraId="134AD2E8"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Bank Gospodarstwa Krajowego</w:t>
            </w:r>
            <w:r>
              <w:rPr>
                <w:rFonts w:ascii="Times New Roman" w:hAnsi="Times New Roman"/>
                <w:color w:val="000000"/>
                <w:spacing w:val="-2"/>
              </w:rPr>
              <w:t>;</w:t>
            </w:r>
          </w:p>
          <w:p w14:paraId="3889C056"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Enea</w:t>
            </w:r>
            <w:r>
              <w:rPr>
                <w:rFonts w:ascii="Times New Roman" w:hAnsi="Times New Roman"/>
                <w:color w:val="000000"/>
                <w:spacing w:val="-2"/>
              </w:rPr>
              <w:t>;</w:t>
            </w:r>
          </w:p>
          <w:p w14:paraId="17A4639C"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Equinor</w:t>
            </w:r>
            <w:r>
              <w:rPr>
                <w:rFonts w:ascii="Times New Roman" w:hAnsi="Times New Roman"/>
                <w:color w:val="000000"/>
                <w:spacing w:val="-2"/>
              </w:rPr>
              <w:t xml:space="preserve"> Polska;</w:t>
            </w:r>
          </w:p>
          <w:p w14:paraId="188E0C46"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Izba Energetyki Przemysłowej i Odbiorców Energii;</w:t>
            </w:r>
          </w:p>
          <w:p w14:paraId="1C79A08A" w14:textId="77777777" w:rsidR="00497E0F"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Izba Gospodarcza Energetyki i Ochrony Środowiska;</w:t>
            </w:r>
          </w:p>
          <w:p w14:paraId="7373D662"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Krajowa Izba Gospodarcza;</w:t>
            </w:r>
          </w:p>
          <w:p w14:paraId="3DF45142"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Krajowa Izba Gospodarki Morskiej;</w:t>
            </w:r>
          </w:p>
          <w:p w14:paraId="60DE2651"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Northland Power;</w:t>
            </w:r>
          </w:p>
          <w:p w14:paraId="4570ED5B"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Ocean Winds</w:t>
            </w:r>
            <w:r>
              <w:rPr>
                <w:rFonts w:ascii="Times New Roman" w:hAnsi="Times New Roman"/>
                <w:color w:val="000000"/>
                <w:spacing w:val="-2"/>
              </w:rPr>
              <w:t>;</w:t>
            </w:r>
          </w:p>
          <w:p w14:paraId="184EA689"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Ørsted</w:t>
            </w:r>
            <w:r>
              <w:rPr>
                <w:rFonts w:ascii="Times New Roman" w:hAnsi="Times New Roman"/>
                <w:color w:val="000000"/>
                <w:spacing w:val="-2"/>
              </w:rPr>
              <w:t>;</w:t>
            </w:r>
          </w:p>
          <w:p w14:paraId="1C578D85"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PGE Baltic</w:t>
            </w:r>
            <w:r>
              <w:rPr>
                <w:rFonts w:ascii="Times New Roman" w:hAnsi="Times New Roman"/>
                <w:color w:val="000000"/>
                <w:spacing w:val="-2"/>
              </w:rPr>
              <w:t>a;</w:t>
            </w:r>
          </w:p>
          <w:p w14:paraId="65DCE02F"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PGE</w:t>
            </w:r>
            <w:r>
              <w:rPr>
                <w:rFonts w:ascii="Times New Roman" w:hAnsi="Times New Roman"/>
                <w:color w:val="000000"/>
                <w:spacing w:val="-2"/>
              </w:rPr>
              <w:t>;</w:t>
            </w:r>
          </w:p>
          <w:p w14:paraId="6591661B"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ORLEN</w:t>
            </w:r>
            <w:r>
              <w:rPr>
                <w:rFonts w:ascii="Times New Roman" w:hAnsi="Times New Roman"/>
                <w:color w:val="000000"/>
                <w:spacing w:val="-2"/>
              </w:rPr>
              <w:t>;</w:t>
            </w:r>
          </w:p>
          <w:p w14:paraId="1606FD64"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Polenergia</w:t>
            </w:r>
            <w:r>
              <w:rPr>
                <w:rFonts w:ascii="Times New Roman" w:hAnsi="Times New Roman"/>
                <w:color w:val="000000"/>
                <w:spacing w:val="-2"/>
              </w:rPr>
              <w:t>;</w:t>
            </w:r>
          </w:p>
          <w:p w14:paraId="2533A82B"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Polska Izba Gospodarcza Energii Odnawialnej i Rozproszonej;</w:t>
            </w:r>
          </w:p>
          <w:p w14:paraId="49C72DFF"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Polsk</w:t>
            </w:r>
            <w:r>
              <w:rPr>
                <w:rFonts w:ascii="Times New Roman" w:hAnsi="Times New Roman"/>
                <w:color w:val="000000"/>
                <w:spacing w:val="-2"/>
              </w:rPr>
              <w:t>a</w:t>
            </w:r>
            <w:r w:rsidRPr="00DF1831">
              <w:rPr>
                <w:rFonts w:ascii="Times New Roman" w:hAnsi="Times New Roman"/>
                <w:color w:val="000000"/>
                <w:spacing w:val="-2"/>
              </w:rPr>
              <w:t xml:space="preserve"> </w:t>
            </w:r>
            <w:r>
              <w:rPr>
                <w:rFonts w:ascii="Times New Roman" w:hAnsi="Times New Roman"/>
                <w:color w:val="000000"/>
                <w:spacing w:val="-2"/>
              </w:rPr>
              <w:t>Izba</w:t>
            </w:r>
            <w:r w:rsidRPr="00DF1831">
              <w:rPr>
                <w:rFonts w:ascii="Times New Roman" w:hAnsi="Times New Roman"/>
                <w:color w:val="000000"/>
                <w:spacing w:val="-2"/>
              </w:rPr>
              <w:t xml:space="preserve"> Morskiej Energetyki Wiatrowej;</w:t>
            </w:r>
          </w:p>
          <w:p w14:paraId="793C6833"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Polski Fundusz Rozwoj</w:t>
            </w:r>
            <w:r>
              <w:rPr>
                <w:rFonts w:ascii="Times New Roman" w:hAnsi="Times New Roman"/>
                <w:color w:val="000000"/>
                <w:spacing w:val="-2"/>
              </w:rPr>
              <w:t>u</w:t>
            </w:r>
            <w:r w:rsidRPr="00DF1831">
              <w:rPr>
                <w:rFonts w:ascii="Times New Roman" w:hAnsi="Times New Roman"/>
                <w:color w:val="000000"/>
                <w:spacing w:val="-2"/>
              </w:rPr>
              <w:t>;</w:t>
            </w:r>
          </w:p>
          <w:p w14:paraId="1D766131"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Polski Komitet Energii Elektrycznej;</w:t>
            </w:r>
          </w:p>
          <w:p w14:paraId="617B6798"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Polskie Sieci Elektroenergetyczne</w:t>
            </w:r>
            <w:r>
              <w:rPr>
                <w:rFonts w:ascii="Times New Roman" w:hAnsi="Times New Roman"/>
                <w:color w:val="000000"/>
                <w:spacing w:val="-2"/>
              </w:rPr>
              <w:t>: PSE SA</w:t>
            </w:r>
            <w:r w:rsidRPr="00DF1831">
              <w:rPr>
                <w:rFonts w:ascii="Times New Roman" w:hAnsi="Times New Roman"/>
                <w:color w:val="000000"/>
                <w:spacing w:val="-2"/>
              </w:rPr>
              <w:t>;</w:t>
            </w:r>
          </w:p>
          <w:p w14:paraId="56422768" w14:textId="77777777" w:rsidR="00497E0F"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Polskie Stowarzyszenie Energetyki Wiatrowej;</w:t>
            </w:r>
          </w:p>
          <w:p w14:paraId="42EE9DEB"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Pr>
                <w:rFonts w:ascii="Times New Roman" w:hAnsi="Times New Roman"/>
                <w:color w:val="000000"/>
                <w:spacing w:val="-2"/>
              </w:rPr>
              <w:t>Pracodawcy Pomorza;</w:t>
            </w:r>
          </w:p>
          <w:p w14:paraId="572D11BE"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RWE</w:t>
            </w:r>
            <w:r>
              <w:rPr>
                <w:rFonts w:ascii="Times New Roman" w:hAnsi="Times New Roman"/>
                <w:color w:val="000000"/>
                <w:spacing w:val="-2"/>
              </w:rPr>
              <w:t>;</w:t>
            </w:r>
          </w:p>
          <w:p w14:paraId="770E89E6"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Sea Wind</w:t>
            </w:r>
            <w:r>
              <w:rPr>
                <w:rFonts w:ascii="Times New Roman" w:hAnsi="Times New Roman"/>
                <w:color w:val="000000"/>
                <w:spacing w:val="-2"/>
              </w:rPr>
              <w:t xml:space="preserve"> Polska</w:t>
            </w:r>
            <w:r w:rsidRPr="00DF1831">
              <w:rPr>
                <w:rFonts w:ascii="Times New Roman" w:hAnsi="Times New Roman"/>
                <w:color w:val="000000"/>
                <w:spacing w:val="-2"/>
              </w:rPr>
              <w:t>;</w:t>
            </w:r>
          </w:p>
          <w:p w14:paraId="03CD41A2"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Stowarzyszenie Branży Elektroenergetycznej;</w:t>
            </w:r>
          </w:p>
          <w:p w14:paraId="745B87BD"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Stowarzyszenie Energii Odnawialnej;</w:t>
            </w:r>
          </w:p>
          <w:p w14:paraId="76735E16"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Pr>
                <w:rFonts w:ascii="Times New Roman" w:hAnsi="Times New Roman"/>
                <w:color w:val="000000"/>
                <w:spacing w:val="-2"/>
              </w:rPr>
              <w:t>Synthos Green Energy;</w:t>
            </w:r>
          </w:p>
          <w:p w14:paraId="42ED58B8"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Tauron</w:t>
            </w:r>
            <w:r>
              <w:rPr>
                <w:rFonts w:ascii="Times New Roman" w:hAnsi="Times New Roman"/>
                <w:color w:val="000000"/>
                <w:spacing w:val="-2"/>
              </w:rPr>
              <w:t xml:space="preserve"> Polska Energia</w:t>
            </w:r>
            <w:r w:rsidRPr="00DF1831">
              <w:rPr>
                <w:rFonts w:ascii="Times New Roman" w:hAnsi="Times New Roman"/>
                <w:color w:val="000000"/>
                <w:spacing w:val="-2"/>
              </w:rPr>
              <w:t>;</w:t>
            </w:r>
          </w:p>
          <w:p w14:paraId="267165E2"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Towarzystwo Gospodarcze Polskie Elektrownie;</w:t>
            </w:r>
          </w:p>
          <w:p w14:paraId="675E5D2D"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Towarzystwo Obrotu Energią;</w:t>
            </w:r>
          </w:p>
          <w:p w14:paraId="120EEE44" w14:textId="77777777" w:rsidR="00497E0F" w:rsidRPr="00DF1831"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Zarządca Rozliczeń</w:t>
            </w:r>
            <w:r>
              <w:rPr>
                <w:rFonts w:ascii="Times New Roman" w:hAnsi="Times New Roman"/>
                <w:color w:val="000000"/>
                <w:spacing w:val="-2"/>
              </w:rPr>
              <w:t xml:space="preserve"> S.A.;</w:t>
            </w:r>
          </w:p>
          <w:p w14:paraId="61D76079" w14:textId="77777777" w:rsidR="00497E0F" w:rsidRDefault="00497E0F" w:rsidP="00497E0F">
            <w:pPr>
              <w:pStyle w:val="Akapitzlist"/>
              <w:numPr>
                <w:ilvl w:val="0"/>
                <w:numId w:val="99"/>
              </w:numPr>
              <w:spacing w:line="240" w:lineRule="auto"/>
              <w:jc w:val="both"/>
              <w:rPr>
                <w:rFonts w:ascii="Times New Roman" w:hAnsi="Times New Roman"/>
                <w:color w:val="000000"/>
                <w:spacing w:val="-2"/>
              </w:rPr>
            </w:pPr>
            <w:r w:rsidRPr="00DF1831">
              <w:rPr>
                <w:rFonts w:ascii="Times New Roman" w:hAnsi="Times New Roman"/>
                <w:color w:val="000000"/>
                <w:spacing w:val="-2"/>
              </w:rPr>
              <w:t>Związek Banków Polskich</w:t>
            </w:r>
            <w:r>
              <w:rPr>
                <w:rFonts w:ascii="Times New Roman" w:hAnsi="Times New Roman"/>
                <w:color w:val="000000"/>
                <w:spacing w:val="-2"/>
              </w:rPr>
              <w:t>;</w:t>
            </w:r>
          </w:p>
          <w:p w14:paraId="1E9CDD86" w14:textId="7137D2F7" w:rsidR="00497E0F" w:rsidRDefault="00497E0F" w:rsidP="00497E0F">
            <w:pPr>
              <w:pStyle w:val="Akapitzlist"/>
              <w:numPr>
                <w:ilvl w:val="0"/>
                <w:numId w:val="99"/>
              </w:numPr>
              <w:spacing w:line="240" w:lineRule="auto"/>
              <w:jc w:val="both"/>
              <w:rPr>
                <w:rFonts w:ascii="Times New Roman" w:hAnsi="Times New Roman"/>
                <w:color w:val="000000"/>
                <w:spacing w:val="-2"/>
              </w:rPr>
            </w:pPr>
            <w:r w:rsidRPr="00DB4E1B">
              <w:rPr>
                <w:rFonts w:ascii="Times New Roman" w:hAnsi="Times New Roman"/>
                <w:color w:val="000000"/>
                <w:spacing w:val="-2"/>
              </w:rPr>
              <w:t>Związ</w:t>
            </w:r>
            <w:r>
              <w:rPr>
                <w:rFonts w:ascii="Times New Roman" w:hAnsi="Times New Roman"/>
                <w:color w:val="000000"/>
                <w:spacing w:val="-2"/>
              </w:rPr>
              <w:t xml:space="preserve">ek </w:t>
            </w:r>
            <w:r w:rsidRPr="00DB4E1B">
              <w:rPr>
                <w:rFonts w:ascii="Times New Roman" w:hAnsi="Times New Roman"/>
                <w:color w:val="000000"/>
                <w:spacing w:val="-2"/>
              </w:rPr>
              <w:t>Polskich Pracodawców Handlu i Usług</w:t>
            </w:r>
            <w:r w:rsidR="003A4F87">
              <w:rPr>
                <w:rFonts w:ascii="Times New Roman" w:hAnsi="Times New Roman"/>
                <w:color w:val="000000"/>
                <w:spacing w:val="-2"/>
              </w:rPr>
              <w:t>,</w:t>
            </w:r>
          </w:p>
          <w:p w14:paraId="3515DD58" w14:textId="16F75664"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EC BREC Instytut Energetyki Odnawialnej</w:t>
            </w:r>
            <w:r w:rsidR="004D1CBF">
              <w:rPr>
                <w:rFonts w:ascii="Times New Roman" w:hAnsi="Times New Roman"/>
                <w:color w:val="000000"/>
                <w:spacing w:val="-2"/>
              </w:rPr>
              <w:t>;</w:t>
            </w:r>
          </w:p>
          <w:p w14:paraId="22D95369" w14:textId="730E6C72"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Fundacja na rzecz Energetyki Zrównoważonej</w:t>
            </w:r>
            <w:r w:rsidR="004D1CBF">
              <w:rPr>
                <w:rFonts w:ascii="Times New Roman" w:hAnsi="Times New Roman"/>
                <w:color w:val="000000"/>
                <w:spacing w:val="-2"/>
              </w:rPr>
              <w:t>;</w:t>
            </w:r>
          </w:p>
          <w:p w14:paraId="06619FD7" w14:textId="4408C39A"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Inicjatywa dla Środowiska, Energii i Elektromobilności</w:t>
            </w:r>
            <w:r w:rsidR="004D1CBF">
              <w:rPr>
                <w:rFonts w:ascii="Times New Roman" w:hAnsi="Times New Roman"/>
                <w:color w:val="000000"/>
                <w:spacing w:val="-2"/>
              </w:rPr>
              <w:t>;</w:t>
            </w:r>
          </w:p>
          <w:p w14:paraId="6A3DB386" w14:textId="07854E10"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Instytut Gospodarki Nieruchomościami</w:t>
            </w:r>
            <w:r w:rsidR="004D1CBF">
              <w:rPr>
                <w:rFonts w:ascii="Times New Roman" w:hAnsi="Times New Roman"/>
                <w:color w:val="000000"/>
                <w:spacing w:val="-2"/>
              </w:rPr>
              <w:t>;</w:t>
            </w:r>
          </w:p>
          <w:p w14:paraId="5441B9E4" w14:textId="0BF65E72" w:rsidR="003A4F87" w:rsidRPr="00DD284D" w:rsidRDefault="003A4F87" w:rsidP="00094578">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Instytut na Rzecz Ekorozwoju</w:t>
            </w:r>
            <w:r w:rsidR="004D1CBF">
              <w:rPr>
                <w:rFonts w:ascii="Times New Roman" w:hAnsi="Times New Roman"/>
                <w:color w:val="000000"/>
                <w:spacing w:val="-2"/>
              </w:rPr>
              <w:t>;</w:t>
            </w:r>
          </w:p>
          <w:p w14:paraId="78854FB1" w14:textId="47CE8B2E"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Izba Gospodarcza Ciepłownictwo Polskie</w:t>
            </w:r>
            <w:r w:rsidR="004D1CBF">
              <w:rPr>
                <w:rFonts w:ascii="Times New Roman" w:hAnsi="Times New Roman"/>
                <w:color w:val="000000"/>
                <w:spacing w:val="-2"/>
              </w:rPr>
              <w:t>;</w:t>
            </w:r>
          </w:p>
          <w:p w14:paraId="2D4F40C6" w14:textId="3AB4FE88"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Izba Gospodarcza Wodociągi Polskie</w:t>
            </w:r>
            <w:r w:rsidR="004D1CBF">
              <w:rPr>
                <w:rFonts w:ascii="Times New Roman" w:hAnsi="Times New Roman"/>
                <w:color w:val="000000"/>
                <w:spacing w:val="-2"/>
              </w:rPr>
              <w:t>;</w:t>
            </w:r>
          </w:p>
          <w:p w14:paraId="4EE386CA" w14:textId="52343E09"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Polska Geotermalna Asocjacja</w:t>
            </w:r>
            <w:r w:rsidR="004D1CBF">
              <w:rPr>
                <w:rFonts w:ascii="Times New Roman" w:hAnsi="Times New Roman"/>
                <w:color w:val="000000"/>
                <w:spacing w:val="-2"/>
              </w:rPr>
              <w:t>;</w:t>
            </w:r>
          </w:p>
          <w:p w14:paraId="462A44D3" w14:textId="5E3C377A" w:rsidR="003A4F87" w:rsidRPr="00DD284D" w:rsidRDefault="003A4F87" w:rsidP="00094578">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Polska Organizacja Rozwoju Technologii Pomp Ciepła</w:t>
            </w:r>
            <w:r w:rsidR="004D1CBF">
              <w:rPr>
                <w:rFonts w:ascii="Times New Roman" w:hAnsi="Times New Roman"/>
                <w:color w:val="000000"/>
                <w:spacing w:val="-2"/>
              </w:rPr>
              <w:t>;</w:t>
            </w:r>
          </w:p>
          <w:p w14:paraId="1D6ED8F2" w14:textId="04AA505B" w:rsidR="003A4F87" w:rsidRPr="00DD284D" w:rsidRDefault="003A4F87" w:rsidP="00094578">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Centrum Akredytacji</w:t>
            </w:r>
            <w:r w:rsidR="004D1CBF">
              <w:rPr>
                <w:rFonts w:ascii="Times New Roman" w:hAnsi="Times New Roman"/>
                <w:color w:val="000000"/>
                <w:spacing w:val="-2"/>
              </w:rPr>
              <w:t>;</w:t>
            </w:r>
          </w:p>
          <w:p w14:paraId="5BC40D57" w14:textId="51BEEDBF" w:rsidR="003A4F87" w:rsidRPr="00DD284D" w:rsidRDefault="003A4F87" w:rsidP="00094578">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Stowarzyszenie Energetyki Słonecznej</w:t>
            </w:r>
            <w:r w:rsidR="004D1CBF">
              <w:rPr>
                <w:rFonts w:ascii="Times New Roman" w:hAnsi="Times New Roman"/>
                <w:color w:val="000000"/>
                <w:spacing w:val="-2"/>
              </w:rPr>
              <w:t>;</w:t>
            </w:r>
          </w:p>
          <w:p w14:paraId="0B40B5C6" w14:textId="0DC5391B"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Stowarzyszenie Fotowoltaiki</w:t>
            </w:r>
            <w:r w:rsidR="004D1CBF">
              <w:rPr>
                <w:rFonts w:ascii="Times New Roman" w:hAnsi="Times New Roman"/>
                <w:color w:val="000000"/>
                <w:spacing w:val="-2"/>
              </w:rPr>
              <w:t>;</w:t>
            </w:r>
          </w:p>
          <w:p w14:paraId="4C8A2760" w14:textId="6707E785"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Stowarzyszenie Geotermiczne</w:t>
            </w:r>
            <w:r w:rsidR="004D1CBF">
              <w:rPr>
                <w:rFonts w:ascii="Times New Roman" w:hAnsi="Times New Roman"/>
                <w:color w:val="000000"/>
                <w:spacing w:val="-2"/>
              </w:rPr>
              <w:t>;</w:t>
            </w:r>
          </w:p>
          <w:p w14:paraId="6B155B6C" w14:textId="6DF06803"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Stowarzyszenie Producentów Biogazu Rolniczego</w:t>
            </w:r>
            <w:r w:rsidR="004D1CBF">
              <w:rPr>
                <w:rFonts w:ascii="Times New Roman" w:hAnsi="Times New Roman"/>
                <w:color w:val="000000"/>
                <w:spacing w:val="-2"/>
              </w:rPr>
              <w:t>;</w:t>
            </w:r>
          </w:p>
          <w:p w14:paraId="2D613E5D" w14:textId="700C5D70"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lastRenderedPageBreak/>
              <w:t>Polskie Towarzystwo Elektrociepłowni Zawodowych</w:t>
            </w:r>
            <w:r w:rsidR="004D1CBF">
              <w:rPr>
                <w:rFonts w:ascii="Times New Roman" w:hAnsi="Times New Roman"/>
                <w:color w:val="000000"/>
                <w:spacing w:val="-2"/>
              </w:rPr>
              <w:t>;</w:t>
            </w:r>
          </w:p>
          <w:p w14:paraId="06A240A4" w14:textId="453A2E47"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Towarzystwo Fotowoltaiki</w:t>
            </w:r>
            <w:r w:rsidR="004D1CBF">
              <w:rPr>
                <w:rFonts w:ascii="Times New Roman" w:hAnsi="Times New Roman"/>
                <w:color w:val="000000"/>
                <w:spacing w:val="-2"/>
              </w:rPr>
              <w:t>;</w:t>
            </w:r>
          </w:p>
          <w:p w14:paraId="199698AA" w14:textId="595FD7C2"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Polskie Towarzystwo Przesyłu i Rozdziału Energii Elektrycznej</w:t>
            </w:r>
            <w:r w:rsidR="004D1CBF">
              <w:rPr>
                <w:rFonts w:ascii="Times New Roman" w:hAnsi="Times New Roman"/>
                <w:color w:val="000000"/>
                <w:spacing w:val="-2"/>
              </w:rPr>
              <w:t>;</w:t>
            </w:r>
          </w:p>
          <w:p w14:paraId="416B775E" w14:textId="5A8F5C2E"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Stowarzyszenie Branży Fotowoltaicznej – Polska PV</w:t>
            </w:r>
            <w:r w:rsidR="004D1CBF">
              <w:rPr>
                <w:rFonts w:ascii="Times New Roman" w:hAnsi="Times New Roman"/>
                <w:color w:val="000000"/>
                <w:spacing w:val="-2"/>
              </w:rPr>
              <w:t>;</w:t>
            </w:r>
          </w:p>
          <w:p w14:paraId="6F386E85" w14:textId="3E75A673"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Stowarzyszenie Forum Rozwoju Efektywnej Energii</w:t>
            </w:r>
            <w:r w:rsidR="004D1CBF">
              <w:rPr>
                <w:rFonts w:ascii="Times New Roman" w:hAnsi="Times New Roman"/>
                <w:color w:val="000000"/>
                <w:spacing w:val="-2"/>
              </w:rPr>
              <w:t>;</w:t>
            </w:r>
          </w:p>
          <w:p w14:paraId="62F4E6D7" w14:textId="7FA08BB7"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Stowarzyszenie Małej Energetyki Wiatrowej</w:t>
            </w:r>
            <w:r w:rsidR="004D1CBF">
              <w:rPr>
                <w:rFonts w:ascii="Times New Roman" w:hAnsi="Times New Roman"/>
                <w:color w:val="000000"/>
                <w:spacing w:val="-2"/>
              </w:rPr>
              <w:t>;</w:t>
            </w:r>
          </w:p>
          <w:p w14:paraId="6848B020" w14:textId="1EE08709"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Stowarzyszenie Papierników Polskich</w:t>
            </w:r>
            <w:r w:rsidR="004D1CBF">
              <w:rPr>
                <w:rFonts w:ascii="Times New Roman" w:hAnsi="Times New Roman"/>
                <w:color w:val="000000"/>
                <w:spacing w:val="-2"/>
              </w:rPr>
              <w:t>;</w:t>
            </w:r>
          </w:p>
          <w:p w14:paraId="4799BCA7" w14:textId="35A0A8A8"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Stowarzyszenie Producentów Cementu</w:t>
            </w:r>
            <w:r w:rsidR="004D1CBF">
              <w:rPr>
                <w:rFonts w:ascii="Times New Roman" w:hAnsi="Times New Roman"/>
                <w:color w:val="000000"/>
                <w:spacing w:val="-2"/>
              </w:rPr>
              <w:t>;</w:t>
            </w:r>
          </w:p>
          <w:p w14:paraId="6FE72443" w14:textId="35774400"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Stowarzyszenie Producentów Energii z Odpadów</w:t>
            </w:r>
            <w:r w:rsidR="004D1CBF">
              <w:rPr>
                <w:rFonts w:ascii="Times New Roman" w:hAnsi="Times New Roman"/>
                <w:color w:val="000000"/>
                <w:spacing w:val="-2"/>
              </w:rPr>
              <w:t>;</w:t>
            </w:r>
          </w:p>
          <w:p w14:paraId="3AEEF8F9" w14:textId="2F2AF55A"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Towarzystwo Elektrowni Wodnych</w:t>
            </w:r>
            <w:r w:rsidR="004D1CBF">
              <w:rPr>
                <w:rFonts w:ascii="Times New Roman" w:hAnsi="Times New Roman"/>
                <w:color w:val="000000"/>
                <w:spacing w:val="-2"/>
              </w:rPr>
              <w:t>;</w:t>
            </w:r>
          </w:p>
          <w:p w14:paraId="7CD233D5" w14:textId="5054A8A5" w:rsidR="003A4F87" w:rsidRPr="003A4F87" w:rsidRDefault="003A4F87" w:rsidP="003A4F87">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Towarzystwo Rozwoju Małych Elektrowni Wodnych</w:t>
            </w:r>
            <w:r w:rsidR="004D1CBF">
              <w:rPr>
                <w:rFonts w:ascii="Times New Roman" w:hAnsi="Times New Roman"/>
                <w:color w:val="000000"/>
                <w:spacing w:val="-2"/>
              </w:rPr>
              <w:t>;</w:t>
            </w:r>
          </w:p>
          <w:p w14:paraId="617AE1B9" w14:textId="662AC205" w:rsidR="003A4F87" w:rsidRDefault="003A4F87" w:rsidP="00094578">
            <w:pPr>
              <w:pStyle w:val="Akapitzlist"/>
              <w:numPr>
                <w:ilvl w:val="0"/>
                <w:numId w:val="99"/>
              </w:numPr>
              <w:spacing w:line="240" w:lineRule="auto"/>
              <w:jc w:val="both"/>
              <w:rPr>
                <w:rFonts w:ascii="Times New Roman" w:hAnsi="Times New Roman"/>
                <w:color w:val="000000"/>
                <w:spacing w:val="-2"/>
              </w:rPr>
            </w:pPr>
            <w:r w:rsidRPr="003A4F87">
              <w:rPr>
                <w:rFonts w:ascii="Times New Roman" w:hAnsi="Times New Roman"/>
                <w:color w:val="000000"/>
                <w:spacing w:val="-2"/>
              </w:rPr>
              <w:t>Unia Producentów i Pracodawców Przemysłu Biogazowego</w:t>
            </w:r>
            <w:r w:rsidR="004D1CBF">
              <w:rPr>
                <w:rFonts w:ascii="Times New Roman" w:hAnsi="Times New Roman"/>
                <w:color w:val="000000"/>
                <w:spacing w:val="-2"/>
              </w:rPr>
              <w:t>;</w:t>
            </w:r>
          </w:p>
          <w:p w14:paraId="591336A9" w14:textId="48655E3A" w:rsidR="00525918"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Agencja Mienia Wojskowego</w:t>
            </w:r>
            <w:r>
              <w:rPr>
                <w:rFonts w:ascii="Times New Roman" w:hAnsi="Times New Roman"/>
                <w:color w:val="000000"/>
                <w:spacing w:val="-2"/>
              </w:rPr>
              <w:t>;</w:t>
            </w:r>
          </w:p>
          <w:p w14:paraId="75F268B8" w14:textId="46EBC03E" w:rsidR="005B7D19" w:rsidRDefault="005B7D19" w:rsidP="00094578">
            <w:pPr>
              <w:pStyle w:val="Akapitzlist"/>
              <w:numPr>
                <w:ilvl w:val="0"/>
                <w:numId w:val="99"/>
              </w:numPr>
              <w:spacing w:line="240" w:lineRule="auto"/>
              <w:jc w:val="both"/>
              <w:rPr>
                <w:rFonts w:ascii="Times New Roman" w:hAnsi="Times New Roman"/>
                <w:color w:val="000000"/>
                <w:spacing w:val="-2"/>
              </w:rPr>
            </w:pPr>
            <w:r w:rsidRPr="005B7D19">
              <w:rPr>
                <w:rFonts w:ascii="Times New Roman" w:hAnsi="Times New Roman"/>
                <w:color w:val="000000"/>
                <w:spacing w:val="-2"/>
              </w:rPr>
              <w:t>Instytut Geografii i Przestrzennego Zagospodarowania im. Stanisława Leszczyckiego Polskiej Akademii Nauk</w:t>
            </w:r>
            <w:r>
              <w:rPr>
                <w:rFonts w:ascii="Times New Roman" w:hAnsi="Times New Roman"/>
                <w:color w:val="000000"/>
                <w:spacing w:val="-2"/>
              </w:rPr>
              <w:t>;</w:t>
            </w:r>
          </w:p>
          <w:p w14:paraId="53C623D8" w14:textId="6A4F6D43" w:rsidR="004D1CBF" w:rsidRDefault="004D1CBF" w:rsidP="00094578">
            <w:pPr>
              <w:pStyle w:val="Akapitzlist"/>
              <w:numPr>
                <w:ilvl w:val="0"/>
                <w:numId w:val="99"/>
              </w:numPr>
              <w:spacing w:line="240" w:lineRule="auto"/>
              <w:jc w:val="both"/>
              <w:rPr>
                <w:rFonts w:ascii="Times New Roman" w:hAnsi="Times New Roman"/>
                <w:color w:val="000000"/>
                <w:spacing w:val="-2"/>
              </w:rPr>
            </w:pPr>
            <w:r>
              <w:rPr>
                <w:rFonts w:ascii="Times New Roman" w:hAnsi="Times New Roman"/>
                <w:color w:val="000000"/>
                <w:spacing w:val="-2"/>
              </w:rPr>
              <w:t>Instytut Reform;</w:t>
            </w:r>
          </w:p>
          <w:p w14:paraId="35005B7A" w14:textId="47096FF0" w:rsidR="005B7D19" w:rsidRDefault="005B7D19" w:rsidP="00094578">
            <w:pPr>
              <w:pStyle w:val="Akapitzlist"/>
              <w:numPr>
                <w:ilvl w:val="0"/>
                <w:numId w:val="99"/>
              </w:numPr>
              <w:spacing w:line="240" w:lineRule="auto"/>
              <w:jc w:val="both"/>
              <w:rPr>
                <w:rFonts w:ascii="Times New Roman" w:hAnsi="Times New Roman"/>
                <w:color w:val="000000"/>
                <w:spacing w:val="-2"/>
              </w:rPr>
            </w:pPr>
            <w:r w:rsidRPr="005B7D19">
              <w:rPr>
                <w:rFonts w:ascii="Times New Roman" w:hAnsi="Times New Roman"/>
                <w:color w:val="000000"/>
                <w:spacing w:val="-2"/>
              </w:rPr>
              <w:t>Instytut Rozwoju Miast i Regionów</w:t>
            </w:r>
            <w:r>
              <w:rPr>
                <w:rFonts w:ascii="Times New Roman" w:hAnsi="Times New Roman"/>
                <w:color w:val="000000"/>
                <w:spacing w:val="-2"/>
              </w:rPr>
              <w:t>;</w:t>
            </w:r>
          </w:p>
          <w:p w14:paraId="5C03B6A0" w14:textId="32F00EA0" w:rsidR="00525918"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PKP S.A.</w:t>
            </w:r>
            <w:r>
              <w:rPr>
                <w:rFonts w:ascii="Times New Roman" w:hAnsi="Times New Roman"/>
                <w:color w:val="000000"/>
                <w:spacing w:val="-2"/>
              </w:rPr>
              <w:t>;</w:t>
            </w:r>
          </w:p>
          <w:p w14:paraId="6F7FFF06" w14:textId="5221E984" w:rsidR="00525918" w:rsidRDefault="00525918" w:rsidP="00094578">
            <w:pPr>
              <w:pStyle w:val="Akapitzlist"/>
              <w:numPr>
                <w:ilvl w:val="0"/>
                <w:numId w:val="99"/>
              </w:numPr>
              <w:spacing w:line="240" w:lineRule="auto"/>
              <w:jc w:val="both"/>
              <w:rPr>
                <w:rFonts w:ascii="Times New Roman" w:hAnsi="Times New Roman"/>
                <w:color w:val="000000"/>
                <w:spacing w:val="-2"/>
              </w:rPr>
            </w:pPr>
            <w:r>
              <w:rPr>
                <w:rFonts w:ascii="Times New Roman" w:hAnsi="Times New Roman"/>
                <w:color w:val="000000"/>
                <w:spacing w:val="-2"/>
              </w:rPr>
              <w:t>PKP Energetyka;</w:t>
            </w:r>
          </w:p>
          <w:p w14:paraId="2244E520" w14:textId="0456208C" w:rsidR="00525918"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Polskie Towarzystwo Informacji Przestrzennej</w:t>
            </w:r>
            <w:r>
              <w:rPr>
                <w:rFonts w:ascii="Times New Roman" w:hAnsi="Times New Roman"/>
                <w:color w:val="000000"/>
                <w:spacing w:val="-2"/>
              </w:rPr>
              <w:t>;</w:t>
            </w:r>
          </w:p>
          <w:p w14:paraId="2965C1A7" w14:textId="116C7D51" w:rsidR="00320786" w:rsidRDefault="00320786" w:rsidP="00094578">
            <w:pPr>
              <w:pStyle w:val="Akapitzlist"/>
              <w:numPr>
                <w:ilvl w:val="0"/>
                <w:numId w:val="99"/>
              </w:numPr>
              <w:spacing w:line="240" w:lineRule="auto"/>
              <w:jc w:val="both"/>
              <w:rPr>
                <w:rFonts w:ascii="Times New Roman" w:hAnsi="Times New Roman"/>
                <w:color w:val="000000"/>
                <w:spacing w:val="-2"/>
              </w:rPr>
            </w:pPr>
            <w:r w:rsidRPr="00320786">
              <w:rPr>
                <w:rFonts w:ascii="Times New Roman" w:hAnsi="Times New Roman"/>
                <w:color w:val="000000"/>
                <w:spacing w:val="-2"/>
              </w:rPr>
              <w:t>Spółka Restrukturyzacji Kopalń S.A.</w:t>
            </w:r>
            <w:r>
              <w:rPr>
                <w:rFonts w:ascii="Times New Roman" w:hAnsi="Times New Roman"/>
                <w:color w:val="000000"/>
                <w:spacing w:val="-2"/>
              </w:rPr>
              <w:t>;</w:t>
            </w:r>
          </w:p>
          <w:p w14:paraId="5E9B7720" w14:textId="6DD4DE1A" w:rsidR="004D1CBF" w:rsidRDefault="004D1CBF" w:rsidP="00094578">
            <w:pPr>
              <w:pStyle w:val="Akapitzlist"/>
              <w:numPr>
                <w:ilvl w:val="0"/>
                <w:numId w:val="99"/>
              </w:numPr>
              <w:spacing w:line="240" w:lineRule="auto"/>
              <w:jc w:val="both"/>
              <w:rPr>
                <w:rFonts w:ascii="Times New Roman" w:hAnsi="Times New Roman"/>
                <w:color w:val="000000"/>
                <w:spacing w:val="-2"/>
              </w:rPr>
            </w:pPr>
            <w:r w:rsidRPr="004D1CBF">
              <w:rPr>
                <w:rFonts w:ascii="Times New Roman" w:hAnsi="Times New Roman"/>
                <w:color w:val="000000"/>
                <w:spacing w:val="-2"/>
              </w:rPr>
              <w:t>Stowarzyszenie Geodetów Polskich</w:t>
            </w:r>
            <w:r>
              <w:rPr>
                <w:rFonts w:ascii="Times New Roman" w:hAnsi="Times New Roman"/>
                <w:color w:val="000000"/>
                <w:spacing w:val="-2"/>
              </w:rPr>
              <w:t>;</w:t>
            </w:r>
          </w:p>
          <w:p w14:paraId="7DCE5C8B" w14:textId="74207E9C" w:rsidR="004D1CBF" w:rsidRDefault="004D1CBF" w:rsidP="00094578">
            <w:pPr>
              <w:pStyle w:val="Akapitzlist"/>
              <w:numPr>
                <w:ilvl w:val="0"/>
                <w:numId w:val="99"/>
              </w:numPr>
              <w:spacing w:line="240" w:lineRule="auto"/>
              <w:jc w:val="both"/>
              <w:rPr>
                <w:rFonts w:ascii="Times New Roman" w:hAnsi="Times New Roman"/>
                <w:color w:val="000000"/>
                <w:spacing w:val="-2"/>
              </w:rPr>
            </w:pPr>
            <w:r w:rsidRPr="004D1CBF">
              <w:rPr>
                <w:rFonts w:ascii="Times New Roman" w:hAnsi="Times New Roman"/>
                <w:color w:val="000000"/>
                <w:spacing w:val="-2"/>
              </w:rPr>
              <w:t>Stowarzyszenie Gmin Przyjaznych Energii Odnawialnej</w:t>
            </w:r>
            <w:r>
              <w:rPr>
                <w:rFonts w:ascii="Times New Roman" w:hAnsi="Times New Roman"/>
                <w:color w:val="000000"/>
                <w:spacing w:val="-2"/>
              </w:rPr>
              <w:t>;</w:t>
            </w:r>
          </w:p>
          <w:p w14:paraId="7DCA931C" w14:textId="2BE48D53" w:rsidR="005B7D19" w:rsidRDefault="005B7D19" w:rsidP="00094578">
            <w:pPr>
              <w:pStyle w:val="Akapitzlist"/>
              <w:numPr>
                <w:ilvl w:val="0"/>
                <w:numId w:val="99"/>
              </w:numPr>
              <w:spacing w:line="240" w:lineRule="auto"/>
              <w:jc w:val="both"/>
              <w:rPr>
                <w:rFonts w:ascii="Times New Roman" w:hAnsi="Times New Roman"/>
                <w:color w:val="000000"/>
                <w:spacing w:val="-2"/>
              </w:rPr>
            </w:pPr>
            <w:r w:rsidRPr="005B7D19">
              <w:rPr>
                <w:rFonts w:ascii="Times New Roman" w:hAnsi="Times New Roman"/>
                <w:color w:val="000000"/>
                <w:spacing w:val="-2"/>
              </w:rPr>
              <w:t>Stowarzyszenie Polska Izba Urbanistów</w:t>
            </w:r>
            <w:r>
              <w:rPr>
                <w:rFonts w:ascii="Times New Roman" w:hAnsi="Times New Roman"/>
                <w:color w:val="000000"/>
                <w:spacing w:val="-2"/>
              </w:rPr>
              <w:t>;</w:t>
            </w:r>
          </w:p>
          <w:p w14:paraId="1E5D84AA" w14:textId="3062F7B3" w:rsidR="005B7D19" w:rsidRDefault="005B7D19" w:rsidP="00094578">
            <w:pPr>
              <w:pStyle w:val="Akapitzlist"/>
              <w:numPr>
                <w:ilvl w:val="0"/>
                <w:numId w:val="99"/>
              </w:numPr>
              <w:spacing w:line="240" w:lineRule="auto"/>
              <w:jc w:val="both"/>
              <w:rPr>
                <w:rFonts w:ascii="Times New Roman" w:hAnsi="Times New Roman"/>
                <w:color w:val="000000"/>
                <w:spacing w:val="-2"/>
              </w:rPr>
            </w:pPr>
            <w:r w:rsidRPr="005B7D19">
              <w:rPr>
                <w:rFonts w:ascii="Times New Roman" w:hAnsi="Times New Roman"/>
                <w:color w:val="000000"/>
                <w:spacing w:val="-2"/>
              </w:rPr>
              <w:t>Unia Miasteczek Polskich</w:t>
            </w:r>
            <w:r>
              <w:rPr>
                <w:rFonts w:ascii="Times New Roman" w:hAnsi="Times New Roman"/>
                <w:color w:val="000000"/>
                <w:spacing w:val="-2"/>
              </w:rPr>
              <w:t>;</w:t>
            </w:r>
          </w:p>
          <w:p w14:paraId="2B1E4F75" w14:textId="0A545E2A" w:rsidR="00525918"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Związek Gmin Wiejskich RP</w:t>
            </w:r>
            <w:r>
              <w:rPr>
                <w:rFonts w:ascii="Times New Roman" w:hAnsi="Times New Roman"/>
                <w:color w:val="000000"/>
                <w:spacing w:val="-2"/>
              </w:rPr>
              <w:t>;</w:t>
            </w:r>
          </w:p>
          <w:p w14:paraId="4A83BF05" w14:textId="0329ACD5" w:rsidR="004D1CBF" w:rsidRDefault="004D1CBF" w:rsidP="00094578">
            <w:pPr>
              <w:pStyle w:val="Akapitzlist"/>
              <w:numPr>
                <w:ilvl w:val="0"/>
                <w:numId w:val="99"/>
              </w:numPr>
              <w:spacing w:line="240" w:lineRule="auto"/>
              <w:jc w:val="both"/>
              <w:rPr>
                <w:rFonts w:ascii="Times New Roman" w:hAnsi="Times New Roman"/>
                <w:color w:val="000000"/>
                <w:spacing w:val="-2"/>
              </w:rPr>
            </w:pPr>
            <w:r w:rsidRPr="004D1CBF">
              <w:rPr>
                <w:rFonts w:ascii="Times New Roman" w:hAnsi="Times New Roman"/>
                <w:color w:val="000000"/>
                <w:spacing w:val="-2"/>
              </w:rPr>
              <w:t>Związek Miast Polskich</w:t>
            </w:r>
            <w:r>
              <w:rPr>
                <w:rFonts w:ascii="Times New Roman" w:hAnsi="Times New Roman"/>
                <w:color w:val="000000"/>
                <w:spacing w:val="-2"/>
              </w:rPr>
              <w:t>;</w:t>
            </w:r>
          </w:p>
          <w:p w14:paraId="19587611" w14:textId="77777777" w:rsidR="00525918"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Związek Powiatów Polskich</w:t>
            </w:r>
            <w:r>
              <w:rPr>
                <w:rFonts w:ascii="Times New Roman" w:hAnsi="Times New Roman"/>
                <w:color w:val="000000"/>
                <w:spacing w:val="-2"/>
              </w:rPr>
              <w:t>;</w:t>
            </w:r>
          </w:p>
          <w:p w14:paraId="23E85969" w14:textId="77777777" w:rsidR="00525918"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Związek Samorządów Polskich</w:t>
            </w:r>
            <w:r>
              <w:rPr>
                <w:rFonts w:ascii="Times New Roman" w:hAnsi="Times New Roman"/>
                <w:color w:val="000000"/>
                <w:spacing w:val="-2"/>
              </w:rPr>
              <w:t>;</w:t>
            </w:r>
          </w:p>
          <w:p w14:paraId="0484F29A" w14:textId="7A41FC2B" w:rsidR="0052338E" w:rsidRDefault="00525918" w:rsidP="00094578">
            <w:pPr>
              <w:pStyle w:val="Akapitzlist"/>
              <w:numPr>
                <w:ilvl w:val="0"/>
                <w:numId w:val="99"/>
              </w:numPr>
              <w:spacing w:line="240" w:lineRule="auto"/>
              <w:jc w:val="both"/>
              <w:rPr>
                <w:rFonts w:ascii="Times New Roman" w:hAnsi="Times New Roman"/>
                <w:color w:val="000000"/>
                <w:spacing w:val="-2"/>
              </w:rPr>
            </w:pPr>
            <w:r w:rsidRPr="00525918">
              <w:rPr>
                <w:rFonts w:ascii="Times New Roman" w:hAnsi="Times New Roman"/>
                <w:color w:val="000000"/>
                <w:spacing w:val="-2"/>
              </w:rPr>
              <w:t>Związek Województw RP</w:t>
            </w:r>
            <w:r w:rsidR="0052338E">
              <w:rPr>
                <w:rFonts w:ascii="Times New Roman" w:hAnsi="Times New Roman"/>
                <w:color w:val="000000"/>
                <w:spacing w:val="-2"/>
              </w:rPr>
              <w:t>;</w:t>
            </w:r>
          </w:p>
          <w:p w14:paraId="061A9778" w14:textId="46229558" w:rsidR="0052338E" w:rsidRPr="0052338E" w:rsidRDefault="0052338E" w:rsidP="0052338E">
            <w:pPr>
              <w:pStyle w:val="Akapitzlist"/>
              <w:numPr>
                <w:ilvl w:val="0"/>
                <w:numId w:val="99"/>
              </w:numPr>
              <w:spacing w:line="240" w:lineRule="auto"/>
              <w:jc w:val="both"/>
              <w:rPr>
                <w:rFonts w:ascii="Times New Roman" w:hAnsi="Times New Roman"/>
                <w:color w:val="000000"/>
                <w:spacing w:val="-2"/>
              </w:rPr>
            </w:pPr>
            <w:r w:rsidRPr="0052338E">
              <w:rPr>
                <w:rFonts w:ascii="Times New Roman" w:hAnsi="Times New Roman"/>
                <w:color w:val="000000"/>
                <w:spacing w:val="-2"/>
              </w:rPr>
              <w:t>Krajowa Rada Spółdzielcza</w:t>
            </w:r>
            <w:r>
              <w:rPr>
                <w:rFonts w:ascii="Times New Roman" w:hAnsi="Times New Roman"/>
                <w:color w:val="000000"/>
                <w:spacing w:val="-2"/>
              </w:rPr>
              <w:t>;</w:t>
            </w:r>
            <w:r w:rsidRPr="0052338E">
              <w:rPr>
                <w:rFonts w:ascii="Times New Roman" w:hAnsi="Times New Roman"/>
                <w:color w:val="000000"/>
                <w:spacing w:val="-2"/>
              </w:rPr>
              <w:t xml:space="preserve"> </w:t>
            </w:r>
          </w:p>
          <w:p w14:paraId="453179CF" w14:textId="000D0CF3" w:rsidR="0052338E" w:rsidRPr="0052338E" w:rsidRDefault="0052338E" w:rsidP="0052338E">
            <w:pPr>
              <w:pStyle w:val="Akapitzlist"/>
              <w:numPr>
                <w:ilvl w:val="0"/>
                <w:numId w:val="99"/>
              </w:numPr>
              <w:spacing w:line="240" w:lineRule="auto"/>
              <w:jc w:val="both"/>
              <w:rPr>
                <w:rFonts w:ascii="Times New Roman" w:hAnsi="Times New Roman"/>
                <w:color w:val="000000"/>
                <w:spacing w:val="-2"/>
              </w:rPr>
            </w:pPr>
            <w:r w:rsidRPr="0052338E">
              <w:rPr>
                <w:rFonts w:ascii="Times New Roman" w:hAnsi="Times New Roman"/>
                <w:color w:val="000000"/>
                <w:spacing w:val="-2"/>
              </w:rPr>
              <w:t>Krajowa Izba Klastrów Energii i Odnawialnych Źródeł Energii</w:t>
            </w:r>
            <w:r>
              <w:rPr>
                <w:rFonts w:ascii="Times New Roman" w:hAnsi="Times New Roman"/>
                <w:color w:val="000000"/>
                <w:spacing w:val="-2"/>
              </w:rPr>
              <w:t>;</w:t>
            </w:r>
            <w:r w:rsidRPr="0052338E">
              <w:rPr>
                <w:rFonts w:ascii="Times New Roman" w:hAnsi="Times New Roman"/>
                <w:color w:val="000000"/>
                <w:spacing w:val="-2"/>
              </w:rPr>
              <w:t xml:space="preserve"> </w:t>
            </w:r>
          </w:p>
          <w:p w14:paraId="161AE247" w14:textId="617DF027" w:rsidR="0052338E" w:rsidRPr="0052338E" w:rsidRDefault="0052338E" w:rsidP="0052338E">
            <w:pPr>
              <w:pStyle w:val="Akapitzlist"/>
              <w:numPr>
                <w:ilvl w:val="0"/>
                <w:numId w:val="99"/>
              </w:numPr>
              <w:spacing w:line="240" w:lineRule="auto"/>
              <w:jc w:val="both"/>
              <w:rPr>
                <w:rFonts w:ascii="Times New Roman" w:hAnsi="Times New Roman"/>
                <w:color w:val="000000"/>
                <w:spacing w:val="-2"/>
              </w:rPr>
            </w:pPr>
            <w:r>
              <w:rPr>
                <w:rFonts w:ascii="Times New Roman" w:hAnsi="Times New Roman"/>
                <w:color w:val="000000"/>
                <w:spacing w:val="-2"/>
              </w:rPr>
              <w:t>K</w:t>
            </w:r>
            <w:r w:rsidRPr="0052338E">
              <w:rPr>
                <w:rFonts w:ascii="Times New Roman" w:hAnsi="Times New Roman"/>
                <w:color w:val="000000"/>
                <w:spacing w:val="-2"/>
              </w:rPr>
              <w:t>rajowa Izba Gospodarki Nieruchomościami</w:t>
            </w:r>
            <w:r>
              <w:rPr>
                <w:rFonts w:ascii="Times New Roman" w:hAnsi="Times New Roman"/>
                <w:color w:val="000000"/>
                <w:spacing w:val="-2"/>
              </w:rPr>
              <w:t xml:space="preserve">; </w:t>
            </w:r>
          </w:p>
          <w:p w14:paraId="20677CBC" w14:textId="13BFF41E" w:rsidR="0052338E" w:rsidRPr="0052338E" w:rsidRDefault="0052338E" w:rsidP="0052338E">
            <w:pPr>
              <w:pStyle w:val="Akapitzlist"/>
              <w:numPr>
                <w:ilvl w:val="0"/>
                <w:numId w:val="99"/>
              </w:numPr>
              <w:spacing w:line="240" w:lineRule="auto"/>
              <w:jc w:val="both"/>
              <w:rPr>
                <w:rFonts w:ascii="Times New Roman" w:hAnsi="Times New Roman"/>
                <w:color w:val="000000"/>
                <w:spacing w:val="-2"/>
              </w:rPr>
            </w:pPr>
            <w:r w:rsidRPr="0052338E">
              <w:rPr>
                <w:rFonts w:ascii="Times New Roman" w:hAnsi="Times New Roman"/>
                <w:color w:val="000000"/>
                <w:spacing w:val="-2"/>
              </w:rPr>
              <w:t>Związek Rewizyjny Spółdzielni Mieszkaniowych</w:t>
            </w:r>
            <w:r>
              <w:rPr>
                <w:rFonts w:ascii="Times New Roman" w:hAnsi="Times New Roman"/>
                <w:color w:val="000000"/>
                <w:spacing w:val="-2"/>
              </w:rPr>
              <w:t>;</w:t>
            </w:r>
            <w:r w:rsidRPr="0052338E">
              <w:rPr>
                <w:rFonts w:ascii="Times New Roman" w:hAnsi="Times New Roman"/>
                <w:color w:val="000000"/>
                <w:spacing w:val="-2"/>
              </w:rPr>
              <w:t xml:space="preserve"> </w:t>
            </w:r>
          </w:p>
          <w:p w14:paraId="7970DF00" w14:textId="77777777" w:rsidR="00223CD1" w:rsidRDefault="0052338E" w:rsidP="0052338E">
            <w:pPr>
              <w:pStyle w:val="Akapitzlist"/>
              <w:numPr>
                <w:ilvl w:val="0"/>
                <w:numId w:val="99"/>
              </w:numPr>
              <w:spacing w:line="240" w:lineRule="auto"/>
              <w:jc w:val="both"/>
              <w:rPr>
                <w:rFonts w:ascii="Times New Roman" w:hAnsi="Times New Roman"/>
                <w:color w:val="000000"/>
                <w:spacing w:val="-2"/>
              </w:rPr>
            </w:pPr>
            <w:r w:rsidRPr="0052338E">
              <w:rPr>
                <w:rFonts w:ascii="Times New Roman" w:hAnsi="Times New Roman"/>
                <w:color w:val="000000"/>
                <w:spacing w:val="-2"/>
              </w:rPr>
              <w:t>Polska Izba Gospodarcza Towarzystw Budownictwa Społecznego</w:t>
            </w:r>
            <w:r w:rsidR="00223CD1">
              <w:rPr>
                <w:rFonts w:ascii="Times New Roman" w:hAnsi="Times New Roman"/>
                <w:color w:val="000000"/>
                <w:spacing w:val="-2"/>
              </w:rPr>
              <w:t>;</w:t>
            </w:r>
          </w:p>
          <w:p w14:paraId="09C615FC" w14:textId="3558F963" w:rsidR="0052338E" w:rsidRDefault="00223CD1" w:rsidP="0052338E">
            <w:pPr>
              <w:pStyle w:val="Akapitzlist"/>
              <w:numPr>
                <w:ilvl w:val="0"/>
                <w:numId w:val="99"/>
              </w:numPr>
              <w:spacing w:line="240" w:lineRule="auto"/>
              <w:jc w:val="both"/>
              <w:rPr>
                <w:rFonts w:ascii="Times New Roman" w:hAnsi="Times New Roman"/>
                <w:color w:val="000000"/>
                <w:spacing w:val="-2"/>
              </w:rPr>
            </w:pPr>
            <w:r>
              <w:rPr>
                <w:rFonts w:ascii="Times New Roman" w:hAnsi="Times New Roman"/>
                <w:color w:val="000000"/>
                <w:spacing w:val="-2"/>
              </w:rPr>
              <w:t>Polska Organizacja Biometanu</w:t>
            </w:r>
            <w:r w:rsidR="0052338E">
              <w:rPr>
                <w:rFonts w:ascii="Times New Roman" w:hAnsi="Times New Roman"/>
                <w:color w:val="000000"/>
                <w:spacing w:val="-2"/>
              </w:rPr>
              <w:t>.</w:t>
            </w:r>
          </w:p>
          <w:p w14:paraId="7958B64B" w14:textId="77777777" w:rsidR="00F135FD" w:rsidRDefault="00F135FD" w:rsidP="00F135FD">
            <w:pPr>
              <w:spacing w:before="120" w:after="120" w:line="240" w:lineRule="auto"/>
              <w:jc w:val="both"/>
              <w:rPr>
                <w:rFonts w:ascii="Times New Roman" w:hAnsi="Times New Roman"/>
                <w:color w:val="000000"/>
                <w:spacing w:val="-2"/>
              </w:rPr>
            </w:pPr>
            <w:r>
              <w:rPr>
                <w:rFonts w:ascii="Times New Roman" w:hAnsi="Times New Roman"/>
                <w:color w:val="000000"/>
                <w:spacing w:val="-2"/>
              </w:rPr>
              <w:t>P</w:t>
            </w:r>
            <w:r w:rsidRPr="00CB6F96">
              <w:rPr>
                <w:rFonts w:ascii="Times New Roman" w:hAnsi="Times New Roman"/>
                <w:color w:val="000000"/>
                <w:spacing w:val="-2"/>
              </w:rPr>
              <w:t>rojekt zostanie przekazany do zaopiniowania (</w:t>
            </w:r>
            <w:r>
              <w:rPr>
                <w:rFonts w:ascii="Times New Roman" w:hAnsi="Times New Roman"/>
                <w:color w:val="000000"/>
                <w:spacing w:val="-2"/>
              </w:rPr>
              <w:t>21</w:t>
            </w:r>
            <w:r w:rsidRPr="00CB6F96">
              <w:rPr>
                <w:rFonts w:ascii="Times New Roman" w:hAnsi="Times New Roman"/>
                <w:color w:val="000000"/>
                <w:spacing w:val="-2"/>
              </w:rPr>
              <w:t xml:space="preserve"> dni) następującym podmiotom:</w:t>
            </w:r>
            <w:bookmarkStart w:id="43" w:name="_Hlk107225656"/>
          </w:p>
          <w:bookmarkEnd w:id="43"/>
          <w:p w14:paraId="5B56547B" w14:textId="3A09B66F" w:rsidR="00F135FD" w:rsidRDefault="00F135FD" w:rsidP="00B47D9F">
            <w:pPr>
              <w:numPr>
                <w:ilvl w:val="0"/>
                <w:numId w:val="60"/>
              </w:numPr>
              <w:spacing w:line="240" w:lineRule="auto"/>
              <w:ind w:left="344" w:hanging="344"/>
              <w:jc w:val="both"/>
              <w:rPr>
                <w:rFonts w:ascii="Times New Roman" w:hAnsi="Times New Roman"/>
                <w:color w:val="000000"/>
                <w:spacing w:val="-2"/>
              </w:rPr>
            </w:pPr>
            <w:r>
              <w:rPr>
                <w:rFonts w:ascii="Times New Roman" w:hAnsi="Times New Roman"/>
                <w:color w:val="000000"/>
                <w:spacing w:val="-2"/>
              </w:rPr>
              <w:t>Biuro Pełnomocnika Rządu ds. Strategicznej Infrastruktury Energetycznej</w:t>
            </w:r>
            <w:r w:rsidR="00525918">
              <w:rPr>
                <w:rFonts w:ascii="Times New Roman" w:hAnsi="Times New Roman"/>
                <w:color w:val="000000"/>
                <w:spacing w:val="-2"/>
              </w:rPr>
              <w:t>;</w:t>
            </w:r>
          </w:p>
          <w:p w14:paraId="19F3C8A1" w14:textId="0ABA0EAE" w:rsidR="00F135FD" w:rsidRPr="00387C39" w:rsidRDefault="00F135FD" w:rsidP="00B47D9F">
            <w:pPr>
              <w:numPr>
                <w:ilvl w:val="0"/>
                <w:numId w:val="60"/>
              </w:numPr>
              <w:spacing w:line="240" w:lineRule="auto"/>
              <w:ind w:left="344" w:hanging="344"/>
              <w:jc w:val="both"/>
              <w:rPr>
                <w:rFonts w:ascii="Times New Roman" w:hAnsi="Times New Roman"/>
                <w:color w:val="000000"/>
                <w:spacing w:val="-2"/>
              </w:rPr>
            </w:pPr>
            <w:r w:rsidRPr="00387C39">
              <w:rPr>
                <w:rFonts w:ascii="Times New Roman" w:hAnsi="Times New Roman"/>
                <w:color w:val="000000"/>
                <w:spacing w:val="-2"/>
              </w:rPr>
              <w:t>Generalna Dyrekcja Ochrony Środowiska</w:t>
            </w:r>
            <w:r w:rsidR="00525918">
              <w:rPr>
                <w:rFonts w:ascii="Times New Roman" w:hAnsi="Times New Roman"/>
                <w:color w:val="000000"/>
                <w:spacing w:val="-2"/>
              </w:rPr>
              <w:t>;</w:t>
            </w:r>
          </w:p>
          <w:p w14:paraId="38648914" w14:textId="26F051C7" w:rsidR="00F135FD" w:rsidRDefault="00F135FD" w:rsidP="00B47D9F">
            <w:pPr>
              <w:numPr>
                <w:ilvl w:val="0"/>
                <w:numId w:val="60"/>
              </w:numPr>
              <w:spacing w:line="240" w:lineRule="auto"/>
              <w:ind w:left="344" w:hanging="344"/>
              <w:jc w:val="both"/>
              <w:rPr>
                <w:rFonts w:ascii="Times New Roman" w:hAnsi="Times New Roman"/>
                <w:color w:val="000000"/>
                <w:spacing w:val="-2"/>
              </w:rPr>
            </w:pPr>
            <w:r w:rsidRPr="00387C39">
              <w:rPr>
                <w:rFonts w:ascii="Times New Roman" w:hAnsi="Times New Roman"/>
                <w:color w:val="000000"/>
                <w:spacing w:val="-2"/>
              </w:rPr>
              <w:t>Główny Urząd Nadzoru Budowlanego</w:t>
            </w:r>
            <w:r w:rsidR="00525918">
              <w:rPr>
                <w:rFonts w:ascii="Times New Roman" w:hAnsi="Times New Roman"/>
                <w:color w:val="000000"/>
                <w:spacing w:val="-2"/>
              </w:rPr>
              <w:t>;</w:t>
            </w:r>
          </w:p>
          <w:p w14:paraId="03EB8DC6" w14:textId="34E156DE" w:rsidR="00F135FD" w:rsidRPr="00387C39" w:rsidRDefault="00F135FD" w:rsidP="00B47D9F">
            <w:pPr>
              <w:numPr>
                <w:ilvl w:val="0"/>
                <w:numId w:val="60"/>
              </w:numPr>
              <w:spacing w:line="240" w:lineRule="auto"/>
              <w:ind w:left="344" w:hanging="344"/>
              <w:jc w:val="both"/>
              <w:rPr>
                <w:rFonts w:ascii="Times New Roman" w:hAnsi="Times New Roman"/>
                <w:color w:val="000000"/>
                <w:spacing w:val="-2"/>
              </w:rPr>
            </w:pPr>
            <w:r w:rsidRPr="00387C39">
              <w:rPr>
                <w:rFonts w:ascii="Times New Roman" w:hAnsi="Times New Roman"/>
                <w:color w:val="000000"/>
                <w:spacing w:val="-2"/>
              </w:rPr>
              <w:t>Młodzieżowa Rada Klimatyczna</w:t>
            </w:r>
            <w:r w:rsidR="00525918">
              <w:rPr>
                <w:rFonts w:ascii="Times New Roman" w:hAnsi="Times New Roman"/>
                <w:color w:val="000000"/>
                <w:spacing w:val="-2"/>
              </w:rPr>
              <w:t>;</w:t>
            </w:r>
          </w:p>
          <w:p w14:paraId="7EAA9FAC" w14:textId="13B36819" w:rsidR="00F135FD" w:rsidRPr="00387C39" w:rsidRDefault="00F135FD" w:rsidP="00B47D9F">
            <w:pPr>
              <w:numPr>
                <w:ilvl w:val="0"/>
                <w:numId w:val="60"/>
              </w:numPr>
              <w:spacing w:line="240" w:lineRule="auto"/>
              <w:ind w:left="344" w:hanging="344"/>
              <w:jc w:val="both"/>
              <w:rPr>
                <w:rFonts w:ascii="Times New Roman" w:hAnsi="Times New Roman"/>
                <w:color w:val="000000"/>
                <w:spacing w:val="-2"/>
              </w:rPr>
            </w:pPr>
            <w:r w:rsidRPr="00387C39">
              <w:rPr>
                <w:rFonts w:ascii="Times New Roman" w:hAnsi="Times New Roman"/>
                <w:color w:val="000000"/>
                <w:spacing w:val="-2"/>
              </w:rPr>
              <w:t>Prokuratoria Generalna Rzeczypospolitej Polskiej</w:t>
            </w:r>
            <w:r w:rsidR="00525918">
              <w:rPr>
                <w:rFonts w:ascii="Times New Roman" w:hAnsi="Times New Roman"/>
                <w:color w:val="000000"/>
                <w:spacing w:val="-2"/>
              </w:rPr>
              <w:t>;</w:t>
            </w:r>
          </w:p>
          <w:p w14:paraId="72BC72E8" w14:textId="6419950B" w:rsidR="00F135FD" w:rsidRPr="00387C39" w:rsidRDefault="00F135FD" w:rsidP="00B47D9F">
            <w:pPr>
              <w:numPr>
                <w:ilvl w:val="0"/>
                <w:numId w:val="60"/>
              </w:numPr>
              <w:spacing w:line="240" w:lineRule="auto"/>
              <w:ind w:left="344" w:hanging="344"/>
              <w:jc w:val="both"/>
              <w:rPr>
                <w:rFonts w:ascii="Times New Roman" w:hAnsi="Times New Roman"/>
                <w:color w:val="000000"/>
                <w:spacing w:val="-2"/>
              </w:rPr>
            </w:pPr>
            <w:r w:rsidRPr="00387C39">
              <w:rPr>
                <w:rFonts w:ascii="Times New Roman" w:hAnsi="Times New Roman"/>
                <w:color w:val="000000"/>
                <w:spacing w:val="-2"/>
              </w:rPr>
              <w:t>Urząd Ochrony Konkurencji i Konsumentów</w:t>
            </w:r>
            <w:r w:rsidR="00525918">
              <w:rPr>
                <w:rFonts w:ascii="Times New Roman" w:hAnsi="Times New Roman"/>
                <w:color w:val="000000"/>
                <w:spacing w:val="-2"/>
              </w:rPr>
              <w:t>;</w:t>
            </w:r>
          </w:p>
          <w:p w14:paraId="42911E00" w14:textId="65435EC4" w:rsidR="00F135FD" w:rsidRDefault="00F135FD" w:rsidP="00B47D9F">
            <w:pPr>
              <w:numPr>
                <w:ilvl w:val="0"/>
                <w:numId w:val="60"/>
              </w:numPr>
              <w:spacing w:line="240" w:lineRule="auto"/>
              <w:ind w:left="344" w:hanging="344"/>
              <w:jc w:val="both"/>
              <w:rPr>
                <w:rFonts w:ascii="Times New Roman" w:hAnsi="Times New Roman"/>
                <w:color w:val="000000"/>
                <w:spacing w:val="-2"/>
              </w:rPr>
            </w:pPr>
            <w:r w:rsidRPr="00387C39">
              <w:rPr>
                <w:rFonts w:ascii="Times New Roman" w:hAnsi="Times New Roman"/>
                <w:color w:val="000000"/>
                <w:spacing w:val="-2"/>
              </w:rPr>
              <w:t>Urząd Regulacji Energetyki</w:t>
            </w:r>
            <w:r w:rsidR="00525918">
              <w:rPr>
                <w:rFonts w:ascii="Times New Roman" w:hAnsi="Times New Roman"/>
                <w:color w:val="000000"/>
                <w:spacing w:val="-2"/>
              </w:rPr>
              <w:t>;</w:t>
            </w:r>
          </w:p>
          <w:p w14:paraId="3A6574AD" w14:textId="77777777" w:rsidR="00534A40" w:rsidRDefault="00534A40" w:rsidP="00B47D9F">
            <w:pPr>
              <w:numPr>
                <w:ilvl w:val="0"/>
                <w:numId w:val="60"/>
              </w:numPr>
              <w:spacing w:line="240" w:lineRule="auto"/>
              <w:ind w:left="344" w:hanging="344"/>
              <w:jc w:val="both"/>
              <w:rPr>
                <w:rFonts w:ascii="Times New Roman" w:hAnsi="Times New Roman"/>
                <w:color w:val="000000"/>
                <w:spacing w:val="-2"/>
              </w:rPr>
            </w:pPr>
            <w:r w:rsidRPr="00525918">
              <w:rPr>
                <w:rFonts w:ascii="Times New Roman" w:hAnsi="Times New Roman"/>
                <w:color w:val="000000"/>
                <w:spacing w:val="-2"/>
              </w:rPr>
              <w:t>Agencja Restrukturyzacji i Modernizacji Rolnictwa</w:t>
            </w:r>
            <w:r>
              <w:rPr>
                <w:rFonts w:ascii="Times New Roman" w:hAnsi="Times New Roman"/>
                <w:color w:val="000000"/>
                <w:spacing w:val="-2"/>
              </w:rPr>
              <w:t>;</w:t>
            </w:r>
          </w:p>
          <w:p w14:paraId="6139F014" w14:textId="7D0B492E" w:rsidR="00534A40" w:rsidRPr="00094578" w:rsidRDefault="00534A40" w:rsidP="00B47D9F">
            <w:pPr>
              <w:numPr>
                <w:ilvl w:val="0"/>
                <w:numId w:val="60"/>
              </w:numPr>
              <w:spacing w:line="240" w:lineRule="auto"/>
              <w:ind w:left="344" w:hanging="344"/>
              <w:jc w:val="both"/>
              <w:rPr>
                <w:rFonts w:ascii="Times New Roman" w:hAnsi="Times New Roman"/>
                <w:color w:val="000000"/>
                <w:spacing w:val="-2"/>
              </w:rPr>
            </w:pPr>
            <w:r w:rsidRPr="00525918">
              <w:rPr>
                <w:rFonts w:ascii="Times New Roman" w:hAnsi="Times New Roman"/>
                <w:color w:val="000000"/>
                <w:spacing w:val="-2"/>
              </w:rPr>
              <w:t>Generaln</w:t>
            </w:r>
            <w:r>
              <w:rPr>
                <w:rFonts w:ascii="Times New Roman" w:hAnsi="Times New Roman"/>
                <w:color w:val="000000"/>
                <w:spacing w:val="-2"/>
              </w:rPr>
              <w:t>a</w:t>
            </w:r>
            <w:r w:rsidRPr="00525918">
              <w:rPr>
                <w:rFonts w:ascii="Times New Roman" w:hAnsi="Times New Roman"/>
                <w:color w:val="000000"/>
                <w:spacing w:val="-2"/>
              </w:rPr>
              <w:t xml:space="preserve"> Dyrekcja Dróg Krajowych i Autostrad</w:t>
            </w:r>
            <w:r>
              <w:rPr>
                <w:rFonts w:ascii="Times New Roman" w:hAnsi="Times New Roman"/>
                <w:color w:val="000000"/>
                <w:spacing w:val="-2"/>
              </w:rPr>
              <w:t>;</w:t>
            </w:r>
            <w:r w:rsidRPr="00525918" w:rsidDel="00510DB8">
              <w:rPr>
                <w:rFonts w:ascii="Times New Roman" w:hAnsi="Times New Roman"/>
                <w:color w:val="000000"/>
                <w:spacing w:val="-2"/>
              </w:rPr>
              <w:t xml:space="preserve"> </w:t>
            </w:r>
          </w:p>
          <w:p w14:paraId="06BC2A4D" w14:textId="30DBE164" w:rsidR="00534A40" w:rsidRDefault="00534A40" w:rsidP="00B47D9F">
            <w:pPr>
              <w:numPr>
                <w:ilvl w:val="0"/>
                <w:numId w:val="60"/>
              </w:numPr>
              <w:spacing w:line="240" w:lineRule="auto"/>
              <w:ind w:left="344" w:hanging="344"/>
              <w:jc w:val="both"/>
              <w:rPr>
                <w:rFonts w:ascii="Times New Roman" w:hAnsi="Times New Roman"/>
                <w:color w:val="000000"/>
                <w:spacing w:val="-2"/>
              </w:rPr>
            </w:pPr>
            <w:r w:rsidRPr="00094578">
              <w:rPr>
                <w:rFonts w:ascii="Times New Roman" w:hAnsi="Times New Roman"/>
                <w:color w:val="000000"/>
                <w:spacing w:val="-2"/>
              </w:rPr>
              <w:t>Krajow</w:t>
            </w:r>
            <w:r>
              <w:rPr>
                <w:rFonts w:ascii="Times New Roman" w:hAnsi="Times New Roman"/>
                <w:color w:val="000000"/>
                <w:spacing w:val="-2"/>
              </w:rPr>
              <w:t>y</w:t>
            </w:r>
            <w:r w:rsidRPr="00094578">
              <w:rPr>
                <w:rFonts w:ascii="Times New Roman" w:hAnsi="Times New Roman"/>
                <w:color w:val="000000"/>
                <w:spacing w:val="-2"/>
              </w:rPr>
              <w:t xml:space="preserve"> Ośrod</w:t>
            </w:r>
            <w:r>
              <w:rPr>
                <w:rFonts w:ascii="Times New Roman" w:hAnsi="Times New Roman"/>
                <w:color w:val="000000"/>
                <w:spacing w:val="-2"/>
              </w:rPr>
              <w:t>e</w:t>
            </w:r>
            <w:r w:rsidRPr="00094578">
              <w:rPr>
                <w:rFonts w:ascii="Times New Roman" w:hAnsi="Times New Roman"/>
                <w:color w:val="000000"/>
                <w:spacing w:val="-2"/>
              </w:rPr>
              <w:t>k Wsparcia Rolnictwa</w:t>
            </w:r>
            <w:r>
              <w:rPr>
                <w:rFonts w:ascii="Times New Roman" w:hAnsi="Times New Roman"/>
                <w:color w:val="000000"/>
                <w:spacing w:val="-2"/>
              </w:rPr>
              <w:t>;</w:t>
            </w:r>
          </w:p>
          <w:p w14:paraId="42FA0D71" w14:textId="6226E765" w:rsidR="00B47D9F" w:rsidRDefault="00B47D9F" w:rsidP="00B47D9F">
            <w:pPr>
              <w:numPr>
                <w:ilvl w:val="0"/>
                <w:numId w:val="60"/>
              </w:numPr>
              <w:spacing w:line="240" w:lineRule="auto"/>
              <w:ind w:left="344" w:hanging="344"/>
              <w:jc w:val="both"/>
              <w:rPr>
                <w:rFonts w:ascii="Times New Roman" w:hAnsi="Times New Roman"/>
                <w:color w:val="000000"/>
                <w:spacing w:val="-2"/>
              </w:rPr>
            </w:pPr>
            <w:r w:rsidRPr="00B47D9F">
              <w:rPr>
                <w:rFonts w:ascii="Times New Roman" w:hAnsi="Times New Roman"/>
                <w:color w:val="000000"/>
                <w:spacing w:val="-2"/>
              </w:rPr>
              <w:t>Państwowe Gospodarstwo Wodne Wody Polskie</w:t>
            </w:r>
            <w:r>
              <w:rPr>
                <w:rFonts w:ascii="Times New Roman" w:hAnsi="Times New Roman"/>
                <w:color w:val="000000"/>
                <w:spacing w:val="-2"/>
              </w:rPr>
              <w:t>;</w:t>
            </w:r>
          </w:p>
          <w:p w14:paraId="7BAF8930" w14:textId="6D51F565" w:rsidR="00534A40" w:rsidRDefault="00534A40" w:rsidP="00B47D9F">
            <w:pPr>
              <w:numPr>
                <w:ilvl w:val="0"/>
                <w:numId w:val="60"/>
              </w:numPr>
              <w:spacing w:line="240" w:lineRule="auto"/>
              <w:ind w:left="344" w:hanging="344"/>
              <w:jc w:val="both"/>
              <w:rPr>
                <w:rFonts w:ascii="Times New Roman" w:hAnsi="Times New Roman"/>
                <w:color w:val="000000"/>
                <w:spacing w:val="-2"/>
              </w:rPr>
            </w:pPr>
            <w:r w:rsidRPr="00094578">
              <w:rPr>
                <w:rFonts w:ascii="Times New Roman" w:hAnsi="Times New Roman"/>
                <w:color w:val="000000"/>
                <w:spacing w:val="-2"/>
              </w:rPr>
              <w:t>Rzecznik Małych i Średnich Przedsiębiorców</w:t>
            </w:r>
            <w:r w:rsidR="00E15FAE">
              <w:rPr>
                <w:rFonts w:ascii="Times New Roman" w:hAnsi="Times New Roman"/>
                <w:color w:val="000000"/>
                <w:spacing w:val="-2"/>
              </w:rPr>
              <w:t>;</w:t>
            </w:r>
          </w:p>
          <w:p w14:paraId="72149882" w14:textId="22CB09D2" w:rsidR="00E15FAE" w:rsidRPr="00E15FAE" w:rsidDel="00534A40" w:rsidRDefault="006D42E6" w:rsidP="00B47D9F">
            <w:pPr>
              <w:numPr>
                <w:ilvl w:val="0"/>
                <w:numId w:val="60"/>
              </w:numPr>
              <w:spacing w:line="240" w:lineRule="auto"/>
              <w:ind w:left="344" w:hanging="344"/>
              <w:jc w:val="both"/>
              <w:rPr>
                <w:rFonts w:ascii="Times New Roman" w:hAnsi="Times New Roman"/>
                <w:color w:val="000000"/>
                <w:spacing w:val="-2"/>
              </w:rPr>
            </w:pPr>
            <w:r>
              <w:rPr>
                <w:rFonts w:ascii="Times New Roman" w:hAnsi="Times New Roman"/>
                <w:color w:val="000000"/>
                <w:spacing w:val="-2"/>
              </w:rPr>
              <w:t>Dyrektorzy Urzędów Morskich.</w:t>
            </w:r>
          </w:p>
          <w:p w14:paraId="78BA60BC" w14:textId="77777777" w:rsidR="00094578" w:rsidRDefault="00094578" w:rsidP="00094578">
            <w:pPr>
              <w:spacing w:line="240" w:lineRule="auto"/>
              <w:ind w:left="360"/>
              <w:jc w:val="both"/>
              <w:rPr>
                <w:rFonts w:ascii="Times New Roman" w:hAnsi="Times New Roman"/>
                <w:color w:val="000000"/>
                <w:spacing w:val="-2"/>
              </w:rPr>
            </w:pPr>
          </w:p>
          <w:p w14:paraId="38F4F541" w14:textId="4EA57A75" w:rsidR="007A7102" w:rsidRDefault="00D30055" w:rsidP="007A7102">
            <w:pPr>
              <w:spacing w:after="120" w:line="240" w:lineRule="auto"/>
              <w:jc w:val="both"/>
              <w:rPr>
                <w:rFonts w:ascii="Times New Roman" w:hAnsi="Times New Roman"/>
                <w:color w:val="000000"/>
                <w:spacing w:val="-2"/>
              </w:rPr>
            </w:pPr>
            <w:r w:rsidRPr="00D30055">
              <w:rPr>
                <w:rFonts w:ascii="Times New Roman" w:hAnsi="Times New Roman"/>
                <w:color w:val="000000"/>
                <w:spacing w:val="-2"/>
              </w:rPr>
              <w:t xml:space="preserve">Z uwagi na zakres projektu, który dotyczy praw i interesów związków </w:t>
            </w:r>
            <w:r>
              <w:rPr>
                <w:rFonts w:ascii="Times New Roman" w:hAnsi="Times New Roman"/>
                <w:color w:val="000000"/>
                <w:spacing w:val="-2"/>
              </w:rPr>
              <w:t>zawodowych, p</w:t>
            </w:r>
            <w:r w:rsidR="003D6F0A" w:rsidRPr="003D6F0A">
              <w:rPr>
                <w:rFonts w:ascii="Times New Roman" w:hAnsi="Times New Roman"/>
                <w:color w:val="000000"/>
                <w:spacing w:val="-2"/>
              </w:rPr>
              <w:t>rojekt zosta</w:t>
            </w:r>
            <w:r>
              <w:rPr>
                <w:rFonts w:ascii="Times New Roman" w:hAnsi="Times New Roman"/>
                <w:color w:val="000000"/>
                <w:spacing w:val="-2"/>
              </w:rPr>
              <w:t>nie</w:t>
            </w:r>
            <w:r w:rsidR="003D6F0A" w:rsidRPr="003D6F0A">
              <w:rPr>
                <w:rFonts w:ascii="Times New Roman" w:hAnsi="Times New Roman"/>
                <w:color w:val="000000"/>
                <w:spacing w:val="-2"/>
              </w:rPr>
              <w:t xml:space="preserve"> przekazany </w:t>
            </w:r>
            <w:r>
              <w:rPr>
                <w:rFonts w:ascii="Times New Roman" w:hAnsi="Times New Roman"/>
                <w:color w:val="000000"/>
                <w:spacing w:val="-2"/>
              </w:rPr>
              <w:t>do zaopiniowania (</w:t>
            </w:r>
            <w:r w:rsidR="003D6F0A" w:rsidRPr="003D6F0A">
              <w:rPr>
                <w:rFonts w:ascii="Times New Roman" w:hAnsi="Times New Roman"/>
                <w:color w:val="000000"/>
                <w:spacing w:val="-2"/>
              </w:rPr>
              <w:t>30 dni</w:t>
            </w:r>
            <w:r>
              <w:rPr>
                <w:rFonts w:ascii="Times New Roman" w:hAnsi="Times New Roman"/>
                <w:color w:val="000000"/>
                <w:spacing w:val="-2"/>
              </w:rPr>
              <w:t>)</w:t>
            </w:r>
            <w:r w:rsidR="003D6F0A" w:rsidRPr="003D6F0A">
              <w:rPr>
                <w:rFonts w:ascii="Times New Roman" w:hAnsi="Times New Roman"/>
                <w:color w:val="000000"/>
                <w:spacing w:val="-2"/>
              </w:rPr>
              <w:t xml:space="preserve"> </w:t>
            </w:r>
            <w:r>
              <w:rPr>
                <w:rFonts w:ascii="Times New Roman" w:hAnsi="Times New Roman"/>
                <w:color w:val="000000"/>
                <w:spacing w:val="-2"/>
              </w:rPr>
              <w:t>przez</w:t>
            </w:r>
            <w:r w:rsidR="003D6F0A" w:rsidRPr="003D6F0A">
              <w:rPr>
                <w:rFonts w:ascii="Times New Roman" w:hAnsi="Times New Roman"/>
                <w:color w:val="000000"/>
                <w:spacing w:val="-2"/>
              </w:rPr>
              <w:t xml:space="preserve"> następując</w:t>
            </w:r>
            <w:r>
              <w:rPr>
                <w:rFonts w:ascii="Times New Roman" w:hAnsi="Times New Roman"/>
                <w:color w:val="000000"/>
                <w:spacing w:val="-2"/>
              </w:rPr>
              <w:t>e</w:t>
            </w:r>
            <w:r w:rsidR="003D6F0A" w:rsidRPr="003D6F0A">
              <w:rPr>
                <w:rFonts w:ascii="Times New Roman" w:hAnsi="Times New Roman"/>
                <w:color w:val="000000"/>
                <w:spacing w:val="-2"/>
              </w:rPr>
              <w:t xml:space="preserve"> reprezentatywn</w:t>
            </w:r>
            <w:r w:rsidR="00213FDF">
              <w:rPr>
                <w:rFonts w:ascii="Times New Roman" w:hAnsi="Times New Roman"/>
                <w:color w:val="000000"/>
                <w:spacing w:val="-2"/>
              </w:rPr>
              <w:t>e</w:t>
            </w:r>
            <w:r w:rsidR="003D6F0A" w:rsidRPr="003D6F0A">
              <w:rPr>
                <w:rFonts w:ascii="Times New Roman" w:hAnsi="Times New Roman"/>
                <w:color w:val="000000"/>
                <w:spacing w:val="-2"/>
              </w:rPr>
              <w:t xml:space="preserve"> związk</w:t>
            </w:r>
            <w:r w:rsidR="00213FDF">
              <w:rPr>
                <w:rFonts w:ascii="Times New Roman" w:hAnsi="Times New Roman"/>
                <w:color w:val="000000"/>
                <w:spacing w:val="-2"/>
              </w:rPr>
              <w:t>i</w:t>
            </w:r>
            <w:r w:rsidR="003D6F0A" w:rsidRPr="003D6F0A">
              <w:rPr>
                <w:rFonts w:ascii="Times New Roman" w:hAnsi="Times New Roman"/>
                <w:color w:val="000000"/>
                <w:spacing w:val="-2"/>
              </w:rPr>
              <w:t xml:space="preserve"> zawodow</w:t>
            </w:r>
            <w:r w:rsidR="00213FDF">
              <w:rPr>
                <w:rFonts w:ascii="Times New Roman" w:hAnsi="Times New Roman"/>
                <w:color w:val="000000"/>
                <w:spacing w:val="-2"/>
              </w:rPr>
              <w:t>e</w:t>
            </w:r>
            <w:r w:rsidR="003D6F0A" w:rsidRPr="003D6F0A">
              <w:rPr>
                <w:rFonts w:ascii="Times New Roman" w:hAnsi="Times New Roman"/>
                <w:color w:val="000000"/>
                <w:spacing w:val="-2"/>
              </w:rPr>
              <w:t>:</w:t>
            </w:r>
          </w:p>
          <w:p w14:paraId="604EA7D4" w14:textId="5E327D5A" w:rsidR="007A7102" w:rsidRPr="00247373" w:rsidRDefault="007A7102" w:rsidP="00B47D9F">
            <w:pPr>
              <w:numPr>
                <w:ilvl w:val="0"/>
                <w:numId w:val="108"/>
              </w:numPr>
              <w:spacing w:line="240" w:lineRule="auto"/>
              <w:ind w:left="344" w:hanging="344"/>
              <w:contextualSpacing/>
              <w:jc w:val="both"/>
              <w:rPr>
                <w:rFonts w:ascii="Times New Roman" w:hAnsi="Times New Roman"/>
              </w:rPr>
            </w:pPr>
            <w:r w:rsidRPr="007A7102">
              <w:rPr>
                <w:rFonts w:ascii="Times New Roman" w:hAnsi="Times New Roman"/>
              </w:rPr>
              <w:t>Ogólnopolskie Porozumienie Związków Zawodowych;</w:t>
            </w:r>
          </w:p>
          <w:p w14:paraId="44896953" w14:textId="5B6E3D8C" w:rsidR="007A7102" w:rsidRDefault="007A7102" w:rsidP="00B47D9F">
            <w:pPr>
              <w:numPr>
                <w:ilvl w:val="0"/>
                <w:numId w:val="108"/>
              </w:numPr>
              <w:spacing w:line="240" w:lineRule="auto"/>
              <w:ind w:left="344" w:hanging="344"/>
              <w:contextualSpacing/>
              <w:jc w:val="both"/>
              <w:rPr>
                <w:rFonts w:ascii="Times New Roman" w:hAnsi="Times New Roman"/>
              </w:rPr>
            </w:pPr>
            <w:r w:rsidRPr="007A7102">
              <w:rPr>
                <w:rFonts w:ascii="Times New Roman" w:hAnsi="Times New Roman"/>
              </w:rPr>
              <w:t>Forum Związków Zawodowych;</w:t>
            </w:r>
          </w:p>
          <w:p w14:paraId="593E94D5" w14:textId="3BFA3C39" w:rsidR="00B47D9F" w:rsidRPr="00B47D9F" w:rsidRDefault="007A7102" w:rsidP="001F5D9E">
            <w:pPr>
              <w:numPr>
                <w:ilvl w:val="0"/>
                <w:numId w:val="108"/>
              </w:numPr>
              <w:spacing w:after="120" w:line="240" w:lineRule="auto"/>
              <w:ind w:left="344" w:hanging="344"/>
              <w:contextualSpacing/>
              <w:jc w:val="both"/>
              <w:rPr>
                <w:rFonts w:ascii="Times New Roman" w:hAnsi="Times New Roman"/>
                <w:color w:val="000000"/>
                <w:spacing w:val="-2"/>
              </w:rPr>
            </w:pPr>
            <w:r w:rsidRPr="00B47D9F">
              <w:rPr>
                <w:rFonts w:ascii="Times New Roman" w:hAnsi="Times New Roman"/>
              </w:rPr>
              <w:t>Niezależny Samorządny Związek Zawodowy NSZZ „Solidarność”.</w:t>
            </w:r>
          </w:p>
          <w:p w14:paraId="39D1AD88" w14:textId="77777777" w:rsidR="00B47D9F" w:rsidRPr="00B47D9F" w:rsidRDefault="00B47D9F" w:rsidP="00B47D9F">
            <w:pPr>
              <w:spacing w:after="120" w:line="240" w:lineRule="auto"/>
              <w:contextualSpacing/>
              <w:jc w:val="both"/>
              <w:rPr>
                <w:rFonts w:ascii="Times New Roman" w:hAnsi="Times New Roman"/>
                <w:color w:val="000000"/>
                <w:spacing w:val="-2"/>
              </w:rPr>
            </w:pPr>
          </w:p>
          <w:p w14:paraId="0C2867ED" w14:textId="6672B2B4" w:rsidR="00247373" w:rsidRPr="00247373" w:rsidRDefault="00247373" w:rsidP="00247373">
            <w:pPr>
              <w:spacing w:after="120" w:line="240" w:lineRule="auto"/>
              <w:jc w:val="both"/>
              <w:rPr>
                <w:rFonts w:ascii="Times New Roman" w:hAnsi="Times New Roman"/>
                <w:color w:val="000000"/>
                <w:spacing w:val="-2"/>
              </w:rPr>
            </w:pPr>
            <w:r w:rsidRPr="00247373">
              <w:rPr>
                <w:rFonts w:ascii="Times New Roman" w:hAnsi="Times New Roman"/>
                <w:color w:val="000000"/>
                <w:spacing w:val="-2"/>
              </w:rPr>
              <w:t xml:space="preserve">Z uwagi na zakres projektu, który dotyczy praw i interesów związków pracodawców, projekt </w:t>
            </w:r>
            <w:r>
              <w:rPr>
                <w:rFonts w:ascii="Times New Roman" w:hAnsi="Times New Roman"/>
                <w:color w:val="000000"/>
                <w:spacing w:val="-2"/>
              </w:rPr>
              <w:t>zostanie przekazany do</w:t>
            </w:r>
            <w:r w:rsidRPr="00247373">
              <w:rPr>
                <w:rFonts w:ascii="Times New Roman" w:hAnsi="Times New Roman"/>
                <w:color w:val="000000"/>
                <w:spacing w:val="-2"/>
              </w:rPr>
              <w:t xml:space="preserve"> </w:t>
            </w:r>
            <w:r>
              <w:rPr>
                <w:rFonts w:ascii="Times New Roman" w:hAnsi="Times New Roman"/>
                <w:color w:val="000000"/>
                <w:spacing w:val="-2"/>
              </w:rPr>
              <w:t>za</w:t>
            </w:r>
            <w:r w:rsidRPr="00247373">
              <w:rPr>
                <w:rFonts w:ascii="Times New Roman" w:hAnsi="Times New Roman"/>
                <w:color w:val="000000"/>
                <w:spacing w:val="-2"/>
              </w:rPr>
              <w:t>opiniowani</w:t>
            </w:r>
            <w:r>
              <w:rPr>
                <w:rFonts w:ascii="Times New Roman" w:hAnsi="Times New Roman"/>
                <w:color w:val="000000"/>
                <w:spacing w:val="-2"/>
              </w:rPr>
              <w:t>a</w:t>
            </w:r>
            <w:r w:rsidRPr="00247373">
              <w:rPr>
                <w:rFonts w:ascii="Times New Roman" w:hAnsi="Times New Roman"/>
                <w:color w:val="000000"/>
                <w:spacing w:val="-2"/>
              </w:rPr>
              <w:t xml:space="preserve"> </w:t>
            </w:r>
            <w:r>
              <w:rPr>
                <w:rFonts w:ascii="Times New Roman" w:hAnsi="Times New Roman"/>
                <w:color w:val="000000"/>
                <w:spacing w:val="-2"/>
              </w:rPr>
              <w:t xml:space="preserve">(30 dni) </w:t>
            </w:r>
            <w:r w:rsidRPr="00247373">
              <w:rPr>
                <w:rFonts w:ascii="Times New Roman" w:hAnsi="Times New Roman"/>
                <w:color w:val="000000"/>
                <w:spacing w:val="-2"/>
              </w:rPr>
              <w:t xml:space="preserve">przez </w:t>
            </w:r>
            <w:r>
              <w:rPr>
                <w:rFonts w:ascii="Times New Roman" w:hAnsi="Times New Roman"/>
                <w:color w:val="000000"/>
                <w:spacing w:val="-2"/>
              </w:rPr>
              <w:t xml:space="preserve">następujące </w:t>
            </w:r>
            <w:r w:rsidRPr="00247373">
              <w:rPr>
                <w:rFonts w:ascii="Times New Roman" w:hAnsi="Times New Roman"/>
                <w:color w:val="000000"/>
                <w:spacing w:val="-2"/>
              </w:rPr>
              <w:t>reprezentatywne organizacje pracodawców</w:t>
            </w:r>
            <w:r w:rsidRPr="00247373">
              <w:rPr>
                <w:rFonts w:ascii="Times New Roman" w:hAnsi="Times New Roman"/>
                <w:color w:val="000000"/>
                <w:lang w:eastAsia="pl-PL"/>
              </w:rPr>
              <w:t>:</w:t>
            </w:r>
          </w:p>
          <w:p w14:paraId="0527AA38" w14:textId="2ED2A603" w:rsidR="00247373" w:rsidRPr="00D30055" w:rsidRDefault="00247373" w:rsidP="00B47D9F">
            <w:pPr>
              <w:pStyle w:val="Akapitzlist"/>
              <w:numPr>
                <w:ilvl w:val="0"/>
                <w:numId w:val="115"/>
              </w:numPr>
              <w:spacing w:line="240" w:lineRule="auto"/>
              <w:ind w:left="344" w:hanging="284"/>
              <w:jc w:val="both"/>
              <w:rPr>
                <w:rFonts w:ascii="Times New Roman" w:hAnsi="Times New Roman"/>
              </w:rPr>
            </w:pPr>
            <w:r w:rsidRPr="00D30055">
              <w:rPr>
                <w:rFonts w:ascii="Times New Roman" w:hAnsi="Times New Roman"/>
              </w:rPr>
              <w:t>Pracodawcy RP;</w:t>
            </w:r>
          </w:p>
          <w:p w14:paraId="5DB9E5E2" w14:textId="77777777" w:rsidR="00247373" w:rsidRPr="00247373" w:rsidRDefault="00247373" w:rsidP="00B47D9F">
            <w:pPr>
              <w:numPr>
                <w:ilvl w:val="0"/>
                <w:numId w:val="115"/>
              </w:numPr>
              <w:spacing w:line="240" w:lineRule="auto"/>
              <w:ind w:left="344" w:hanging="284"/>
              <w:contextualSpacing/>
              <w:jc w:val="both"/>
              <w:rPr>
                <w:rFonts w:ascii="Times New Roman" w:hAnsi="Times New Roman"/>
              </w:rPr>
            </w:pPr>
            <w:r w:rsidRPr="00247373">
              <w:rPr>
                <w:rFonts w:ascii="Times New Roman" w:hAnsi="Times New Roman"/>
              </w:rPr>
              <w:t>Konfederacja Pracodawców Prywatnych Lewiatan;</w:t>
            </w:r>
          </w:p>
          <w:p w14:paraId="3FB4EA24" w14:textId="77777777" w:rsidR="00247373" w:rsidRPr="00247373" w:rsidRDefault="00247373" w:rsidP="00B47D9F">
            <w:pPr>
              <w:numPr>
                <w:ilvl w:val="0"/>
                <w:numId w:val="115"/>
              </w:numPr>
              <w:spacing w:line="240" w:lineRule="auto"/>
              <w:ind w:left="344" w:hanging="284"/>
              <w:contextualSpacing/>
              <w:jc w:val="both"/>
              <w:rPr>
                <w:rFonts w:ascii="Times New Roman" w:hAnsi="Times New Roman"/>
              </w:rPr>
            </w:pPr>
            <w:r w:rsidRPr="00247373">
              <w:rPr>
                <w:rFonts w:ascii="Times New Roman" w:hAnsi="Times New Roman"/>
              </w:rPr>
              <w:lastRenderedPageBreak/>
              <w:t>Związek Rzemiosła Polskiego;</w:t>
            </w:r>
          </w:p>
          <w:p w14:paraId="1A873528" w14:textId="77777777" w:rsidR="00247373" w:rsidRPr="00B47D9F" w:rsidRDefault="00247373" w:rsidP="00B47D9F">
            <w:pPr>
              <w:numPr>
                <w:ilvl w:val="0"/>
                <w:numId w:val="115"/>
              </w:numPr>
              <w:spacing w:line="240" w:lineRule="auto"/>
              <w:ind w:left="346" w:hanging="284"/>
              <w:contextualSpacing/>
              <w:jc w:val="both"/>
              <w:rPr>
                <w:rFonts w:ascii="Times New Roman" w:hAnsi="Times New Roman"/>
              </w:rPr>
            </w:pPr>
            <w:r w:rsidRPr="00B47D9F">
              <w:rPr>
                <w:rFonts w:ascii="Times New Roman" w:hAnsi="Times New Roman"/>
              </w:rPr>
              <w:t>Związek Pracodawców Business Centre Club;</w:t>
            </w:r>
          </w:p>
          <w:p w14:paraId="500EFD59" w14:textId="77777777" w:rsidR="00247373" w:rsidRPr="00B47D9F" w:rsidRDefault="00247373" w:rsidP="00B47D9F">
            <w:pPr>
              <w:numPr>
                <w:ilvl w:val="0"/>
                <w:numId w:val="115"/>
              </w:numPr>
              <w:spacing w:line="240" w:lineRule="auto"/>
              <w:ind w:left="346" w:hanging="284"/>
              <w:contextualSpacing/>
              <w:jc w:val="both"/>
              <w:rPr>
                <w:rFonts w:ascii="Times New Roman" w:hAnsi="Times New Roman"/>
              </w:rPr>
            </w:pPr>
            <w:r w:rsidRPr="00B47D9F">
              <w:rPr>
                <w:rFonts w:ascii="Times New Roman" w:hAnsi="Times New Roman"/>
              </w:rPr>
              <w:t>Związek Przedsiębiorców i Pracodawców;</w:t>
            </w:r>
          </w:p>
          <w:p w14:paraId="2E5E909F" w14:textId="72A944BA" w:rsidR="00247373" w:rsidRPr="00B47D9F" w:rsidRDefault="00247373" w:rsidP="00B47D9F">
            <w:pPr>
              <w:numPr>
                <w:ilvl w:val="0"/>
                <w:numId w:val="115"/>
              </w:numPr>
              <w:spacing w:line="240" w:lineRule="auto"/>
              <w:ind w:left="346" w:hanging="284"/>
              <w:jc w:val="both"/>
              <w:rPr>
                <w:rFonts w:ascii="Times New Roman" w:hAnsi="Times New Roman"/>
              </w:rPr>
            </w:pPr>
            <w:r w:rsidRPr="00B47D9F">
              <w:rPr>
                <w:rFonts w:ascii="Times New Roman" w:hAnsi="Times New Roman"/>
              </w:rPr>
              <w:t>Federacja Przedsiębiorców Polskich</w:t>
            </w:r>
            <w:r w:rsidR="00B47D9F" w:rsidRPr="00B47D9F">
              <w:rPr>
                <w:rFonts w:ascii="Times New Roman" w:hAnsi="Times New Roman"/>
              </w:rPr>
              <w:t>;</w:t>
            </w:r>
          </w:p>
          <w:p w14:paraId="435A8EB6" w14:textId="1B1157D3" w:rsidR="00B47D9F" w:rsidRPr="00534A40" w:rsidRDefault="00B47D9F" w:rsidP="00B47D9F">
            <w:pPr>
              <w:numPr>
                <w:ilvl w:val="0"/>
                <w:numId w:val="115"/>
              </w:numPr>
              <w:spacing w:line="240" w:lineRule="auto"/>
              <w:ind w:left="346" w:hanging="284"/>
              <w:jc w:val="both"/>
            </w:pPr>
            <w:r w:rsidRPr="00B47D9F">
              <w:rPr>
                <w:rFonts w:ascii="Times New Roman" w:hAnsi="Times New Roman"/>
              </w:rPr>
              <w:t>Polskie Towarzystwo Gospodarcze</w:t>
            </w:r>
            <w:r>
              <w:rPr>
                <w:rFonts w:ascii="Times New Roman" w:hAnsi="Times New Roman"/>
              </w:rPr>
              <w:t>.</w:t>
            </w:r>
          </w:p>
          <w:p w14:paraId="7564F99B" w14:textId="3872DCBA" w:rsidR="00094578" w:rsidRPr="00DD284D" w:rsidRDefault="00094578" w:rsidP="00497E0F">
            <w:pPr>
              <w:pStyle w:val="NormalnyWeb"/>
              <w:spacing w:before="120" w:beforeAutospacing="0" w:after="120" w:afterAutospacing="0"/>
              <w:jc w:val="both"/>
              <w:rPr>
                <w:sz w:val="22"/>
                <w:szCs w:val="22"/>
              </w:rPr>
            </w:pPr>
            <w:r w:rsidRPr="00DD284D">
              <w:rPr>
                <w:sz w:val="22"/>
                <w:szCs w:val="22"/>
              </w:rPr>
              <w:t>Projekt podlega opiniowaniu przez Komisję Wspólną Rządu i Samorządu Terytorialnego, gdyż dotyczy spraw związanych z samorządem terytorialnym, o których mowa w ustawie z dnia 6 maja 2005 r. o Komisji Wspólnej Rządu i Samorządu Terytorialnego oraz o przedstawicielach Rzeczypospolitej Polskiej w Komitecie Regionów Unii Europejskiej.</w:t>
            </w:r>
          </w:p>
          <w:p w14:paraId="4C985B8E" w14:textId="77777777" w:rsidR="00497E0F" w:rsidRDefault="00497E0F" w:rsidP="00497E0F">
            <w:pPr>
              <w:pStyle w:val="NormalnyWeb"/>
              <w:spacing w:before="120" w:beforeAutospacing="0" w:after="120" w:afterAutospacing="0"/>
              <w:jc w:val="both"/>
            </w:pPr>
            <w:r>
              <w:rPr>
                <w:color w:val="000000"/>
                <w:sz w:val="22"/>
                <w:szCs w:val="22"/>
              </w:rPr>
              <w:t>Projekt nie dotyczy spraw, o których mowa w art. 1 ustawy z dnia 24 lipca 2015 r. o Radzie Dialogu Społecznego i innych instytucji dialogu społecznego (Dz. U. z 2018 r. poz. 2232, z późn. zm.), wobec czego nie będzie wymagał zaopiniowania przez RDS.</w:t>
            </w:r>
            <w:r>
              <w:t xml:space="preserve"> </w:t>
            </w:r>
          </w:p>
          <w:p w14:paraId="2483701D" w14:textId="3F228E9D" w:rsidR="00830ACC" w:rsidRDefault="00830ACC" w:rsidP="00830ACC">
            <w:pPr>
              <w:autoSpaceDE w:val="0"/>
              <w:autoSpaceDN w:val="0"/>
              <w:adjustRightInd w:val="0"/>
              <w:spacing w:before="120" w:after="120" w:line="240" w:lineRule="auto"/>
              <w:jc w:val="both"/>
              <w:rPr>
                <w:rFonts w:ascii="Times New Roman" w:hAnsi="Times New Roman"/>
                <w:color w:val="000000"/>
                <w:lang w:eastAsia="pl-PL"/>
              </w:rPr>
            </w:pPr>
            <w:r w:rsidRPr="004328C6">
              <w:rPr>
                <w:rFonts w:ascii="Times New Roman" w:hAnsi="Times New Roman"/>
                <w:color w:val="000000"/>
                <w:lang w:eastAsia="pl-PL"/>
              </w:rPr>
              <w:t>Projekt ustawy nie wymaga przedstawienia właściwym instytucjom i organom Unii Europejskiej, w tym Europejskiemu Bankowi Centralnemu, celem uzyskania opinii, dokonania powiadomienia, konsultacji albo uzgodnienia projektu.</w:t>
            </w:r>
          </w:p>
          <w:p w14:paraId="5553CA80" w14:textId="73B2FF79" w:rsidR="00830ACC" w:rsidRPr="002E7EB1" w:rsidRDefault="00830ACC" w:rsidP="00830ACC">
            <w:pPr>
              <w:spacing w:before="120" w:after="120" w:line="240" w:lineRule="auto"/>
              <w:jc w:val="both"/>
            </w:pPr>
            <w:r w:rsidRPr="00DB047F">
              <w:rPr>
                <w:rFonts w:ascii="Times New Roman" w:hAnsi="Times New Roman"/>
                <w:color w:val="000000"/>
                <w:spacing w:val="-2"/>
              </w:rPr>
              <w:t xml:space="preserve">Wyniki opiniowania i konsultacji publicznych zostaną omówione w raporcie </w:t>
            </w:r>
            <w:r w:rsidRPr="003453D3">
              <w:rPr>
                <w:rFonts w:ascii="Times New Roman" w:hAnsi="Times New Roman"/>
                <w:color w:val="000000"/>
                <w:spacing w:val="-2"/>
              </w:rPr>
              <w:t>z konsultacji</w:t>
            </w:r>
            <w:r w:rsidRPr="00DB047F">
              <w:rPr>
                <w:rFonts w:ascii="Times New Roman" w:hAnsi="Times New Roman"/>
                <w:color w:val="000000"/>
                <w:spacing w:val="-2"/>
              </w:rPr>
              <w:t xml:space="preserve">, </w:t>
            </w:r>
            <w:r w:rsidRPr="003453D3">
              <w:rPr>
                <w:rFonts w:ascii="Times New Roman" w:hAnsi="Times New Roman"/>
                <w:color w:val="000000"/>
                <w:spacing w:val="-2"/>
              </w:rPr>
              <w:t>zawierającym zestawienie przedstawionych stanowisk lub opinii i odniesienie się do nich przez organ wnioskujący</w:t>
            </w:r>
            <w:r w:rsidRPr="00DB047F">
              <w:rPr>
                <w:rFonts w:ascii="Times New Roman" w:hAnsi="Times New Roman"/>
                <w:color w:val="000000"/>
                <w:spacing w:val="-2"/>
              </w:rPr>
              <w:t xml:space="preserve">, udostępnionym na stronie Rządowego Centrum Legislacji, w zakładce Rządowy Proces Legislacyjny, </w:t>
            </w:r>
            <w:r w:rsidRPr="003453D3">
              <w:rPr>
                <w:rFonts w:ascii="Times New Roman" w:hAnsi="Times New Roman"/>
                <w:color w:val="000000"/>
                <w:spacing w:val="-2"/>
              </w:rPr>
              <w:t>najpóźniej z dniem przekazania projektu na kolejny etap prac legislacyjnych</w:t>
            </w:r>
            <w:r w:rsidRPr="00DB047F">
              <w:rPr>
                <w:rFonts w:ascii="Times New Roman" w:hAnsi="Times New Roman"/>
                <w:color w:val="000000"/>
                <w:spacing w:val="-2"/>
              </w:rPr>
              <w:t>.</w:t>
            </w:r>
            <w:r>
              <w:rPr>
                <w:rFonts w:ascii="Times New Roman" w:hAnsi="Times New Roman"/>
                <w:color w:val="000000"/>
                <w:spacing w:val="-2"/>
              </w:rPr>
              <w:t xml:space="preserve"> </w:t>
            </w:r>
          </w:p>
        </w:tc>
      </w:tr>
      <w:tr w:rsidR="00830ACC" w:rsidRPr="00A87B3A" w14:paraId="6D7D1665" w14:textId="77777777" w:rsidTr="00676C8D">
        <w:trPr>
          <w:gridAfter w:val="1"/>
          <w:wAfter w:w="10" w:type="dxa"/>
          <w:trHeight w:val="363"/>
        </w:trPr>
        <w:tc>
          <w:tcPr>
            <w:tcW w:w="10937" w:type="dxa"/>
            <w:gridSpan w:val="27"/>
            <w:shd w:val="clear" w:color="auto" w:fill="99CCFF"/>
            <w:vAlign w:val="center"/>
          </w:tcPr>
          <w:p w14:paraId="4B509551" w14:textId="77777777" w:rsidR="00830ACC" w:rsidRPr="00A87B3A" w:rsidRDefault="00830ACC" w:rsidP="00830ACC">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lastRenderedPageBreak/>
              <w:t xml:space="preserve"> Wpływ na sektor finansów publicznych</w:t>
            </w:r>
          </w:p>
        </w:tc>
      </w:tr>
      <w:tr w:rsidR="00830ACC" w:rsidRPr="00A87B3A" w14:paraId="0105ED96" w14:textId="77777777" w:rsidTr="00676C8D">
        <w:trPr>
          <w:gridAfter w:val="1"/>
          <w:wAfter w:w="10" w:type="dxa"/>
          <w:trHeight w:val="142"/>
        </w:trPr>
        <w:tc>
          <w:tcPr>
            <w:tcW w:w="3133" w:type="dxa"/>
            <w:gridSpan w:val="4"/>
            <w:vMerge w:val="restart"/>
            <w:shd w:val="clear" w:color="auto" w:fill="FFFFFF"/>
          </w:tcPr>
          <w:p w14:paraId="72D115F4" w14:textId="77777777" w:rsidR="00830ACC" w:rsidRPr="00A87B3A" w:rsidRDefault="00830ACC" w:rsidP="00830ACC">
            <w:pPr>
              <w:spacing w:line="240" w:lineRule="auto"/>
              <w:rPr>
                <w:rFonts w:ascii="Times New Roman" w:hAnsi="Times New Roman"/>
                <w:i/>
                <w:color w:val="000000"/>
              </w:rPr>
            </w:pPr>
            <w:r w:rsidRPr="00A87B3A">
              <w:rPr>
                <w:rFonts w:ascii="Times New Roman" w:hAnsi="Times New Roman"/>
                <w:color w:val="000000"/>
              </w:rPr>
              <w:t>(ceny stałe z …… r.)</w:t>
            </w:r>
          </w:p>
        </w:tc>
        <w:tc>
          <w:tcPr>
            <w:tcW w:w="7804" w:type="dxa"/>
            <w:gridSpan w:val="23"/>
            <w:shd w:val="clear" w:color="auto" w:fill="FFFFFF"/>
          </w:tcPr>
          <w:p w14:paraId="5A4415D2" w14:textId="77777777" w:rsidR="00830ACC" w:rsidRPr="00A87B3A" w:rsidRDefault="00830ACC" w:rsidP="00830ACC">
            <w:pPr>
              <w:spacing w:line="240" w:lineRule="auto"/>
              <w:jc w:val="center"/>
              <w:rPr>
                <w:rFonts w:ascii="Times New Roman" w:hAnsi="Times New Roman"/>
                <w:i/>
                <w:color w:val="000000"/>
                <w:spacing w:val="-2"/>
              </w:rPr>
            </w:pPr>
            <w:r w:rsidRPr="00A87B3A">
              <w:rPr>
                <w:rFonts w:ascii="Times New Roman" w:hAnsi="Times New Roman"/>
                <w:color w:val="000000"/>
              </w:rPr>
              <w:t>Skutki w okresie 10 lat od wejścia w życie zmian [mln zł]</w:t>
            </w:r>
          </w:p>
        </w:tc>
      </w:tr>
      <w:tr w:rsidR="00830ACC" w:rsidRPr="00A87B3A" w14:paraId="703AD465" w14:textId="77777777" w:rsidTr="007B2A24">
        <w:trPr>
          <w:gridAfter w:val="1"/>
          <w:wAfter w:w="10" w:type="dxa"/>
          <w:trHeight w:val="142"/>
        </w:trPr>
        <w:tc>
          <w:tcPr>
            <w:tcW w:w="3133" w:type="dxa"/>
            <w:gridSpan w:val="4"/>
            <w:vMerge/>
            <w:shd w:val="clear" w:color="auto" w:fill="FFFFFF"/>
          </w:tcPr>
          <w:p w14:paraId="5B78543B" w14:textId="77777777" w:rsidR="00830ACC" w:rsidRPr="00A87B3A" w:rsidRDefault="00830ACC" w:rsidP="00830ACC">
            <w:pPr>
              <w:spacing w:line="240" w:lineRule="auto"/>
              <w:rPr>
                <w:rFonts w:ascii="Times New Roman" w:hAnsi="Times New Roman"/>
                <w:i/>
                <w:color w:val="000000"/>
              </w:rPr>
            </w:pPr>
          </w:p>
        </w:tc>
        <w:tc>
          <w:tcPr>
            <w:tcW w:w="569" w:type="dxa"/>
            <w:gridSpan w:val="2"/>
            <w:shd w:val="clear" w:color="auto" w:fill="FFFFFF"/>
          </w:tcPr>
          <w:p w14:paraId="324432E1"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0</w:t>
            </w:r>
          </w:p>
        </w:tc>
        <w:tc>
          <w:tcPr>
            <w:tcW w:w="570" w:type="dxa"/>
            <w:gridSpan w:val="2"/>
            <w:shd w:val="clear" w:color="auto" w:fill="FFFFFF"/>
          </w:tcPr>
          <w:p w14:paraId="7D609FB3"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1</w:t>
            </w:r>
          </w:p>
        </w:tc>
        <w:tc>
          <w:tcPr>
            <w:tcW w:w="577" w:type="dxa"/>
            <w:shd w:val="clear" w:color="auto" w:fill="FFFFFF"/>
          </w:tcPr>
          <w:p w14:paraId="7EDB9E8B"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2</w:t>
            </w:r>
          </w:p>
        </w:tc>
        <w:tc>
          <w:tcPr>
            <w:tcW w:w="562" w:type="dxa"/>
            <w:gridSpan w:val="3"/>
            <w:shd w:val="clear" w:color="auto" w:fill="FFFFFF"/>
          </w:tcPr>
          <w:p w14:paraId="4A5E38E6"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3</w:t>
            </w:r>
          </w:p>
        </w:tc>
        <w:tc>
          <w:tcPr>
            <w:tcW w:w="570" w:type="dxa"/>
            <w:gridSpan w:val="2"/>
            <w:shd w:val="clear" w:color="auto" w:fill="FFFFFF"/>
          </w:tcPr>
          <w:p w14:paraId="1BB9B9E1"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4</w:t>
            </w:r>
          </w:p>
        </w:tc>
        <w:tc>
          <w:tcPr>
            <w:tcW w:w="570" w:type="dxa"/>
            <w:shd w:val="clear" w:color="auto" w:fill="FFFFFF"/>
          </w:tcPr>
          <w:p w14:paraId="3F1CBCE9"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5</w:t>
            </w:r>
          </w:p>
        </w:tc>
        <w:tc>
          <w:tcPr>
            <w:tcW w:w="570" w:type="dxa"/>
            <w:gridSpan w:val="3"/>
            <w:shd w:val="clear" w:color="auto" w:fill="FFFFFF"/>
          </w:tcPr>
          <w:p w14:paraId="4C881E1F"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6</w:t>
            </w:r>
          </w:p>
        </w:tc>
        <w:tc>
          <w:tcPr>
            <w:tcW w:w="569" w:type="dxa"/>
            <w:gridSpan w:val="3"/>
            <w:shd w:val="clear" w:color="auto" w:fill="FFFFFF"/>
          </w:tcPr>
          <w:p w14:paraId="1CF85F2F"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7</w:t>
            </w:r>
          </w:p>
        </w:tc>
        <w:tc>
          <w:tcPr>
            <w:tcW w:w="703" w:type="dxa"/>
            <w:gridSpan w:val="2"/>
            <w:shd w:val="clear" w:color="auto" w:fill="FFFFFF"/>
          </w:tcPr>
          <w:p w14:paraId="7F685255"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8</w:t>
            </w:r>
          </w:p>
        </w:tc>
        <w:tc>
          <w:tcPr>
            <w:tcW w:w="709" w:type="dxa"/>
            <w:gridSpan w:val="2"/>
            <w:shd w:val="clear" w:color="auto" w:fill="FFFFFF"/>
          </w:tcPr>
          <w:p w14:paraId="602B72ED"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9</w:t>
            </w:r>
          </w:p>
        </w:tc>
        <w:tc>
          <w:tcPr>
            <w:tcW w:w="708" w:type="dxa"/>
            <w:shd w:val="clear" w:color="auto" w:fill="FFFFFF"/>
          </w:tcPr>
          <w:p w14:paraId="7DE4C53C"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10</w:t>
            </w:r>
          </w:p>
        </w:tc>
        <w:tc>
          <w:tcPr>
            <w:tcW w:w="1127" w:type="dxa"/>
            <w:shd w:val="clear" w:color="auto" w:fill="FFFFFF"/>
          </w:tcPr>
          <w:p w14:paraId="4C6F9884" w14:textId="77777777" w:rsidR="00830ACC" w:rsidRPr="00A87B3A" w:rsidRDefault="00830ACC" w:rsidP="00830ACC">
            <w:pPr>
              <w:spacing w:line="240" w:lineRule="auto"/>
              <w:jc w:val="center"/>
              <w:rPr>
                <w:rFonts w:ascii="Times New Roman" w:hAnsi="Times New Roman"/>
                <w:i/>
                <w:color w:val="000000"/>
                <w:spacing w:val="-2"/>
              </w:rPr>
            </w:pPr>
            <w:r w:rsidRPr="00A87B3A">
              <w:rPr>
                <w:rFonts w:ascii="Times New Roman" w:hAnsi="Times New Roman"/>
                <w:i/>
                <w:color w:val="000000"/>
                <w:spacing w:val="-2"/>
              </w:rPr>
              <w:t>Łącznie (0-10)</w:t>
            </w:r>
          </w:p>
        </w:tc>
      </w:tr>
      <w:tr w:rsidR="00B94E95" w:rsidRPr="00A87B3A" w14:paraId="48DDC944" w14:textId="77777777" w:rsidTr="007B2A24">
        <w:trPr>
          <w:trHeight w:val="321"/>
        </w:trPr>
        <w:tc>
          <w:tcPr>
            <w:tcW w:w="3133" w:type="dxa"/>
            <w:gridSpan w:val="4"/>
            <w:shd w:val="clear" w:color="auto" w:fill="FFFFFF"/>
            <w:vAlign w:val="center"/>
          </w:tcPr>
          <w:p w14:paraId="1BF31BBB" w14:textId="77777777" w:rsidR="00B94E95" w:rsidRPr="00E42DF9" w:rsidRDefault="00B94E95" w:rsidP="00B94E95">
            <w:pPr>
              <w:spacing w:line="240" w:lineRule="auto"/>
              <w:rPr>
                <w:rFonts w:ascii="Times New Roman" w:hAnsi="Times New Roman"/>
                <w:color w:val="000000"/>
                <w:sz w:val="18"/>
                <w:szCs w:val="18"/>
              </w:rPr>
            </w:pPr>
            <w:r w:rsidRPr="00E42DF9">
              <w:rPr>
                <w:rFonts w:ascii="Times New Roman" w:hAnsi="Times New Roman"/>
                <w:b/>
                <w:color w:val="000000"/>
                <w:sz w:val="18"/>
                <w:szCs w:val="18"/>
              </w:rPr>
              <w:t>Dochody ogółem</w:t>
            </w:r>
          </w:p>
        </w:tc>
        <w:tc>
          <w:tcPr>
            <w:tcW w:w="569" w:type="dxa"/>
            <w:gridSpan w:val="2"/>
            <w:shd w:val="clear" w:color="auto" w:fill="FFFFFF"/>
          </w:tcPr>
          <w:p w14:paraId="587BA448" w14:textId="7A21BCFA" w:rsidR="00B94E95" w:rsidRPr="00E42DF9" w:rsidRDefault="00B94E95" w:rsidP="00B94E95">
            <w:pPr>
              <w:spacing w:line="240" w:lineRule="auto"/>
              <w:jc w:val="center"/>
              <w:rPr>
                <w:rFonts w:ascii="Times New Roman" w:hAnsi="Times New Roman"/>
                <w:b/>
                <w:bCs/>
                <w:color w:val="000000"/>
                <w:sz w:val="18"/>
                <w:szCs w:val="18"/>
              </w:rPr>
            </w:pPr>
            <w:r>
              <w:t>-</w:t>
            </w:r>
          </w:p>
        </w:tc>
        <w:tc>
          <w:tcPr>
            <w:tcW w:w="570" w:type="dxa"/>
            <w:gridSpan w:val="2"/>
            <w:shd w:val="clear" w:color="auto" w:fill="FFFFFF"/>
          </w:tcPr>
          <w:p w14:paraId="1A5A45B6" w14:textId="212D1C20" w:rsidR="00B94E95" w:rsidRPr="00780E8D" w:rsidRDefault="00B94E95" w:rsidP="00B94E95">
            <w:pPr>
              <w:spacing w:line="240" w:lineRule="auto"/>
              <w:jc w:val="center"/>
              <w:rPr>
                <w:rFonts w:ascii="Times New Roman" w:hAnsi="Times New Roman"/>
                <w:b/>
                <w:bCs/>
                <w:color w:val="000000"/>
                <w:sz w:val="18"/>
                <w:szCs w:val="18"/>
              </w:rPr>
            </w:pPr>
            <w:r w:rsidRPr="00653FB9">
              <w:t>-</w:t>
            </w:r>
          </w:p>
        </w:tc>
        <w:tc>
          <w:tcPr>
            <w:tcW w:w="577" w:type="dxa"/>
            <w:shd w:val="clear" w:color="auto" w:fill="FFFFFF"/>
          </w:tcPr>
          <w:p w14:paraId="14310BA5" w14:textId="493FC064" w:rsidR="00B94E95" w:rsidRPr="00780E8D" w:rsidRDefault="00B94E95" w:rsidP="00B94E95">
            <w:pPr>
              <w:spacing w:line="240" w:lineRule="auto"/>
              <w:jc w:val="center"/>
              <w:rPr>
                <w:rFonts w:ascii="Times New Roman" w:hAnsi="Times New Roman"/>
                <w:b/>
                <w:bCs/>
                <w:color w:val="000000"/>
                <w:sz w:val="18"/>
                <w:szCs w:val="18"/>
              </w:rPr>
            </w:pPr>
            <w:r w:rsidRPr="00653FB9">
              <w:t>-</w:t>
            </w:r>
          </w:p>
        </w:tc>
        <w:tc>
          <w:tcPr>
            <w:tcW w:w="562" w:type="dxa"/>
            <w:gridSpan w:val="3"/>
            <w:shd w:val="clear" w:color="auto" w:fill="FFFFFF"/>
          </w:tcPr>
          <w:p w14:paraId="38987915" w14:textId="696B852C" w:rsidR="00B94E95" w:rsidRPr="00780E8D" w:rsidRDefault="00B94E95" w:rsidP="00B94E95">
            <w:pPr>
              <w:spacing w:line="240" w:lineRule="auto"/>
              <w:jc w:val="center"/>
              <w:rPr>
                <w:rFonts w:ascii="Times New Roman" w:hAnsi="Times New Roman"/>
                <w:b/>
                <w:bCs/>
                <w:color w:val="000000"/>
                <w:sz w:val="18"/>
                <w:szCs w:val="18"/>
              </w:rPr>
            </w:pPr>
            <w:r w:rsidRPr="00653FB9">
              <w:t>-</w:t>
            </w:r>
          </w:p>
        </w:tc>
        <w:tc>
          <w:tcPr>
            <w:tcW w:w="570" w:type="dxa"/>
            <w:gridSpan w:val="2"/>
            <w:shd w:val="clear" w:color="auto" w:fill="FFFFFF"/>
          </w:tcPr>
          <w:p w14:paraId="4C69E0B0" w14:textId="36D55C5C"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570" w:type="dxa"/>
            <w:shd w:val="clear" w:color="auto" w:fill="FFFFFF"/>
          </w:tcPr>
          <w:p w14:paraId="14DD9369" w14:textId="1AE0B79F"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570" w:type="dxa"/>
            <w:gridSpan w:val="3"/>
            <w:shd w:val="clear" w:color="auto" w:fill="FFFFFF"/>
          </w:tcPr>
          <w:p w14:paraId="136CE3F6" w14:textId="7211803D"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569" w:type="dxa"/>
            <w:gridSpan w:val="3"/>
            <w:shd w:val="clear" w:color="auto" w:fill="FFFFFF"/>
          </w:tcPr>
          <w:p w14:paraId="53720C6A" w14:textId="339C397C"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703" w:type="dxa"/>
            <w:gridSpan w:val="2"/>
            <w:shd w:val="clear" w:color="auto" w:fill="FFFFFF"/>
          </w:tcPr>
          <w:p w14:paraId="59531340" w14:textId="02DC6AF1"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709" w:type="dxa"/>
            <w:gridSpan w:val="2"/>
            <w:shd w:val="clear" w:color="auto" w:fill="FFFFFF"/>
          </w:tcPr>
          <w:p w14:paraId="631668CC" w14:textId="4B0F9A7C"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708" w:type="dxa"/>
            <w:shd w:val="clear" w:color="auto" w:fill="FFFFFF"/>
          </w:tcPr>
          <w:p w14:paraId="6DBF3F2F" w14:textId="77FCCBDC" w:rsidR="00B94E95" w:rsidRPr="00780E8D" w:rsidRDefault="00B94E95" w:rsidP="00B94E95">
            <w:pPr>
              <w:spacing w:line="240" w:lineRule="auto"/>
              <w:ind w:left="-102"/>
              <w:jc w:val="center"/>
              <w:rPr>
                <w:rFonts w:ascii="Times New Roman" w:hAnsi="Times New Roman"/>
                <w:b/>
                <w:bCs/>
                <w:color w:val="000000"/>
                <w:sz w:val="18"/>
                <w:szCs w:val="18"/>
              </w:rPr>
            </w:pPr>
            <w:r w:rsidRPr="00653FB9">
              <w:t>-</w:t>
            </w:r>
          </w:p>
        </w:tc>
        <w:tc>
          <w:tcPr>
            <w:tcW w:w="1137" w:type="dxa"/>
            <w:gridSpan w:val="2"/>
            <w:shd w:val="clear" w:color="auto" w:fill="FFFFFF"/>
          </w:tcPr>
          <w:p w14:paraId="5CE7EF8D" w14:textId="4C1F061C" w:rsidR="00B94E95" w:rsidRPr="00780E8D" w:rsidRDefault="00B94E95" w:rsidP="00B94E95">
            <w:pPr>
              <w:spacing w:line="240" w:lineRule="auto"/>
              <w:jc w:val="center"/>
              <w:rPr>
                <w:rFonts w:ascii="Times New Roman" w:hAnsi="Times New Roman"/>
                <w:b/>
                <w:bCs/>
                <w:color w:val="000000"/>
                <w:spacing w:val="-2"/>
                <w:sz w:val="18"/>
                <w:szCs w:val="18"/>
              </w:rPr>
            </w:pPr>
            <w:r w:rsidRPr="00653FB9">
              <w:t>-</w:t>
            </w:r>
          </w:p>
        </w:tc>
      </w:tr>
      <w:tr w:rsidR="00F135FD" w:rsidRPr="00A87B3A" w14:paraId="52B39938" w14:textId="77777777" w:rsidTr="007B2A24">
        <w:trPr>
          <w:trHeight w:val="321"/>
        </w:trPr>
        <w:tc>
          <w:tcPr>
            <w:tcW w:w="3133" w:type="dxa"/>
            <w:gridSpan w:val="4"/>
            <w:shd w:val="clear" w:color="auto" w:fill="FFFFFF"/>
            <w:vAlign w:val="center"/>
          </w:tcPr>
          <w:p w14:paraId="7F7F15C2" w14:textId="77777777" w:rsidR="00F135FD" w:rsidRPr="00E42DF9" w:rsidRDefault="00F135FD" w:rsidP="00F135FD">
            <w:pPr>
              <w:spacing w:line="240" w:lineRule="auto"/>
              <w:rPr>
                <w:rFonts w:ascii="Times New Roman" w:hAnsi="Times New Roman"/>
                <w:color w:val="000000"/>
                <w:sz w:val="18"/>
                <w:szCs w:val="18"/>
              </w:rPr>
            </w:pPr>
            <w:r w:rsidRPr="00E42DF9">
              <w:rPr>
                <w:rFonts w:ascii="Times New Roman" w:hAnsi="Times New Roman"/>
                <w:color w:val="000000"/>
                <w:sz w:val="18"/>
                <w:szCs w:val="18"/>
              </w:rPr>
              <w:t>budżet państwa</w:t>
            </w:r>
          </w:p>
        </w:tc>
        <w:tc>
          <w:tcPr>
            <w:tcW w:w="569" w:type="dxa"/>
            <w:gridSpan w:val="2"/>
            <w:shd w:val="clear" w:color="auto" w:fill="FFFFFF"/>
          </w:tcPr>
          <w:p w14:paraId="4972AE6F" w14:textId="0DE19DE4"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4F9AB503" w14:textId="5C30067E" w:rsidR="00F135FD" w:rsidRPr="00E42DF9" w:rsidRDefault="00F135FD" w:rsidP="00F135FD">
            <w:pPr>
              <w:spacing w:line="240" w:lineRule="auto"/>
              <w:jc w:val="center"/>
              <w:rPr>
                <w:rFonts w:ascii="Times New Roman" w:hAnsi="Times New Roman"/>
                <w:color w:val="000000"/>
                <w:sz w:val="18"/>
                <w:szCs w:val="18"/>
              </w:rPr>
            </w:pPr>
          </w:p>
        </w:tc>
        <w:tc>
          <w:tcPr>
            <w:tcW w:w="577" w:type="dxa"/>
            <w:shd w:val="clear" w:color="auto" w:fill="FFFFFF"/>
          </w:tcPr>
          <w:p w14:paraId="7D1F0203" w14:textId="52477424"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2" w:type="dxa"/>
            <w:gridSpan w:val="3"/>
            <w:shd w:val="clear" w:color="auto" w:fill="FFFFFF"/>
          </w:tcPr>
          <w:p w14:paraId="299D29B3" w14:textId="0E7D4F21" w:rsidR="00F135FD" w:rsidRPr="001700CF"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0D556E34" w14:textId="664B016A" w:rsidR="00F135FD" w:rsidRPr="001700CF" w:rsidRDefault="00F135FD" w:rsidP="00F135FD">
            <w:pPr>
              <w:spacing w:line="240" w:lineRule="auto"/>
              <w:ind w:left="-102"/>
              <w:jc w:val="center"/>
              <w:rPr>
                <w:rFonts w:ascii="Times New Roman" w:hAnsi="Times New Roman"/>
                <w:color w:val="000000"/>
                <w:sz w:val="18"/>
                <w:szCs w:val="18"/>
              </w:rPr>
            </w:pPr>
            <w:r w:rsidRPr="0090695A">
              <w:t>-</w:t>
            </w:r>
          </w:p>
        </w:tc>
        <w:tc>
          <w:tcPr>
            <w:tcW w:w="570" w:type="dxa"/>
            <w:shd w:val="clear" w:color="auto" w:fill="FFFFFF"/>
          </w:tcPr>
          <w:p w14:paraId="217180E2" w14:textId="2AF31BE6" w:rsidR="00F135FD" w:rsidRPr="001700CF" w:rsidRDefault="00F135FD" w:rsidP="00F135FD">
            <w:pPr>
              <w:spacing w:line="240" w:lineRule="auto"/>
              <w:ind w:left="-102"/>
              <w:jc w:val="center"/>
              <w:rPr>
                <w:rFonts w:ascii="Times New Roman" w:hAnsi="Times New Roman"/>
                <w:color w:val="000000"/>
                <w:sz w:val="18"/>
                <w:szCs w:val="18"/>
              </w:rPr>
            </w:pPr>
            <w:r w:rsidRPr="0090695A">
              <w:t>-</w:t>
            </w:r>
          </w:p>
        </w:tc>
        <w:tc>
          <w:tcPr>
            <w:tcW w:w="570" w:type="dxa"/>
            <w:gridSpan w:val="3"/>
            <w:shd w:val="clear" w:color="auto" w:fill="FFFFFF"/>
          </w:tcPr>
          <w:p w14:paraId="1A6A163A" w14:textId="5730763F" w:rsidR="00F135FD" w:rsidRPr="001700CF" w:rsidRDefault="00F135FD" w:rsidP="00F135FD">
            <w:pPr>
              <w:spacing w:line="240" w:lineRule="auto"/>
              <w:ind w:left="-102"/>
              <w:jc w:val="center"/>
              <w:rPr>
                <w:rFonts w:ascii="Times New Roman" w:hAnsi="Times New Roman"/>
                <w:color w:val="000000"/>
                <w:sz w:val="18"/>
                <w:szCs w:val="18"/>
              </w:rPr>
            </w:pPr>
            <w:r w:rsidRPr="0090695A">
              <w:t>-</w:t>
            </w:r>
          </w:p>
        </w:tc>
        <w:tc>
          <w:tcPr>
            <w:tcW w:w="569" w:type="dxa"/>
            <w:gridSpan w:val="3"/>
            <w:shd w:val="clear" w:color="auto" w:fill="FFFFFF"/>
          </w:tcPr>
          <w:p w14:paraId="72E3646B" w14:textId="082BB074" w:rsidR="00F135FD" w:rsidRPr="001700CF" w:rsidRDefault="00F135FD" w:rsidP="00F135FD">
            <w:pPr>
              <w:spacing w:line="240" w:lineRule="auto"/>
              <w:ind w:left="-102"/>
              <w:jc w:val="center"/>
              <w:rPr>
                <w:rFonts w:ascii="Times New Roman" w:hAnsi="Times New Roman"/>
                <w:color w:val="000000"/>
                <w:sz w:val="18"/>
                <w:szCs w:val="18"/>
              </w:rPr>
            </w:pPr>
            <w:r w:rsidRPr="0090695A">
              <w:t>-</w:t>
            </w:r>
          </w:p>
        </w:tc>
        <w:tc>
          <w:tcPr>
            <w:tcW w:w="703" w:type="dxa"/>
            <w:gridSpan w:val="2"/>
            <w:shd w:val="clear" w:color="auto" w:fill="FFFFFF"/>
          </w:tcPr>
          <w:p w14:paraId="1890434D" w14:textId="65A164C3" w:rsidR="00F135FD" w:rsidRPr="00E42DF9" w:rsidRDefault="00F135FD" w:rsidP="00F135FD">
            <w:pPr>
              <w:spacing w:line="240" w:lineRule="auto"/>
              <w:ind w:left="-102"/>
              <w:jc w:val="center"/>
              <w:rPr>
                <w:rFonts w:ascii="Times New Roman" w:hAnsi="Times New Roman"/>
                <w:color w:val="000000"/>
                <w:sz w:val="18"/>
                <w:szCs w:val="18"/>
              </w:rPr>
            </w:pPr>
            <w:r w:rsidRPr="0090695A">
              <w:t>-</w:t>
            </w:r>
          </w:p>
        </w:tc>
        <w:tc>
          <w:tcPr>
            <w:tcW w:w="709" w:type="dxa"/>
            <w:gridSpan w:val="2"/>
            <w:shd w:val="clear" w:color="auto" w:fill="FFFFFF"/>
          </w:tcPr>
          <w:p w14:paraId="7172A022" w14:textId="47A9A73E" w:rsidR="00F135FD" w:rsidRPr="00E42DF9" w:rsidRDefault="00F135FD" w:rsidP="00F135FD">
            <w:pPr>
              <w:spacing w:line="240" w:lineRule="auto"/>
              <w:ind w:left="-102"/>
              <w:jc w:val="center"/>
              <w:rPr>
                <w:rFonts w:ascii="Times New Roman" w:hAnsi="Times New Roman"/>
                <w:color w:val="000000"/>
                <w:sz w:val="18"/>
                <w:szCs w:val="18"/>
              </w:rPr>
            </w:pPr>
            <w:r w:rsidRPr="0090695A">
              <w:t>-</w:t>
            </w:r>
          </w:p>
        </w:tc>
        <w:tc>
          <w:tcPr>
            <w:tcW w:w="708" w:type="dxa"/>
            <w:shd w:val="clear" w:color="auto" w:fill="FFFFFF"/>
          </w:tcPr>
          <w:p w14:paraId="55763D46" w14:textId="5AD45F3F" w:rsidR="00F135FD" w:rsidRPr="00E42DF9" w:rsidRDefault="00F135FD" w:rsidP="00F135FD">
            <w:pPr>
              <w:spacing w:line="240" w:lineRule="auto"/>
              <w:ind w:left="-102"/>
              <w:jc w:val="center"/>
              <w:rPr>
                <w:rFonts w:ascii="Times New Roman" w:hAnsi="Times New Roman"/>
                <w:color w:val="000000"/>
                <w:sz w:val="18"/>
                <w:szCs w:val="18"/>
              </w:rPr>
            </w:pPr>
            <w:r w:rsidRPr="0090695A">
              <w:t>-</w:t>
            </w:r>
          </w:p>
        </w:tc>
        <w:tc>
          <w:tcPr>
            <w:tcW w:w="1137" w:type="dxa"/>
            <w:gridSpan w:val="2"/>
            <w:shd w:val="clear" w:color="auto" w:fill="FFFFFF"/>
          </w:tcPr>
          <w:p w14:paraId="34198943" w14:textId="3F4151AC" w:rsidR="00F135FD" w:rsidRPr="00E42DF9" w:rsidRDefault="00F135FD" w:rsidP="00F135FD">
            <w:pPr>
              <w:spacing w:line="240" w:lineRule="auto"/>
              <w:jc w:val="center"/>
              <w:rPr>
                <w:rFonts w:ascii="Times New Roman" w:hAnsi="Times New Roman"/>
                <w:color w:val="000000"/>
                <w:spacing w:val="-2"/>
                <w:sz w:val="18"/>
                <w:szCs w:val="18"/>
              </w:rPr>
            </w:pPr>
            <w:r w:rsidRPr="0090695A">
              <w:t>-</w:t>
            </w:r>
          </w:p>
        </w:tc>
      </w:tr>
      <w:tr w:rsidR="00B94E95" w:rsidRPr="00A87B3A" w14:paraId="122514D3" w14:textId="77777777" w:rsidTr="007B2A24">
        <w:trPr>
          <w:trHeight w:val="344"/>
        </w:trPr>
        <w:tc>
          <w:tcPr>
            <w:tcW w:w="3133" w:type="dxa"/>
            <w:gridSpan w:val="4"/>
            <w:shd w:val="clear" w:color="auto" w:fill="FFFFFF"/>
            <w:vAlign w:val="center"/>
          </w:tcPr>
          <w:p w14:paraId="4F09D6EE" w14:textId="77777777" w:rsidR="00B94E95" w:rsidRPr="00E42DF9" w:rsidRDefault="00B94E95" w:rsidP="00B94E95">
            <w:pPr>
              <w:spacing w:line="240" w:lineRule="auto"/>
              <w:rPr>
                <w:rFonts w:ascii="Times New Roman" w:hAnsi="Times New Roman"/>
                <w:color w:val="000000"/>
                <w:sz w:val="18"/>
                <w:szCs w:val="18"/>
              </w:rPr>
            </w:pPr>
            <w:r w:rsidRPr="00E42DF9">
              <w:rPr>
                <w:rFonts w:ascii="Times New Roman" w:hAnsi="Times New Roman"/>
                <w:color w:val="000000"/>
                <w:sz w:val="18"/>
                <w:szCs w:val="18"/>
              </w:rPr>
              <w:t>JST</w:t>
            </w:r>
          </w:p>
        </w:tc>
        <w:tc>
          <w:tcPr>
            <w:tcW w:w="569" w:type="dxa"/>
            <w:gridSpan w:val="2"/>
            <w:shd w:val="clear" w:color="auto" w:fill="FFFFFF"/>
          </w:tcPr>
          <w:p w14:paraId="47873D48" w14:textId="038A16C3" w:rsidR="00B94E95" w:rsidRPr="00E42DF9" w:rsidRDefault="00B94E95" w:rsidP="00B94E95">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2A46BE50" w14:textId="43DC113F"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577" w:type="dxa"/>
            <w:shd w:val="clear" w:color="auto" w:fill="FFFFFF"/>
          </w:tcPr>
          <w:p w14:paraId="76FFBDA7" w14:textId="327116C6"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562" w:type="dxa"/>
            <w:gridSpan w:val="3"/>
            <w:shd w:val="clear" w:color="auto" w:fill="FFFFFF"/>
          </w:tcPr>
          <w:p w14:paraId="4C1BB185" w14:textId="4C48E3E4"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570" w:type="dxa"/>
            <w:gridSpan w:val="2"/>
            <w:shd w:val="clear" w:color="auto" w:fill="FFFFFF"/>
          </w:tcPr>
          <w:p w14:paraId="5D760CE9" w14:textId="09E8C6AC"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570" w:type="dxa"/>
            <w:shd w:val="clear" w:color="auto" w:fill="FFFFFF"/>
          </w:tcPr>
          <w:p w14:paraId="14DA3F6F" w14:textId="0BBC86E7"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570" w:type="dxa"/>
            <w:gridSpan w:val="3"/>
            <w:shd w:val="clear" w:color="auto" w:fill="FFFFFF"/>
          </w:tcPr>
          <w:p w14:paraId="13C0314F" w14:textId="61C9D16A"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569" w:type="dxa"/>
            <w:gridSpan w:val="3"/>
            <w:shd w:val="clear" w:color="auto" w:fill="FFFFFF"/>
          </w:tcPr>
          <w:p w14:paraId="4F306F14" w14:textId="6E7989E6"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703" w:type="dxa"/>
            <w:gridSpan w:val="2"/>
            <w:shd w:val="clear" w:color="auto" w:fill="FFFFFF"/>
          </w:tcPr>
          <w:p w14:paraId="102221C5" w14:textId="323F9748"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709" w:type="dxa"/>
            <w:gridSpan w:val="2"/>
            <w:shd w:val="clear" w:color="auto" w:fill="FFFFFF"/>
          </w:tcPr>
          <w:p w14:paraId="08762B55" w14:textId="0227C80C"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708" w:type="dxa"/>
            <w:shd w:val="clear" w:color="auto" w:fill="FFFFFF"/>
          </w:tcPr>
          <w:p w14:paraId="3869082A" w14:textId="6048963B" w:rsidR="00B94E95" w:rsidRPr="00780E8D" w:rsidRDefault="00B94E95" w:rsidP="00B94E95">
            <w:pPr>
              <w:spacing w:line="240" w:lineRule="auto"/>
              <w:jc w:val="center"/>
              <w:rPr>
                <w:rFonts w:ascii="Times New Roman" w:hAnsi="Times New Roman"/>
                <w:color w:val="000000"/>
                <w:sz w:val="18"/>
                <w:szCs w:val="18"/>
              </w:rPr>
            </w:pPr>
            <w:r w:rsidRPr="008B1115">
              <w:t>-</w:t>
            </w:r>
          </w:p>
        </w:tc>
        <w:tc>
          <w:tcPr>
            <w:tcW w:w="1137" w:type="dxa"/>
            <w:gridSpan w:val="2"/>
            <w:shd w:val="clear" w:color="auto" w:fill="FFFFFF"/>
          </w:tcPr>
          <w:p w14:paraId="306AF426" w14:textId="46DA40FE" w:rsidR="00B94E95" w:rsidRPr="00780E8D" w:rsidRDefault="00B94E95" w:rsidP="00B94E95">
            <w:pPr>
              <w:spacing w:line="240" w:lineRule="auto"/>
              <w:jc w:val="center"/>
              <w:rPr>
                <w:rFonts w:ascii="Times New Roman" w:hAnsi="Times New Roman"/>
                <w:color w:val="000000"/>
                <w:sz w:val="18"/>
                <w:szCs w:val="18"/>
              </w:rPr>
            </w:pPr>
            <w:r w:rsidRPr="008B1115">
              <w:t>-</w:t>
            </w:r>
          </w:p>
        </w:tc>
      </w:tr>
      <w:tr w:rsidR="00F135FD" w:rsidRPr="00A87B3A" w14:paraId="6D98B0A1" w14:textId="77777777" w:rsidTr="007B2A24">
        <w:trPr>
          <w:trHeight w:val="344"/>
        </w:trPr>
        <w:tc>
          <w:tcPr>
            <w:tcW w:w="3133" w:type="dxa"/>
            <w:gridSpan w:val="4"/>
            <w:shd w:val="clear" w:color="auto" w:fill="FFFFFF"/>
            <w:vAlign w:val="center"/>
          </w:tcPr>
          <w:p w14:paraId="339C8CEA" w14:textId="77777777" w:rsidR="00F135FD" w:rsidRPr="00E42DF9" w:rsidRDefault="00F135FD" w:rsidP="00F135FD">
            <w:pPr>
              <w:spacing w:line="240" w:lineRule="auto"/>
              <w:rPr>
                <w:rFonts w:ascii="Times New Roman" w:hAnsi="Times New Roman"/>
                <w:color w:val="000000"/>
                <w:sz w:val="18"/>
                <w:szCs w:val="18"/>
              </w:rPr>
            </w:pPr>
            <w:r w:rsidRPr="00E42DF9">
              <w:rPr>
                <w:rFonts w:ascii="Times New Roman" w:hAnsi="Times New Roman"/>
                <w:color w:val="000000"/>
                <w:sz w:val="18"/>
                <w:szCs w:val="18"/>
              </w:rPr>
              <w:t>pozostałe jednostki (oddzielnie)</w:t>
            </w:r>
          </w:p>
        </w:tc>
        <w:tc>
          <w:tcPr>
            <w:tcW w:w="569" w:type="dxa"/>
            <w:gridSpan w:val="2"/>
            <w:shd w:val="clear" w:color="auto" w:fill="FFFFFF"/>
          </w:tcPr>
          <w:p w14:paraId="17D6B192" w14:textId="21DA88A8"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2266E93C" w14:textId="7A8CAFFB"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7" w:type="dxa"/>
            <w:shd w:val="clear" w:color="auto" w:fill="FFFFFF"/>
          </w:tcPr>
          <w:p w14:paraId="610E694D" w14:textId="25EB1DEC"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2" w:type="dxa"/>
            <w:gridSpan w:val="3"/>
            <w:shd w:val="clear" w:color="auto" w:fill="FFFFFF"/>
          </w:tcPr>
          <w:p w14:paraId="00EAAC42" w14:textId="1CF3FCB2"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45DF0810" w14:textId="35E8BCF4"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shd w:val="clear" w:color="auto" w:fill="FFFFFF"/>
          </w:tcPr>
          <w:p w14:paraId="18452E79" w14:textId="38514CA8"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3"/>
            <w:shd w:val="clear" w:color="auto" w:fill="FFFFFF"/>
          </w:tcPr>
          <w:p w14:paraId="3114A309" w14:textId="0AA2BB6A"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9" w:type="dxa"/>
            <w:gridSpan w:val="3"/>
            <w:shd w:val="clear" w:color="auto" w:fill="FFFFFF"/>
          </w:tcPr>
          <w:p w14:paraId="7FBF6A41" w14:textId="3860A85F"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3" w:type="dxa"/>
            <w:gridSpan w:val="2"/>
            <w:shd w:val="clear" w:color="auto" w:fill="FFFFFF"/>
          </w:tcPr>
          <w:p w14:paraId="6D5C4595" w14:textId="6F6C4806"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9" w:type="dxa"/>
            <w:gridSpan w:val="2"/>
            <w:shd w:val="clear" w:color="auto" w:fill="FFFFFF"/>
          </w:tcPr>
          <w:p w14:paraId="07E65CA5" w14:textId="2090445B"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8" w:type="dxa"/>
            <w:shd w:val="clear" w:color="auto" w:fill="FFFFFF"/>
          </w:tcPr>
          <w:p w14:paraId="2B7CCEA1" w14:textId="2F1D76D8"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1137" w:type="dxa"/>
            <w:gridSpan w:val="2"/>
            <w:shd w:val="clear" w:color="auto" w:fill="FFFFFF"/>
          </w:tcPr>
          <w:p w14:paraId="6E0FC22A" w14:textId="76B721A8" w:rsidR="00F135FD" w:rsidRPr="00E42DF9" w:rsidRDefault="00F135FD" w:rsidP="00F135FD">
            <w:pPr>
              <w:spacing w:line="240" w:lineRule="auto"/>
              <w:jc w:val="center"/>
              <w:rPr>
                <w:rFonts w:ascii="Times New Roman" w:hAnsi="Times New Roman"/>
                <w:color w:val="000000"/>
                <w:sz w:val="18"/>
                <w:szCs w:val="18"/>
              </w:rPr>
            </w:pPr>
            <w:r w:rsidRPr="0090695A">
              <w:t>-</w:t>
            </w:r>
          </w:p>
        </w:tc>
      </w:tr>
      <w:tr w:rsidR="00BD2E42" w:rsidRPr="00A87B3A" w14:paraId="68C088A6" w14:textId="77777777" w:rsidTr="007B2A24">
        <w:trPr>
          <w:trHeight w:val="330"/>
        </w:trPr>
        <w:tc>
          <w:tcPr>
            <w:tcW w:w="3133" w:type="dxa"/>
            <w:gridSpan w:val="4"/>
            <w:shd w:val="clear" w:color="auto" w:fill="FFFFFF"/>
            <w:vAlign w:val="center"/>
          </w:tcPr>
          <w:p w14:paraId="15BCF592" w14:textId="77777777" w:rsidR="00BD2E42" w:rsidRPr="00E42DF9" w:rsidRDefault="00BD2E42" w:rsidP="00BD2E42">
            <w:pPr>
              <w:spacing w:line="240" w:lineRule="auto"/>
              <w:rPr>
                <w:rFonts w:ascii="Times New Roman" w:hAnsi="Times New Roman"/>
                <w:color w:val="000000"/>
                <w:sz w:val="18"/>
                <w:szCs w:val="18"/>
              </w:rPr>
            </w:pPr>
            <w:r w:rsidRPr="00E42DF9">
              <w:rPr>
                <w:rFonts w:ascii="Times New Roman" w:hAnsi="Times New Roman"/>
                <w:b/>
                <w:color w:val="000000"/>
                <w:sz w:val="18"/>
                <w:szCs w:val="18"/>
              </w:rPr>
              <w:t>Wydatki ogółem</w:t>
            </w:r>
          </w:p>
        </w:tc>
        <w:tc>
          <w:tcPr>
            <w:tcW w:w="569" w:type="dxa"/>
            <w:gridSpan w:val="2"/>
            <w:tcBorders>
              <w:top w:val="nil"/>
              <w:left w:val="nil"/>
              <w:bottom w:val="single" w:sz="4" w:space="0" w:color="auto"/>
              <w:right w:val="single" w:sz="4" w:space="0" w:color="auto"/>
            </w:tcBorders>
            <w:shd w:val="clear" w:color="auto" w:fill="auto"/>
            <w:vAlign w:val="bottom"/>
          </w:tcPr>
          <w:p w14:paraId="0D2596DE" w14:textId="6C9FF7C5" w:rsidR="00BD2E42" w:rsidRPr="00E42DF9" w:rsidRDefault="00BD2E42" w:rsidP="00BD2E42">
            <w:pPr>
              <w:spacing w:line="240" w:lineRule="auto"/>
              <w:jc w:val="center"/>
              <w:rPr>
                <w:rFonts w:ascii="Times New Roman" w:hAnsi="Times New Roman"/>
                <w:b/>
                <w:bCs/>
                <w:color w:val="000000"/>
                <w:sz w:val="18"/>
                <w:szCs w:val="18"/>
              </w:rPr>
            </w:pPr>
          </w:p>
        </w:tc>
        <w:tc>
          <w:tcPr>
            <w:tcW w:w="570" w:type="dxa"/>
            <w:gridSpan w:val="2"/>
            <w:tcBorders>
              <w:top w:val="nil"/>
              <w:left w:val="nil"/>
              <w:bottom w:val="single" w:sz="4" w:space="0" w:color="auto"/>
              <w:right w:val="single" w:sz="4" w:space="0" w:color="auto"/>
            </w:tcBorders>
            <w:shd w:val="clear" w:color="auto" w:fill="auto"/>
            <w:vAlign w:val="bottom"/>
          </w:tcPr>
          <w:p w14:paraId="7619784B" w14:textId="30E375D4" w:rsidR="00BD2E42" w:rsidRPr="00E42DF9" w:rsidRDefault="001C2AF0"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4,91</w:t>
            </w:r>
          </w:p>
        </w:tc>
        <w:tc>
          <w:tcPr>
            <w:tcW w:w="577" w:type="dxa"/>
            <w:tcBorders>
              <w:top w:val="nil"/>
              <w:left w:val="nil"/>
              <w:bottom w:val="single" w:sz="4" w:space="0" w:color="auto"/>
              <w:right w:val="single" w:sz="4" w:space="0" w:color="auto"/>
            </w:tcBorders>
            <w:shd w:val="clear" w:color="auto" w:fill="auto"/>
            <w:vAlign w:val="bottom"/>
          </w:tcPr>
          <w:p w14:paraId="4A28D78C" w14:textId="26B5C48C" w:rsidR="00BD2E42" w:rsidRPr="00E42DF9" w:rsidRDefault="001C2AF0"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4,</w:t>
            </w:r>
            <w:r w:rsidR="001413D7">
              <w:rPr>
                <w:rFonts w:ascii="Times New Roman" w:eastAsia="Times New Roman" w:hAnsi="Times New Roman"/>
                <w:b/>
                <w:bCs/>
                <w:color w:val="000000"/>
                <w:sz w:val="18"/>
                <w:szCs w:val="18"/>
                <w:lang w:eastAsia="pl-PL"/>
              </w:rPr>
              <w:t>94</w:t>
            </w:r>
          </w:p>
        </w:tc>
        <w:tc>
          <w:tcPr>
            <w:tcW w:w="562" w:type="dxa"/>
            <w:gridSpan w:val="3"/>
            <w:tcBorders>
              <w:top w:val="nil"/>
              <w:left w:val="nil"/>
              <w:bottom w:val="single" w:sz="4" w:space="0" w:color="auto"/>
              <w:right w:val="single" w:sz="4" w:space="0" w:color="auto"/>
            </w:tcBorders>
            <w:shd w:val="clear" w:color="auto" w:fill="auto"/>
            <w:vAlign w:val="bottom"/>
          </w:tcPr>
          <w:p w14:paraId="1BE1EAE8" w14:textId="6C8BF7BA" w:rsidR="00BD2E42" w:rsidRPr="00E42DF9" w:rsidRDefault="001C2AF0"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5,</w:t>
            </w:r>
            <w:r w:rsidR="00483E26">
              <w:rPr>
                <w:rFonts w:ascii="Times New Roman" w:eastAsia="Times New Roman" w:hAnsi="Times New Roman"/>
                <w:b/>
                <w:bCs/>
                <w:color w:val="000000"/>
                <w:sz w:val="18"/>
                <w:szCs w:val="18"/>
                <w:lang w:eastAsia="pl-PL"/>
              </w:rPr>
              <w:t>20</w:t>
            </w:r>
          </w:p>
        </w:tc>
        <w:tc>
          <w:tcPr>
            <w:tcW w:w="570" w:type="dxa"/>
            <w:gridSpan w:val="2"/>
            <w:tcBorders>
              <w:top w:val="nil"/>
              <w:left w:val="nil"/>
              <w:bottom w:val="single" w:sz="4" w:space="0" w:color="auto"/>
              <w:right w:val="single" w:sz="4" w:space="0" w:color="auto"/>
            </w:tcBorders>
            <w:shd w:val="clear" w:color="auto" w:fill="auto"/>
            <w:vAlign w:val="bottom"/>
          </w:tcPr>
          <w:p w14:paraId="44FD7FFA" w14:textId="50AB9048" w:rsidR="00BD2E42" w:rsidRPr="00E42DF9" w:rsidRDefault="00483E26"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5,48</w:t>
            </w:r>
          </w:p>
        </w:tc>
        <w:tc>
          <w:tcPr>
            <w:tcW w:w="570" w:type="dxa"/>
            <w:tcBorders>
              <w:top w:val="nil"/>
              <w:left w:val="nil"/>
              <w:bottom w:val="single" w:sz="4" w:space="0" w:color="auto"/>
              <w:right w:val="single" w:sz="4" w:space="0" w:color="auto"/>
            </w:tcBorders>
            <w:shd w:val="clear" w:color="auto" w:fill="auto"/>
            <w:vAlign w:val="bottom"/>
          </w:tcPr>
          <w:p w14:paraId="4C236E6A" w14:textId="60CB01C8" w:rsidR="00BD2E42" w:rsidRPr="00E42DF9" w:rsidRDefault="00483E26"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5,77</w:t>
            </w:r>
          </w:p>
        </w:tc>
        <w:tc>
          <w:tcPr>
            <w:tcW w:w="570" w:type="dxa"/>
            <w:gridSpan w:val="3"/>
            <w:tcBorders>
              <w:top w:val="nil"/>
              <w:left w:val="nil"/>
              <w:bottom w:val="single" w:sz="4" w:space="0" w:color="auto"/>
              <w:right w:val="single" w:sz="4" w:space="0" w:color="auto"/>
            </w:tcBorders>
            <w:shd w:val="clear" w:color="auto" w:fill="auto"/>
            <w:vAlign w:val="bottom"/>
          </w:tcPr>
          <w:p w14:paraId="064FB51F" w14:textId="67103783" w:rsidR="00BD2E42" w:rsidRPr="00E42DF9" w:rsidRDefault="00483E26"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6,07</w:t>
            </w:r>
          </w:p>
        </w:tc>
        <w:tc>
          <w:tcPr>
            <w:tcW w:w="569" w:type="dxa"/>
            <w:gridSpan w:val="3"/>
            <w:tcBorders>
              <w:top w:val="nil"/>
              <w:left w:val="nil"/>
              <w:bottom w:val="single" w:sz="4" w:space="0" w:color="auto"/>
              <w:right w:val="single" w:sz="4" w:space="0" w:color="auto"/>
            </w:tcBorders>
            <w:shd w:val="clear" w:color="auto" w:fill="auto"/>
            <w:vAlign w:val="bottom"/>
          </w:tcPr>
          <w:p w14:paraId="3AE42D38" w14:textId="742E7EF8" w:rsidR="00BD2E42" w:rsidRPr="007B2A24" w:rsidRDefault="00483E26" w:rsidP="00483E26">
            <w:pPr>
              <w:spacing w:line="240" w:lineRule="auto"/>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6,40</w:t>
            </w:r>
          </w:p>
        </w:tc>
        <w:tc>
          <w:tcPr>
            <w:tcW w:w="703" w:type="dxa"/>
            <w:gridSpan w:val="2"/>
            <w:tcBorders>
              <w:top w:val="nil"/>
              <w:left w:val="nil"/>
              <w:bottom w:val="single" w:sz="4" w:space="0" w:color="auto"/>
              <w:right w:val="single" w:sz="4" w:space="0" w:color="auto"/>
            </w:tcBorders>
            <w:shd w:val="clear" w:color="auto" w:fill="auto"/>
            <w:vAlign w:val="bottom"/>
          </w:tcPr>
          <w:p w14:paraId="5EA797B5" w14:textId="792BE6C6" w:rsidR="00BD2E42" w:rsidRPr="00E42DF9" w:rsidRDefault="00483E26"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6,73</w:t>
            </w:r>
          </w:p>
        </w:tc>
        <w:tc>
          <w:tcPr>
            <w:tcW w:w="709" w:type="dxa"/>
            <w:gridSpan w:val="2"/>
            <w:tcBorders>
              <w:top w:val="nil"/>
              <w:left w:val="nil"/>
              <w:bottom w:val="single" w:sz="4" w:space="0" w:color="auto"/>
              <w:right w:val="single" w:sz="4" w:space="0" w:color="auto"/>
            </w:tcBorders>
            <w:shd w:val="clear" w:color="auto" w:fill="auto"/>
            <w:vAlign w:val="bottom"/>
          </w:tcPr>
          <w:p w14:paraId="5E73D6D7" w14:textId="744928B7" w:rsidR="00BD2E42" w:rsidRPr="00E42DF9" w:rsidRDefault="00483E26" w:rsidP="00BD2E42">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7,09</w:t>
            </w:r>
          </w:p>
        </w:tc>
        <w:tc>
          <w:tcPr>
            <w:tcW w:w="708" w:type="dxa"/>
            <w:tcBorders>
              <w:top w:val="nil"/>
              <w:left w:val="nil"/>
              <w:bottom w:val="single" w:sz="4" w:space="0" w:color="auto"/>
              <w:right w:val="single" w:sz="4" w:space="0" w:color="auto"/>
            </w:tcBorders>
            <w:shd w:val="clear" w:color="auto" w:fill="auto"/>
            <w:vAlign w:val="bottom"/>
          </w:tcPr>
          <w:p w14:paraId="1D05D903" w14:textId="1F865E88" w:rsidR="00BD2E42" w:rsidRPr="00E42DF9" w:rsidRDefault="00483E26" w:rsidP="00DD284D">
            <w:pPr>
              <w:spacing w:line="240" w:lineRule="auto"/>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7,47</w:t>
            </w:r>
          </w:p>
        </w:tc>
        <w:tc>
          <w:tcPr>
            <w:tcW w:w="1137" w:type="dxa"/>
            <w:gridSpan w:val="2"/>
            <w:shd w:val="clear" w:color="auto" w:fill="FFFFFF"/>
            <w:vAlign w:val="bottom"/>
          </w:tcPr>
          <w:p w14:paraId="046318F1" w14:textId="00E537D0" w:rsidR="00BD2E42" w:rsidRPr="00BD2E42" w:rsidRDefault="00483E26" w:rsidP="00EE6051">
            <w:pPr>
              <w:spacing w:line="240" w:lineRule="auto"/>
              <w:jc w:val="center"/>
              <w:rPr>
                <w:rFonts w:ascii="Times New Roman" w:hAnsi="Times New Roman"/>
                <w:b/>
                <w:bCs/>
                <w:color w:val="000000"/>
                <w:sz w:val="18"/>
                <w:szCs w:val="18"/>
              </w:rPr>
            </w:pPr>
            <w:r>
              <w:rPr>
                <w:rFonts w:ascii="Times New Roman" w:hAnsi="Times New Roman"/>
                <w:b/>
                <w:bCs/>
                <w:sz w:val="18"/>
                <w:szCs w:val="18"/>
              </w:rPr>
              <w:t>60,07</w:t>
            </w:r>
          </w:p>
        </w:tc>
      </w:tr>
      <w:tr w:rsidR="00BD2E42" w:rsidRPr="00A87B3A" w14:paraId="3B80F11F" w14:textId="77777777" w:rsidTr="007B2A24">
        <w:trPr>
          <w:trHeight w:val="330"/>
        </w:trPr>
        <w:tc>
          <w:tcPr>
            <w:tcW w:w="3133" w:type="dxa"/>
            <w:gridSpan w:val="4"/>
            <w:shd w:val="clear" w:color="auto" w:fill="FFFFFF"/>
            <w:vAlign w:val="center"/>
          </w:tcPr>
          <w:p w14:paraId="3D4743DD" w14:textId="77777777" w:rsidR="00BD2E42" w:rsidRPr="00E42DF9" w:rsidRDefault="00BD2E42" w:rsidP="00BD2E42">
            <w:pPr>
              <w:spacing w:line="240" w:lineRule="auto"/>
              <w:rPr>
                <w:rFonts w:ascii="Times New Roman" w:hAnsi="Times New Roman"/>
                <w:color w:val="000000"/>
                <w:sz w:val="18"/>
                <w:szCs w:val="18"/>
              </w:rPr>
            </w:pPr>
            <w:r w:rsidRPr="00E42DF9">
              <w:rPr>
                <w:rFonts w:ascii="Times New Roman" w:hAnsi="Times New Roman"/>
                <w:color w:val="000000"/>
                <w:sz w:val="18"/>
                <w:szCs w:val="18"/>
              </w:rPr>
              <w:t>budżet państwa</w:t>
            </w:r>
          </w:p>
        </w:tc>
        <w:tc>
          <w:tcPr>
            <w:tcW w:w="569" w:type="dxa"/>
            <w:gridSpan w:val="2"/>
            <w:tcBorders>
              <w:top w:val="nil"/>
              <w:left w:val="nil"/>
              <w:bottom w:val="single" w:sz="4" w:space="0" w:color="auto"/>
              <w:right w:val="single" w:sz="4" w:space="0" w:color="auto"/>
            </w:tcBorders>
            <w:shd w:val="clear" w:color="auto" w:fill="auto"/>
            <w:vAlign w:val="bottom"/>
          </w:tcPr>
          <w:p w14:paraId="72033CEA" w14:textId="7B336BA6" w:rsidR="00BD2E42" w:rsidRPr="00E42DF9" w:rsidRDefault="00BD2E42" w:rsidP="00BD2E42">
            <w:pPr>
              <w:spacing w:line="240" w:lineRule="auto"/>
              <w:jc w:val="center"/>
              <w:rPr>
                <w:rFonts w:ascii="Times New Roman" w:hAnsi="Times New Roman"/>
                <w:color w:val="000000"/>
                <w:sz w:val="18"/>
                <w:szCs w:val="18"/>
              </w:rPr>
            </w:pPr>
          </w:p>
        </w:tc>
        <w:tc>
          <w:tcPr>
            <w:tcW w:w="570" w:type="dxa"/>
            <w:gridSpan w:val="2"/>
            <w:tcBorders>
              <w:top w:val="nil"/>
              <w:left w:val="nil"/>
              <w:bottom w:val="single" w:sz="4" w:space="0" w:color="auto"/>
              <w:right w:val="single" w:sz="4" w:space="0" w:color="auto"/>
            </w:tcBorders>
            <w:shd w:val="clear" w:color="auto" w:fill="auto"/>
            <w:vAlign w:val="bottom"/>
          </w:tcPr>
          <w:p w14:paraId="0144CFBA" w14:textId="7667F614" w:rsidR="00BD2E42" w:rsidRPr="00BD2E42" w:rsidRDefault="001C2AF0"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2,95</w:t>
            </w:r>
          </w:p>
        </w:tc>
        <w:tc>
          <w:tcPr>
            <w:tcW w:w="577" w:type="dxa"/>
            <w:tcBorders>
              <w:top w:val="nil"/>
              <w:left w:val="nil"/>
              <w:bottom w:val="single" w:sz="4" w:space="0" w:color="auto"/>
              <w:right w:val="single" w:sz="4" w:space="0" w:color="auto"/>
            </w:tcBorders>
            <w:shd w:val="clear" w:color="auto" w:fill="auto"/>
            <w:vAlign w:val="bottom"/>
          </w:tcPr>
          <w:p w14:paraId="47E1C9A4" w14:textId="49D3A32F" w:rsidR="00BD2E42" w:rsidRPr="00BD2E42" w:rsidRDefault="001C2AF0"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2,</w:t>
            </w:r>
            <w:r w:rsidR="001413D7">
              <w:rPr>
                <w:rFonts w:ascii="Times New Roman" w:eastAsia="Times New Roman" w:hAnsi="Times New Roman"/>
                <w:color w:val="000000"/>
                <w:sz w:val="18"/>
                <w:szCs w:val="18"/>
                <w:lang w:eastAsia="pl-PL"/>
              </w:rPr>
              <w:t>96</w:t>
            </w:r>
          </w:p>
        </w:tc>
        <w:tc>
          <w:tcPr>
            <w:tcW w:w="562" w:type="dxa"/>
            <w:gridSpan w:val="3"/>
            <w:tcBorders>
              <w:top w:val="nil"/>
              <w:left w:val="nil"/>
              <w:bottom w:val="single" w:sz="4" w:space="0" w:color="auto"/>
              <w:right w:val="single" w:sz="4" w:space="0" w:color="auto"/>
            </w:tcBorders>
            <w:shd w:val="clear" w:color="auto" w:fill="auto"/>
            <w:vAlign w:val="bottom"/>
          </w:tcPr>
          <w:p w14:paraId="3C0185D3" w14:textId="749AE713" w:rsidR="00BD2E42" w:rsidRPr="00BD2E42" w:rsidRDefault="00780E8D"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3,</w:t>
            </w:r>
            <w:r w:rsidR="00483E26">
              <w:rPr>
                <w:rFonts w:ascii="Times New Roman" w:eastAsia="Times New Roman" w:hAnsi="Times New Roman"/>
                <w:color w:val="000000"/>
                <w:sz w:val="18"/>
                <w:szCs w:val="18"/>
                <w:lang w:eastAsia="pl-PL"/>
              </w:rPr>
              <w:t>12</w:t>
            </w:r>
          </w:p>
        </w:tc>
        <w:tc>
          <w:tcPr>
            <w:tcW w:w="570" w:type="dxa"/>
            <w:gridSpan w:val="2"/>
            <w:tcBorders>
              <w:top w:val="nil"/>
              <w:left w:val="nil"/>
              <w:bottom w:val="single" w:sz="4" w:space="0" w:color="auto"/>
              <w:right w:val="single" w:sz="4" w:space="0" w:color="auto"/>
            </w:tcBorders>
            <w:shd w:val="clear" w:color="auto" w:fill="auto"/>
            <w:vAlign w:val="bottom"/>
          </w:tcPr>
          <w:p w14:paraId="2177CE84" w14:textId="759FACCD" w:rsidR="00BD2E42" w:rsidRPr="00BD2E42" w:rsidRDefault="00780E8D"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3,</w:t>
            </w:r>
            <w:r w:rsidR="00483E26">
              <w:rPr>
                <w:rFonts w:ascii="Times New Roman" w:eastAsia="Times New Roman" w:hAnsi="Times New Roman"/>
                <w:color w:val="000000"/>
                <w:sz w:val="18"/>
                <w:szCs w:val="18"/>
                <w:lang w:eastAsia="pl-PL"/>
              </w:rPr>
              <w:t>29</w:t>
            </w:r>
          </w:p>
        </w:tc>
        <w:tc>
          <w:tcPr>
            <w:tcW w:w="570" w:type="dxa"/>
            <w:tcBorders>
              <w:top w:val="nil"/>
              <w:left w:val="nil"/>
              <w:bottom w:val="single" w:sz="4" w:space="0" w:color="auto"/>
              <w:right w:val="single" w:sz="4" w:space="0" w:color="auto"/>
            </w:tcBorders>
            <w:shd w:val="clear" w:color="auto" w:fill="auto"/>
            <w:vAlign w:val="bottom"/>
          </w:tcPr>
          <w:p w14:paraId="0C3A4FC9" w14:textId="09B5253E" w:rsidR="00BD2E42" w:rsidRPr="00BD2E42" w:rsidRDefault="00483E26"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3,46</w:t>
            </w:r>
          </w:p>
        </w:tc>
        <w:tc>
          <w:tcPr>
            <w:tcW w:w="570" w:type="dxa"/>
            <w:gridSpan w:val="3"/>
            <w:tcBorders>
              <w:top w:val="nil"/>
              <w:left w:val="nil"/>
              <w:bottom w:val="single" w:sz="4" w:space="0" w:color="auto"/>
              <w:right w:val="single" w:sz="4" w:space="0" w:color="auto"/>
            </w:tcBorders>
            <w:shd w:val="clear" w:color="auto" w:fill="auto"/>
            <w:vAlign w:val="bottom"/>
          </w:tcPr>
          <w:p w14:paraId="34137D7B" w14:textId="05627D3D" w:rsidR="00BD2E42" w:rsidRPr="00BD2E42" w:rsidRDefault="00483E26"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3,64</w:t>
            </w:r>
          </w:p>
        </w:tc>
        <w:tc>
          <w:tcPr>
            <w:tcW w:w="569" w:type="dxa"/>
            <w:gridSpan w:val="3"/>
            <w:tcBorders>
              <w:top w:val="nil"/>
              <w:left w:val="nil"/>
              <w:bottom w:val="single" w:sz="4" w:space="0" w:color="auto"/>
              <w:right w:val="single" w:sz="4" w:space="0" w:color="auto"/>
            </w:tcBorders>
            <w:shd w:val="clear" w:color="auto" w:fill="auto"/>
            <w:vAlign w:val="bottom"/>
          </w:tcPr>
          <w:p w14:paraId="6AC198A5" w14:textId="2E6B4C1A" w:rsidR="00BD2E42" w:rsidRPr="00BD2E42" w:rsidRDefault="00483E26"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3,84</w:t>
            </w:r>
          </w:p>
        </w:tc>
        <w:tc>
          <w:tcPr>
            <w:tcW w:w="703" w:type="dxa"/>
            <w:gridSpan w:val="2"/>
            <w:tcBorders>
              <w:top w:val="nil"/>
              <w:left w:val="nil"/>
              <w:bottom w:val="single" w:sz="4" w:space="0" w:color="auto"/>
              <w:right w:val="single" w:sz="4" w:space="0" w:color="auto"/>
            </w:tcBorders>
            <w:shd w:val="clear" w:color="auto" w:fill="auto"/>
            <w:vAlign w:val="bottom"/>
          </w:tcPr>
          <w:p w14:paraId="2009DE4A" w14:textId="65534B19" w:rsidR="00BD2E42" w:rsidRPr="00BD2E42" w:rsidRDefault="00483E26"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4,04</w:t>
            </w:r>
          </w:p>
        </w:tc>
        <w:tc>
          <w:tcPr>
            <w:tcW w:w="709" w:type="dxa"/>
            <w:gridSpan w:val="2"/>
            <w:tcBorders>
              <w:top w:val="nil"/>
              <w:left w:val="nil"/>
              <w:bottom w:val="single" w:sz="4" w:space="0" w:color="auto"/>
              <w:right w:val="single" w:sz="4" w:space="0" w:color="auto"/>
            </w:tcBorders>
            <w:shd w:val="clear" w:color="auto" w:fill="auto"/>
            <w:vAlign w:val="bottom"/>
          </w:tcPr>
          <w:p w14:paraId="35A18963" w14:textId="4774ED20" w:rsidR="00BD2E42" w:rsidRPr="00BD2E42" w:rsidRDefault="00483E26" w:rsidP="00BD2E42">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4,25</w:t>
            </w:r>
          </w:p>
        </w:tc>
        <w:tc>
          <w:tcPr>
            <w:tcW w:w="708" w:type="dxa"/>
            <w:tcBorders>
              <w:top w:val="nil"/>
              <w:left w:val="nil"/>
              <w:bottom w:val="single" w:sz="4" w:space="0" w:color="auto"/>
              <w:right w:val="single" w:sz="4" w:space="0" w:color="auto"/>
            </w:tcBorders>
            <w:shd w:val="clear" w:color="auto" w:fill="auto"/>
            <w:vAlign w:val="bottom"/>
          </w:tcPr>
          <w:p w14:paraId="11205FE7" w14:textId="6BB9C5CE" w:rsidR="00BD2E42" w:rsidRPr="00BD2E42" w:rsidRDefault="00483E26" w:rsidP="001C2AF0">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4,48</w:t>
            </w:r>
          </w:p>
        </w:tc>
        <w:tc>
          <w:tcPr>
            <w:tcW w:w="1137" w:type="dxa"/>
            <w:gridSpan w:val="2"/>
            <w:shd w:val="clear" w:color="auto" w:fill="FFFFFF"/>
            <w:vAlign w:val="bottom"/>
          </w:tcPr>
          <w:p w14:paraId="220BD898" w14:textId="50E6603A" w:rsidR="00BD2E42" w:rsidRPr="00BD2E42" w:rsidRDefault="00483E26" w:rsidP="00EE6051">
            <w:pPr>
              <w:spacing w:line="240" w:lineRule="auto"/>
              <w:jc w:val="center"/>
              <w:rPr>
                <w:rFonts w:ascii="Times New Roman" w:hAnsi="Times New Roman"/>
                <w:color w:val="000000"/>
                <w:sz w:val="18"/>
                <w:szCs w:val="18"/>
              </w:rPr>
            </w:pPr>
            <w:r>
              <w:rPr>
                <w:rFonts w:ascii="Times New Roman" w:hAnsi="Times New Roman"/>
                <w:sz w:val="18"/>
                <w:szCs w:val="18"/>
              </w:rPr>
              <w:t>36,04</w:t>
            </w:r>
          </w:p>
        </w:tc>
      </w:tr>
      <w:tr w:rsidR="00780E8D" w:rsidRPr="00A87B3A" w14:paraId="3769D6FE" w14:textId="77777777" w:rsidTr="007B2A24">
        <w:trPr>
          <w:trHeight w:val="351"/>
        </w:trPr>
        <w:tc>
          <w:tcPr>
            <w:tcW w:w="3133" w:type="dxa"/>
            <w:gridSpan w:val="4"/>
            <w:shd w:val="clear" w:color="auto" w:fill="FFFFFF"/>
            <w:vAlign w:val="center"/>
          </w:tcPr>
          <w:p w14:paraId="5CAF0B0D" w14:textId="77777777" w:rsidR="00780E8D" w:rsidRPr="00E42DF9" w:rsidRDefault="00780E8D" w:rsidP="00780E8D">
            <w:pPr>
              <w:spacing w:line="240" w:lineRule="auto"/>
              <w:rPr>
                <w:rFonts w:ascii="Times New Roman" w:hAnsi="Times New Roman"/>
                <w:color w:val="000000"/>
                <w:sz w:val="18"/>
                <w:szCs w:val="18"/>
              </w:rPr>
            </w:pPr>
            <w:r w:rsidRPr="00E42DF9">
              <w:rPr>
                <w:rFonts w:ascii="Times New Roman" w:hAnsi="Times New Roman"/>
                <w:color w:val="000000"/>
                <w:sz w:val="18"/>
                <w:szCs w:val="18"/>
              </w:rPr>
              <w:t>JST</w:t>
            </w:r>
          </w:p>
        </w:tc>
        <w:tc>
          <w:tcPr>
            <w:tcW w:w="569" w:type="dxa"/>
            <w:gridSpan w:val="2"/>
            <w:shd w:val="clear" w:color="auto" w:fill="FFFFFF"/>
          </w:tcPr>
          <w:p w14:paraId="4247D4EE" w14:textId="03935B5A" w:rsidR="00780E8D" w:rsidRPr="00E42DF9" w:rsidRDefault="00780E8D" w:rsidP="00780E8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58C074D1" w14:textId="49B38767" w:rsidR="00780E8D" w:rsidRPr="00E42DF9" w:rsidRDefault="001C2AF0" w:rsidP="00780E8D">
            <w:pPr>
              <w:spacing w:line="240" w:lineRule="auto"/>
              <w:jc w:val="center"/>
              <w:rPr>
                <w:rFonts w:ascii="Times New Roman" w:hAnsi="Times New Roman"/>
                <w:color w:val="000000"/>
                <w:sz w:val="18"/>
                <w:szCs w:val="18"/>
              </w:rPr>
            </w:pPr>
            <w:r>
              <w:rPr>
                <w:rFonts w:ascii="Times New Roman" w:hAnsi="Times New Roman"/>
                <w:sz w:val="18"/>
                <w:szCs w:val="18"/>
              </w:rPr>
              <w:t>1,96</w:t>
            </w:r>
          </w:p>
        </w:tc>
        <w:tc>
          <w:tcPr>
            <w:tcW w:w="577" w:type="dxa"/>
            <w:shd w:val="clear" w:color="auto" w:fill="FFFFFF"/>
          </w:tcPr>
          <w:p w14:paraId="6A4E6544" w14:textId="549FF51D" w:rsidR="00780E8D" w:rsidRPr="00E42DF9" w:rsidRDefault="001C2AF0" w:rsidP="00780E8D">
            <w:pPr>
              <w:spacing w:line="240" w:lineRule="auto"/>
              <w:jc w:val="center"/>
              <w:rPr>
                <w:rFonts w:ascii="Times New Roman" w:hAnsi="Times New Roman"/>
                <w:color w:val="000000"/>
                <w:sz w:val="18"/>
                <w:szCs w:val="18"/>
              </w:rPr>
            </w:pPr>
            <w:r>
              <w:rPr>
                <w:rFonts w:ascii="Times New Roman" w:hAnsi="Times New Roman"/>
                <w:sz w:val="18"/>
                <w:szCs w:val="18"/>
              </w:rPr>
              <w:t>1,9</w:t>
            </w:r>
            <w:r w:rsidR="001413D7">
              <w:rPr>
                <w:rFonts w:ascii="Times New Roman" w:hAnsi="Times New Roman"/>
                <w:sz w:val="18"/>
                <w:szCs w:val="18"/>
              </w:rPr>
              <w:t>8</w:t>
            </w:r>
          </w:p>
        </w:tc>
        <w:tc>
          <w:tcPr>
            <w:tcW w:w="562" w:type="dxa"/>
            <w:gridSpan w:val="3"/>
            <w:shd w:val="clear" w:color="auto" w:fill="FFFFFF"/>
          </w:tcPr>
          <w:p w14:paraId="5C8FDEC2" w14:textId="31067C98" w:rsidR="00780E8D" w:rsidRPr="00E42DF9" w:rsidRDefault="00780E8D" w:rsidP="00780E8D">
            <w:pPr>
              <w:spacing w:line="240" w:lineRule="auto"/>
              <w:jc w:val="center"/>
              <w:rPr>
                <w:rFonts w:ascii="Times New Roman" w:hAnsi="Times New Roman"/>
                <w:color w:val="000000"/>
                <w:sz w:val="18"/>
                <w:szCs w:val="18"/>
              </w:rPr>
            </w:pPr>
            <w:r>
              <w:rPr>
                <w:rFonts w:ascii="Times New Roman" w:hAnsi="Times New Roman"/>
                <w:sz w:val="18"/>
                <w:szCs w:val="18"/>
              </w:rPr>
              <w:t>2,</w:t>
            </w:r>
            <w:r w:rsidR="003475A0">
              <w:rPr>
                <w:rFonts w:ascii="Times New Roman" w:hAnsi="Times New Roman"/>
                <w:sz w:val="18"/>
                <w:szCs w:val="18"/>
              </w:rPr>
              <w:t>08</w:t>
            </w:r>
          </w:p>
        </w:tc>
        <w:tc>
          <w:tcPr>
            <w:tcW w:w="570" w:type="dxa"/>
            <w:gridSpan w:val="2"/>
            <w:shd w:val="clear" w:color="auto" w:fill="FFFFFF"/>
          </w:tcPr>
          <w:p w14:paraId="16619863" w14:textId="60E69FCB" w:rsidR="00780E8D" w:rsidRPr="00E42DF9" w:rsidRDefault="00780E8D" w:rsidP="00780E8D">
            <w:pPr>
              <w:spacing w:line="240" w:lineRule="auto"/>
              <w:jc w:val="center"/>
              <w:rPr>
                <w:rFonts w:ascii="Times New Roman" w:hAnsi="Times New Roman"/>
                <w:color w:val="000000"/>
                <w:sz w:val="18"/>
                <w:szCs w:val="18"/>
              </w:rPr>
            </w:pPr>
            <w:r>
              <w:rPr>
                <w:rFonts w:ascii="Times New Roman" w:hAnsi="Times New Roman"/>
                <w:sz w:val="18"/>
                <w:szCs w:val="18"/>
              </w:rPr>
              <w:t>2,</w:t>
            </w:r>
            <w:r w:rsidR="003475A0">
              <w:rPr>
                <w:rFonts w:ascii="Times New Roman" w:hAnsi="Times New Roman"/>
                <w:sz w:val="18"/>
                <w:szCs w:val="18"/>
              </w:rPr>
              <w:t>19</w:t>
            </w:r>
          </w:p>
        </w:tc>
        <w:tc>
          <w:tcPr>
            <w:tcW w:w="570" w:type="dxa"/>
            <w:shd w:val="clear" w:color="auto" w:fill="FFFFFF"/>
          </w:tcPr>
          <w:p w14:paraId="391FD49F" w14:textId="0A8D2104" w:rsidR="00780E8D" w:rsidRPr="00E42DF9" w:rsidRDefault="00780E8D" w:rsidP="00780E8D">
            <w:pPr>
              <w:spacing w:line="240" w:lineRule="auto"/>
              <w:jc w:val="center"/>
              <w:rPr>
                <w:rFonts w:ascii="Times New Roman" w:hAnsi="Times New Roman"/>
                <w:color w:val="000000"/>
                <w:sz w:val="18"/>
                <w:szCs w:val="18"/>
              </w:rPr>
            </w:pPr>
            <w:r>
              <w:rPr>
                <w:rFonts w:ascii="Times New Roman" w:hAnsi="Times New Roman"/>
                <w:sz w:val="18"/>
                <w:szCs w:val="18"/>
              </w:rPr>
              <w:t>2,</w:t>
            </w:r>
            <w:r w:rsidR="003475A0">
              <w:rPr>
                <w:rFonts w:ascii="Times New Roman" w:hAnsi="Times New Roman"/>
                <w:sz w:val="18"/>
                <w:szCs w:val="18"/>
              </w:rPr>
              <w:t>31</w:t>
            </w:r>
          </w:p>
        </w:tc>
        <w:tc>
          <w:tcPr>
            <w:tcW w:w="570" w:type="dxa"/>
            <w:gridSpan w:val="3"/>
            <w:shd w:val="clear" w:color="auto" w:fill="FFFFFF"/>
          </w:tcPr>
          <w:p w14:paraId="152CBC9E" w14:textId="63384A01" w:rsidR="00780E8D" w:rsidRPr="00E42DF9" w:rsidRDefault="003475A0" w:rsidP="00780E8D">
            <w:pPr>
              <w:spacing w:line="240" w:lineRule="auto"/>
              <w:jc w:val="center"/>
              <w:rPr>
                <w:rFonts w:ascii="Times New Roman" w:hAnsi="Times New Roman"/>
                <w:color w:val="000000"/>
                <w:sz w:val="18"/>
                <w:szCs w:val="18"/>
              </w:rPr>
            </w:pPr>
            <w:r>
              <w:rPr>
                <w:rFonts w:ascii="Times New Roman" w:hAnsi="Times New Roman"/>
                <w:sz w:val="18"/>
                <w:szCs w:val="18"/>
              </w:rPr>
              <w:t>2,43</w:t>
            </w:r>
          </w:p>
        </w:tc>
        <w:tc>
          <w:tcPr>
            <w:tcW w:w="569" w:type="dxa"/>
            <w:gridSpan w:val="3"/>
            <w:shd w:val="clear" w:color="auto" w:fill="FFFFFF"/>
          </w:tcPr>
          <w:p w14:paraId="704CBF9B" w14:textId="0873B8A3" w:rsidR="00780E8D" w:rsidRPr="00E42DF9" w:rsidRDefault="003475A0" w:rsidP="00780E8D">
            <w:pPr>
              <w:spacing w:line="240" w:lineRule="auto"/>
              <w:jc w:val="center"/>
              <w:rPr>
                <w:rFonts w:ascii="Times New Roman" w:hAnsi="Times New Roman"/>
                <w:color w:val="000000"/>
                <w:sz w:val="18"/>
                <w:szCs w:val="18"/>
              </w:rPr>
            </w:pPr>
            <w:r>
              <w:rPr>
                <w:rFonts w:ascii="Times New Roman" w:hAnsi="Times New Roman"/>
                <w:sz w:val="18"/>
                <w:szCs w:val="18"/>
              </w:rPr>
              <w:t>2,56</w:t>
            </w:r>
          </w:p>
        </w:tc>
        <w:tc>
          <w:tcPr>
            <w:tcW w:w="703" w:type="dxa"/>
            <w:gridSpan w:val="2"/>
            <w:shd w:val="clear" w:color="auto" w:fill="FFFFFF"/>
          </w:tcPr>
          <w:p w14:paraId="4B5F7EB7" w14:textId="5A7EED74" w:rsidR="00780E8D" w:rsidRPr="00E42DF9" w:rsidRDefault="003475A0" w:rsidP="00780E8D">
            <w:pPr>
              <w:spacing w:line="240" w:lineRule="auto"/>
              <w:jc w:val="center"/>
              <w:rPr>
                <w:rFonts w:ascii="Times New Roman" w:hAnsi="Times New Roman"/>
                <w:color w:val="000000"/>
                <w:sz w:val="18"/>
                <w:szCs w:val="18"/>
              </w:rPr>
            </w:pPr>
            <w:r>
              <w:rPr>
                <w:rFonts w:ascii="Times New Roman" w:hAnsi="Times New Roman"/>
                <w:sz w:val="18"/>
                <w:szCs w:val="18"/>
              </w:rPr>
              <w:t>2,69</w:t>
            </w:r>
          </w:p>
        </w:tc>
        <w:tc>
          <w:tcPr>
            <w:tcW w:w="709" w:type="dxa"/>
            <w:gridSpan w:val="2"/>
            <w:shd w:val="clear" w:color="auto" w:fill="FFFFFF"/>
          </w:tcPr>
          <w:p w14:paraId="298D116B" w14:textId="06A6AD5D" w:rsidR="00780E8D" w:rsidRPr="00E42DF9" w:rsidRDefault="003475A0" w:rsidP="00780E8D">
            <w:pPr>
              <w:spacing w:line="240" w:lineRule="auto"/>
              <w:jc w:val="center"/>
              <w:rPr>
                <w:rFonts w:ascii="Times New Roman" w:hAnsi="Times New Roman"/>
                <w:color w:val="000000"/>
                <w:sz w:val="18"/>
                <w:szCs w:val="18"/>
              </w:rPr>
            </w:pPr>
            <w:r>
              <w:rPr>
                <w:rFonts w:ascii="Times New Roman" w:hAnsi="Times New Roman"/>
                <w:sz w:val="18"/>
                <w:szCs w:val="18"/>
              </w:rPr>
              <w:t>2,84</w:t>
            </w:r>
          </w:p>
        </w:tc>
        <w:tc>
          <w:tcPr>
            <w:tcW w:w="708" w:type="dxa"/>
            <w:shd w:val="clear" w:color="auto" w:fill="FFFFFF"/>
          </w:tcPr>
          <w:p w14:paraId="23E1EEAB" w14:textId="43556EEC" w:rsidR="00780E8D" w:rsidRPr="00E42DF9" w:rsidRDefault="003475A0" w:rsidP="00780E8D">
            <w:pPr>
              <w:spacing w:line="240" w:lineRule="auto"/>
              <w:jc w:val="center"/>
              <w:rPr>
                <w:rFonts w:ascii="Times New Roman" w:hAnsi="Times New Roman"/>
                <w:color w:val="000000"/>
                <w:sz w:val="18"/>
                <w:szCs w:val="18"/>
              </w:rPr>
            </w:pPr>
            <w:r>
              <w:rPr>
                <w:rFonts w:ascii="Times New Roman" w:hAnsi="Times New Roman"/>
                <w:sz w:val="18"/>
                <w:szCs w:val="18"/>
              </w:rPr>
              <w:t>2,99</w:t>
            </w:r>
          </w:p>
        </w:tc>
        <w:tc>
          <w:tcPr>
            <w:tcW w:w="1137" w:type="dxa"/>
            <w:gridSpan w:val="2"/>
            <w:shd w:val="clear" w:color="auto" w:fill="FFFFFF"/>
          </w:tcPr>
          <w:p w14:paraId="2D8DE3D3" w14:textId="3F8D3F08" w:rsidR="00780E8D" w:rsidRPr="00E42DF9" w:rsidRDefault="003475A0" w:rsidP="00780E8D">
            <w:pPr>
              <w:spacing w:line="240" w:lineRule="auto"/>
              <w:jc w:val="center"/>
              <w:rPr>
                <w:rFonts w:ascii="Times New Roman" w:hAnsi="Times New Roman"/>
                <w:color w:val="000000"/>
                <w:sz w:val="18"/>
                <w:szCs w:val="18"/>
              </w:rPr>
            </w:pPr>
            <w:r>
              <w:rPr>
                <w:rFonts w:ascii="Times New Roman" w:hAnsi="Times New Roman"/>
                <w:sz w:val="18"/>
                <w:szCs w:val="18"/>
              </w:rPr>
              <w:t>24,03</w:t>
            </w:r>
          </w:p>
        </w:tc>
      </w:tr>
      <w:tr w:rsidR="00F135FD" w:rsidRPr="00A87B3A" w14:paraId="47C3A97C" w14:textId="77777777" w:rsidTr="007B2A24">
        <w:trPr>
          <w:trHeight w:val="351"/>
        </w:trPr>
        <w:tc>
          <w:tcPr>
            <w:tcW w:w="3133" w:type="dxa"/>
            <w:gridSpan w:val="4"/>
            <w:shd w:val="clear" w:color="auto" w:fill="FFFFFF"/>
            <w:vAlign w:val="center"/>
          </w:tcPr>
          <w:p w14:paraId="726990BB" w14:textId="77777777" w:rsidR="00F135FD" w:rsidRPr="00E42DF9" w:rsidRDefault="00F135FD" w:rsidP="00F135FD">
            <w:pPr>
              <w:spacing w:line="240" w:lineRule="auto"/>
              <w:rPr>
                <w:rFonts w:ascii="Times New Roman" w:hAnsi="Times New Roman"/>
                <w:color w:val="000000"/>
                <w:sz w:val="18"/>
                <w:szCs w:val="18"/>
              </w:rPr>
            </w:pPr>
            <w:r w:rsidRPr="00E42DF9">
              <w:rPr>
                <w:rFonts w:ascii="Times New Roman" w:hAnsi="Times New Roman"/>
                <w:color w:val="000000"/>
                <w:sz w:val="18"/>
                <w:szCs w:val="18"/>
              </w:rPr>
              <w:t>pozostałe jednostki (oddzielnie)</w:t>
            </w:r>
          </w:p>
        </w:tc>
        <w:tc>
          <w:tcPr>
            <w:tcW w:w="569" w:type="dxa"/>
            <w:gridSpan w:val="2"/>
            <w:shd w:val="clear" w:color="auto" w:fill="FFFFFF"/>
          </w:tcPr>
          <w:p w14:paraId="56E25A8E" w14:textId="250D51E6"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44B8E6E8" w14:textId="59CB1A6F"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7" w:type="dxa"/>
            <w:shd w:val="clear" w:color="auto" w:fill="FFFFFF"/>
          </w:tcPr>
          <w:p w14:paraId="047F2CA6" w14:textId="3178294A"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2" w:type="dxa"/>
            <w:gridSpan w:val="3"/>
            <w:shd w:val="clear" w:color="auto" w:fill="FFFFFF"/>
          </w:tcPr>
          <w:p w14:paraId="1DE09208" w14:textId="21A293B7"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4B4EF973" w14:textId="09F871C4"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shd w:val="clear" w:color="auto" w:fill="FFFFFF"/>
          </w:tcPr>
          <w:p w14:paraId="2FC481A0" w14:textId="460F2E17"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3"/>
            <w:shd w:val="clear" w:color="auto" w:fill="FFFFFF"/>
          </w:tcPr>
          <w:p w14:paraId="20ADB097" w14:textId="64FDC044"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9" w:type="dxa"/>
            <w:gridSpan w:val="3"/>
            <w:shd w:val="clear" w:color="auto" w:fill="FFFFFF"/>
          </w:tcPr>
          <w:p w14:paraId="425C660D" w14:textId="40318595"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3" w:type="dxa"/>
            <w:gridSpan w:val="2"/>
            <w:shd w:val="clear" w:color="auto" w:fill="FFFFFF"/>
          </w:tcPr>
          <w:p w14:paraId="6DC3C85A" w14:textId="5FD3CC1C"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9" w:type="dxa"/>
            <w:gridSpan w:val="2"/>
            <w:shd w:val="clear" w:color="auto" w:fill="FFFFFF"/>
          </w:tcPr>
          <w:p w14:paraId="0AEA176A" w14:textId="4A466639"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8" w:type="dxa"/>
            <w:shd w:val="clear" w:color="auto" w:fill="FFFFFF"/>
          </w:tcPr>
          <w:p w14:paraId="5190F494" w14:textId="0330B816"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1137" w:type="dxa"/>
            <w:gridSpan w:val="2"/>
            <w:shd w:val="clear" w:color="auto" w:fill="FFFFFF"/>
            <w:vAlign w:val="bottom"/>
          </w:tcPr>
          <w:p w14:paraId="4103BF03" w14:textId="127915E8" w:rsidR="00F135FD" w:rsidRPr="00E42DF9" w:rsidRDefault="00F135FD" w:rsidP="00EE6051">
            <w:pPr>
              <w:spacing w:line="240" w:lineRule="auto"/>
              <w:jc w:val="center"/>
              <w:rPr>
                <w:rFonts w:ascii="Times New Roman" w:hAnsi="Times New Roman"/>
                <w:color w:val="000000"/>
                <w:sz w:val="18"/>
                <w:szCs w:val="18"/>
              </w:rPr>
            </w:pPr>
            <w:r w:rsidRPr="0090695A">
              <w:t>-</w:t>
            </w:r>
          </w:p>
        </w:tc>
      </w:tr>
      <w:tr w:rsidR="001413D7" w:rsidRPr="00A87B3A" w14:paraId="2862AAE0" w14:textId="77777777" w:rsidTr="007B2A24">
        <w:trPr>
          <w:trHeight w:val="360"/>
        </w:trPr>
        <w:tc>
          <w:tcPr>
            <w:tcW w:w="3133" w:type="dxa"/>
            <w:gridSpan w:val="4"/>
            <w:shd w:val="clear" w:color="auto" w:fill="FFFFFF"/>
            <w:vAlign w:val="center"/>
          </w:tcPr>
          <w:p w14:paraId="3849DA41" w14:textId="77777777" w:rsidR="001413D7" w:rsidRPr="00E42DF9" w:rsidRDefault="001413D7" w:rsidP="001413D7">
            <w:pPr>
              <w:spacing w:line="240" w:lineRule="auto"/>
              <w:rPr>
                <w:rFonts w:ascii="Times New Roman" w:hAnsi="Times New Roman"/>
                <w:color w:val="000000"/>
                <w:sz w:val="18"/>
                <w:szCs w:val="18"/>
              </w:rPr>
            </w:pPr>
            <w:r w:rsidRPr="00E42DF9">
              <w:rPr>
                <w:rFonts w:ascii="Times New Roman" w:hAnsi="Times New Roman"/>
                <w:b/>
                <w:color w:val="000000"/>
                <w:sz w:val="18"/>
                <w:szCs w:val="18"/>
              </w:rPr>
              <w:t>Saldo ogółem</w:t>
            </w:r>
          </w:p>
        </w:tc>
        <w:tc>
          <w:tcPr>
            <w:tcW w:w="569" w:type="dxa"/>
            <w:gridSpan w:val="2"/>
            <w:shd w:val="clear" w:color="auto" w:fill="FFFFFF"/>
          </w:tcPr>
          <w:p w14:paraId="0446D226" w14:textId="199305E8" w:rsidR="001413D7" w:rsidRPr="00E42DF9" w:rsidRDefault="001413D7" w:rsidP="001413D7">
            <w:pPr>
              <w:spacing w:line="240" w:lineRule="auto"/>
              <w:jc w:val="center"/>
              <w:rPr>
                <w:rFonts w:ascii="Times New Roman" w:hAnsi="Times New Roman"/>
                <w:b/>
                <w:bCs/>
                <w:color w:val="000000"/>
                <w:sz w:val="18"/>
                <w:szCs w:val="18"/>
              </w:rPr>
            </w:pPr>
            <w:r w:rsidRPr="0090695A">
              <w:t>-</w:t>
            </w:r>
          </w:p>
        </w:tc>
        <w:tc>
          <w:tcPr>
            <w:tcW w:w="570" w:type="dxa"/>
            <w:gridSpan w:val="2"/>
            <w:tcBorders>
              <w:top w:val="nil"/>
              <w:left w:val="nil"/>
              <w:bottom w:val="single" w:sz="4" w:space="0" w:color="auto"/>
              <w:right w:val="single" w:sz="4" w:space="0" w:color="auto"/>
            </w:tcBorders>
            <w:shd w:val="clear" w:color="auto" w:fill="auto"/>
          </w:tcPr>
          <w:p w14:paraId="2BF8A9D0" w14:textId="33BB9AFB" w:rsidR="001413D7" w:rsidRPr="008A6112" w:rsidRDefault="001413D7" w:rsidP="001413D7">
            <w:pPr>
              <w:spacing w:line="240" w:lineRule="auto"/>
              <w:jc w:val="center"/>
              <w:rPr>
                <w:rFonts w:ascii="Times New Roman" w:hAnsi="Times New Roman"/>
                <w:b/>
                <w:bCs/>
                <w:color w:val="000000"/>
                <w:sz w:val="18"/>
                <w:szCs w:val="18"/>
              </w:rPr>
            </w:pPr>
            <w:r w:rsidRPr="008A6112">
              <w:rPr>
                <w:rFonts w:ascii="Times New Roman" w:hAnsi="Times New Roman"/>
                <w:b/>
                <w:bCs/>
                <w:sz w:val="18"/>
                <w:szCs w:val="18"/>
              </w:rPr>
              <w:t>-4,91</w:t>
            </w:r>
          </w:p>
        </w:tc>
        <w:tc>
          <w:tcPr>
            <w:tcW w:w="577" w:type="dxa"/>
            <w:tcBorders>
              <w:top w:val="nil"/>
              <w:left w:val="nil"/>
              <w:bottom w:val="single" w:sz="4" w:space="0" w:color="auto"/>
              <w:right w:val="single" w:sz="4" w:space="0" w:color="auto"/>
            </w:tcBorders>
            <w:shd w:val="clear" w:color="auto" w:fill="auto"/>
            <w:vAlign w:val="bottom"/>
          </w:tcPr>
          <w:p w14:paraId="7D975844" w14:textId="279A6943" w:rsidR="001413D7" w:rsidRPr="008A6112" w:rsidRDefault="001413D7" w:rsidP="001413D7">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-4,94</w:t>
            </w:r>
          </w:p>
        </w:tc>
        <w:tc>
          <w:tcPr>
            <w:tcW w:w="562" w:type="dxa"/>
            <w:gridSpan w:val="3"/>
            <w:tcBorders>
              <w:top w:val="nil"/>
              <w:left w:val="nil"/>
              <w:bottom w:val="single" w:sz="4" w:space="0" w:color="auto"/>
              <w:right w:val="single" w:sz="4" w:space="0" w:color="auto"/>
            </w:tcBorders>
            <w:shd w:val="clear" w:color="auto" w:fill="auto"/>
            <w:vAlign w:val="bottom"/>
          </w:tcPr>
          <w:p w14:paraId="32222263" w14:textId="28B7F3F1" w:rsidR="001413D7" w:rsidRPr="008A6112" w:rsidRDefault="001413D7" w:rsidP="001413D7">
            <w:pPr>
              <w:spacing w:line="240" w:lineRule="auto"/>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-5,</w:t>
            </w:r>
            <w:r w:rsidR="00483E26">
              <w:rPr>
                <w:rFonts w:ascii="Times New Roman" w:eastAsia="Times New Roman" w:hAnsi="Times New Roman"/>
                <w:b/>
                <w:bCs/>
                <w:color w:val="000000"/>
                <w:sz w:val="18"/>
                <w:szCs w:val="18"/>
                <w:lang w:eastAsia="pl-PL"/>
              </w:rPr>
              <w:t>20</w:t>
            </w:r>
          </w:p>
        </w:tc>
        <w:tc>
          <w:tcPr>
            <w:tcW w:w="570" w:type="dxa"/>
            <w:gridSpan w:val="2"/>
            <w:tcBorders>
              <w:top w:val="nil"/>
              <w:left w:val="nil"/>
              <w:bottom w:val="single" w:sz="4" w:space="0" w:color="auto"/>
              <w:right w:val="single" w:sz="4" w:space="0" w:color="auto"/>
            </w:tcBorders>
            <w:shd w:val="clear" w:color="auto" w:fill="auto"/>
            <w:vAlign w:val="bottom"/>
          </w:tcPr>
          <w:p w14:paraId="628E0934" w14:textId="34163CD1"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5,48</w:t>
            </w:r>
          </w:p>
        </w:tc>
        <w:tc>
          <w:tcPr>
            <w:tcW w:w="570" w:type="dxa"/>
            <w:tcBorders>
              <w:top w:val="nil"/>
              <w:left w:val="nil"/>
              <w:bottom w:val="single" w:sz="4" w:space="0" w:color="auto"/>
              <w:right w:val="single" w:sz="4" w:space="0" w:color="auto"/>
            </w:tcBorders>
            <w:shd w:val="clear" w:color="auto" w:fill="auto"/>
            <w:vAlign w:val="bottom"/>
          </w:tcPr>
          <w:p w14:paraId="7E03F68A" w14:textId="5427F6B7"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5,77</w:t>
            </w:r>
          </w:p>
        </w:tc>
        <w:tc>
          <w:tcPr>
            <w:tcW w:w="570" w:type="dxa"/>
            <w:gridSpan w:val="3"/>
            <w:tcBorders>
              <w:top w:val="nil"/>
              <w:left w:val="nil"/>
              <w:bottom w:val="single" w:sz="4" w:space="0" w:color="auto"/>
              <w:right w:val="single" w:sz="4" w:space="0" w:color="auto"/>
            </w:tcBorders>
            <w:shd w:val="clear" w:color="auto" w:fill="auto"/>
            <w:vAlign w:val="bottom"/>
          </w:tcPr>
          <w:p w14:paraId="7916067D" w14:textId="1C30ADB0"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6,07</w:t>
            </w:r>
          </w:p>
        </w:tc>
        <w:tc>
          <w:tcPr>
            <w:tcW w:w="569" w:type="dxa"/>
            <w:gridSpan w:val="3"/>
            <w:tcBorders>
              <w:top w:val="nil"/>
              <w:left w:val="nil"/>
              <w:bottom w:val="single" w:sz="4" w:space="0" w:color="auto"/>
              <w:right w:val="single" w:sz="4" w:space="0" w:color="auto"/>
            </w:tcBorders>
            <w:shd w:val="clear" w:color="auto" w:fill="auto"/>
            <w:vAlign w:val="bottom"/>
          </w:tcPr>
          <w:p w14:paraId="5D03DB13" w14:textId="1283FF4C"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6,40</w:t>
            </w:r>
          </w:p>
        </w:tc>
        <w:tc>
          <w:tcPr>
            <w:tcW w:w="703" w:type="dxa"/>
            <w:gridSpan w:val="2"/>
            <w:tcBorders>
              <w:top w:val="nil"/>
              <w:left w:val="nil"/>
              <w:bottom w:val="single" w:sz="4" w:space="0" w:color="auto"/>
              <w:right w:val="single" w:sz="4" w:space="0" w:color="auto"/>
            </w:tcBorders>
            <w:shd w:val="clear" w:color="auto" w:fill="auto"/>
            <w:vAlign w:val="bottom"/>
          </w:tcPr>
          <w:p w14:paraId="77F856DE" w14:textId="6CE5CF96"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6,73</w:t>
            </w:r>
          </w:p>
        </w:tc>
        <w:tc>
          <w:tcPr>
            <w:tcW w:w="709" w:type="dxa"/>
            <w:gridSpan w:val="2"/>
            <w:tcBorders>
              <w:top w:val="nil"/>
              <w:left w:val="nil"/>
              <w:bottom w:val="single" w:sz="4" w:space="0" w:color="auto"/>
              <w:right w:val="single" w:sz="4" w:space="0" w:color="auto"/>
            </w:tcBorders>
            <w:shd w:val="clear" w:color="auto" w:fill="auto"/>
            <w:vAlign w:val="bottom"/>
          </w:tcPr>
          <w:p w14:paraId="0D29833B" w14:textId="4759AA8C"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7,09</w:t>
            </w:r>
          </w:p>
        </w:tc>
        <w:tc>
          <w:tcPr>
            <w:tcW w:w="708" w:type="dxa"/>
            <w:tcBorders>
              <w:top w:val="nil"/>
              <w:left w:val="nil"/>
              <w:bottom w:val="single" w:sz="4" w:space="0" w:color="auto"/>
              <w:right w:val="single" w:sz="4" w:space="0" w:color="auto"/>
            </w:tcBorders>
            <w:shd w:val="clear" w:color="auto" w:fill="auto"/>
            <w:vAlign w:val="bottom"/>
          </w:tcPr>
          <w:p w14:paraId="0C9C1639" w14:textId="55F09CD7" w:rsidR="001413D7" w:rsidRPr="008A6112" w:rsidRDefault="001413D7" w:rsidP="001413D7">
            <w:pPr>
              <w:spacing w:line="240" w:lineRule="auto"/>
              <w:ind w:left="-102"/>
              <w:jc w:val="center"/>
              <w:rPr>
                <w:rFonts w:ascii="Times New Roman" w:hAnsi="Times New Roman"/>
                <w:b/>
                <w:bCs/>
                <w:color w:val="000000"/>
                <w:sz w:val="18"/>
                <w:szCs w:val="18"/>
              </w:rPr>
            </w:pPr>
            <w:r>
              <w:rPr>
                <w:rFonts w:ascii="Times New Roman" w:eastAsia="Times New Roman" w:hAnsi="Times New Roman"/>
                <w:b/>
                <w:bCs/>
                <w:color w:val="000000"/>
                <w:sz w:val="18"/>
                <w:szCs w:val="18"/>
                <w:lang w:eastAsia="pl-PL"/>
              </w:rPr>
              <w:t>-</w:t>
            </w:r>
            <w:r w:rsidR="00483E26">
              <w:rPr>
                <w:rFonts w:ascii="Times New Roman" w:eastAsia="Times New Roman" w:hAnsi="Times New Roman"/>
                <w:b/>
                <w:bCs/>
                <w:color w:val="000000"/>
                <w:sz w:val="18"/>
                <w:szCs w:val="18"/>
                <w:lang w:eastAsia="pl-PL"/>
              </w:rPr>
              <w:t>7,47</w:t>
            </w:r>
          </w:p>
        </w:tc>
        <w:tc>
          <w:tcPr>
            <w:tcW w:w="1137" w:type="dxa"/>
            <w:gridSpan w:val="2"/>
            <w:shd w:val="clear" w:color="auto" w:fill="FFFFFF"/>
            <w:vAlign w:val="bottom"/>
          </w:tcPr>
          <w:p w14:paraId="5B0D4D7D" w14:textId="3017F174" w:rsidR="001413D7" w:rsidRPr="00415A14" w:rsidRDefault="001413D7" w:rsidP="001413D7">
            <w:pPr>
              <w:spacing w:line="240" w:lineRule="auto"/>
              <w:jc w:val="center"/>
              <w:rPr>
                <w:rFonts w:ascii="Times New Roman" w:hAnsi="Times New Roman"/>
                <w:b/>
                <w:bCs/>
                <w:color w:val="000000"/>
                <w:sz w:val="18"/>
                <w:szCs w:val="18"/>
              </w:rPr>
            </w:pPr>
            <w:r>
              <w:rPr>
                <w:rFonts w:ascii="Times New Roman" w:hAnsi="Times New Roman"/>
                <w:b/>
                <w:bCs/>
                <w:sz w:val="18"/>
                <w:szCs w:val="18"/>
              </w:rPr>
              <w:t>-</w:t>
            </w:r>
            <w:r w:rsidR="00483E26">
              <w:rPr>
                <w:rFonts w:ascii="Times New Roman" w:hAnsi="Times New Roman"/>
                <w:b/>
                <w:bCs/>
                <w:sz w:val="18"/>
                <w:szCs w:val="18"/>
              </w:rPr>
              <w:t>60,07</w:t>
            </w:r>
          </w:p>
        </w:tc>
      </w:tr>
      <w:tr w:rsidR="001413D7" w:rsidRPr="00A87B3A" w14:paraId="651BF372" w14:textId="77777777" w:rsidTr="007B2A24">
        <w:trPr>
          <w:trHeight w:val="360"/>
        </w:trPr>
        <w:tc>
          <w:tcPr>
            <w:tcW w:w="3133" w:type="dxa"/>
            <w:gridSpan w:val="4"/>
            <w:shd w:val="clear" w:color="auto" w:fill="FFFFFF"/>
            <w:vAlign w:val="center"/>
          </w:tcPr>
          <w:p w14:paraId="6C420D84" w14:textId="77777777" w:rsidR="001413D7" w:rsidRPr="00E42DF9" w:rsidRDefault="001413D7" w:rsidP="001413D7">
            <w:pPr>
              <w:spacing w:line="240" w:lineRule="auto"/>
              <w:rPr>
                <w:rFonts w:ascii="Times New Roman" w:hAnsi="Times New Roman"/>
                <w:color w:val="000000"/>
                <w:sz w:val="18"/>
                <w:szCs w:val="18"/>
              </w:rPr>
            </w:pPr>
            <w:r w:rsidRPr="00E42DF9">
              <w:rPr>
                <w:rFonts w:ascii="Times New Roman" w:hAnsi="Times New Roman"/>
                <w:color w:val="000000"/>
                <w:sz w:val="18"/>
                <w:szCs w:val="18"/>
              </w:rPr>
              <w:t>budżet państwa</w:t>
            </w:r>
          </w:p>
        </w:tc>
        <w:tc>
          <w:tcPr>
            <w:tcW w:w="569" w:type="dxa"/>
            <w:gridSpan w:val="2"/>
            <w:shd w:val="clear" w:color="auto" w:fill="FFFFFF"/>
          </w:tcPr>
          <w:p w14:paraId="3D0D7F5C" w14:textId="5C8DF03C" w:rsidR="001413D7" w:rsidRPr="00E42DF9" w:rsidRDefault="001413D7" w:rsidP="001413D7">
            <w:pPr>
              <w:spacing w:line="240" w:lineRule="auto"/>
              <w:jc w:val="center"/>
              <w:rPr>
                <w:rFonts w:ascii="Times New Roman" w:hAnsi="Times New Roman"/>
                <w:color w:val="000000"/>
                <w:sz w:val="18"/>
                <w:szCs w:val="18"/>
              </w:rPr>
            </w:pPr>
            <w:r w:rsidRPr="0090695A">
              <w:t>-</w:t>
            </w:r>
          </w:p>
        </w:tc>
        <w:tc>
          <w:tcPr>
            <w:tcW w:w="570" w:type="dxa"/>
            <w:gridSpan w:val="2"/>
            <w:tcBorders>
              <w:top w:val="nil"/>
              <w:left w:val="nil"/>
              <w:bottom w:val="single" w:sz="4" w:space="0" w:color="auto"/>
              <w:right w:val="single" w:sz="4" w:space="0" w:color="auto"/>
            </w:tcBorders>
            <w:shd w:val="clear" w:color="auto" w:fill="auto"/>
          </w:tcPr>
          <w:p w14:paraId="49DBB062" w14:textId="00FD2328" w:rsidR="001413D7" w:rsidRPr="008A6112"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hAnsi="Times New Roman"/>
                <w:sz w:val="18"/>
                <w:szCs w:val="18"/>
              </w:rPr>
              <w:t>-4,91</w:t>
            </w:r>
          </w:p>
        </w:tc>
        <w:tc>
          <w:tcPr>
            <w:tcW w:w="577" w:type="dxa"/>
            <w:tcBorders>
              <w:top w:val="nil"/>
              <w:left w:val="nil"/>
              <w:bottom w:val="single" w:sz="4" w:space="0" w:color="auto"/>
              <w:right w:val="single" w:sz="4" w:space="0" w:color="auto"/>
            </w:tcBorders>
            <w:shd w:val="clear" w:color="auto" w:fill="auto"/>
            <w:vAlign w:val="bottom"/>
          </w:tcPr>
          <w:p w14:paraId="0C0A6FC7" w14:textId="249399DC"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-4,94</w:t>
            </w:r>
          </w:p>
        </w:tc>
        <w:tc>
          <w:tcPr>
            <w:tcW w:w="562" w:type="dxa"/>
            <w:gridSpan w:val="3"/>
            <w:tcBorders>
              <w:top w:val="nil"/>
              <w:left w:val="nil"/>
              <w:bottom w:val="single" w:sz="4" w:space="0" w:color="auto"/>
              <w:right w:val="single" w:sz="4" w:space="0" w:color="auto"/>
            </w:tcBorders>
            <w:shd w:val="clear" w:color="auto" w:fill="auto"/>
            <w:vAlign w:val="bottom"/>
          </w:tcPr>
          <w:p w14:paraId="076EE669" w14:textId="2196B5BA"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-5,</w:t>
            </w:r>
            <w:r w:rsidR="00483E26">
              <w:rPr>
                <w:rFonts w:ascii="Times New Roman" w:eastAsia="Times New Roman" w:hAnsi="Times New Roman"/>
                <w:color w:val="000000"/>
                <w:sz w:val="18"/>
                <w:szCs w:val="18"/>
                <w:lang w:eastAsia="pl-PL"/>
              </w:rPr>
              <w:t>20</w:t>
            </w:r>
          </w:p>
        </w:tc>
        <w:tc>
          <w:tcPr>
            <w:tcW w:w="570" w:type="dxa"/>
            <w:gridSpan w:val="2"/>
            <w:tcBorders>
              <w:top w:val="nil"/>
              <w:left w:val="nil"/>
              <w:bottom w:val="single" w:sz="4" w:space="0" w:color="auto"/>
              <w:right w:val="single" w:sz="4" w:space="0" w:color="auto"/>
            </w:tcBorders>
            <w:shd w:val="clear" w:color="auto" w:fill="auto"/>
            <w:vAlign w:val="bottom"/>
          </w:tcPr>
          <w:p w14:paraId="4489F7B3" w14:textId="2DC65818"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5,48</w:t>
            </w:r>
          </w:p>
        </w:tc>
        <w:tc>
          <w:tcPr>
            <w:tcW w:w="570" w:type="dxa"/>
            <w:tcBorders>
              <w:top w:val="nil"/>
              <w:left w:val="nil"/>
              <w:bottom w:val="single" w:sz="4" w:space="0" w:color="auto"/>
              <w:right w:val="single" w:sz="4" w:space="0" w:color="auto"/>
            </w:tcBorders>
            <w:shd w:val="clear" w:color="auto" w:fill="auto"/>
            <w:vAlign w:val="bottom"/>
          </w:tcPr>
          <w:p w14:paraId="7BF078A6" w14:textId="2D2E5B0D"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5,77</w:t>
            </w:r>
          </w:p>
        </w:tc>
        <w:tc>
          <w:tcPr>
            <w:tcW w:w="570" w:type="dxa"/>
            <w:gridSpan w:val="3"/>
            <w:tcBorders>
              <w:top w:val="nil"/>
              <w:left w:val="nil"/>
              <w:bottom w:val="single" w:sz="4" w:space="0" w:color="auto"/>
              <w:right w:val="single" w:sz="4" w:space="0" w:color="auto"/>
            </w:tcBorders>
            <w:shd w:val="clear" w:color="auto" w:fill="auto"/>
            <w:vAlign w:val="bottom"/>
          </w:tcPr>
          <w:p w14:paraId="5351645A" w14:textId="6667BC64"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6,07</w:t>
            </w:r>
          </w:p>
        </w:tc>
        <w:tc>
          <w:tcPr>
            <w:tcW w:w="569" w:type="dxa"/>
            <w:gridSpan w:val="3"/>
            <w:tcBorders>
              <w:top w:val="nil"/>
              <w:left w:val="nil"/>
              <w:bottom w:val="single" w:sz="4" w:space="0" w:color="auto"/>
              <w:right w:val="single" w:sz="4" w:space="0" w:color="auto"/>
            </w:tcBorders>
            <w:shd w:val="clear" w:color="auto" w:fill="auto"/>
            <w:vAlign w:val="bottom"/>
          </w:tcPr>
          <w:p w14:paraId="7483A7D6" w14:textId="34B32AC9"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6,40</w:t>
            </w:r>
          </w:p>
        </w:tc>
        <w:tc>
          <w:tcPr>
            <w:tcW w:w="703" w:type="dxa"/>
            <w:gridSpan w:val="2"/>
            <w:tcBorders>
              <w:top w:val="nil"/>
              <w:left w:val="nil"/>
              <w:bottom w:val="single" w:sz="4" w:space="0" w:color="auto"/>
              <w:right w:val="single" w:sz="4" w:space="0" w:color="auto"/>
            </w:tcBorders>
            <w:shd w:val="clear" w:color="auto" w:fill="auto"/>
            <w:vAlign w:val="bottom"/>
          </w:tcPr>
          <w:p w14:paraId="79CAA018" w14:textId="587D2E6B"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6,73</w:t>
            </w:r>
          </w:p>
        </w:tc>
        <w:tc>
          <w:tcPr>
            <w:tcW w:w="709" w:type="dxa"/>
            <w:gridSpan w:val="2"/>
            <w:tcBorders>
              <w:top w:val="nil"/>
              <w:left w:val="nil"/>
              <w:bottom w:val="single" w:sz="4" w:space="0" w:color="auto"/>
              <w:right w:val="single" w:sz="4" w:space="0" w:color="auto"/>
            </w:tcBorders>
            <w:shd w:val="clear" w:color="auto" w:fill="auto"/>
            <w:vAlign w:val="bottom"/>
          </w:tcPr>
          <w:p w14:paraId="6D6CB386" w14:textId="556AB110"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7,09</w:t>
            </w:r>
          </w:p>
        </w:tc>
        <w:tc>
          <w:tcPr>
            <w:tcW w:w="708" w:type="dxa"/>
            <w:tcBorders>
              <w:top w:val="nil"/>
              <w:left w:val="nil"/>
              <w:bottom w:val="single" w:sz="4" w:space="0" w:color="auto"/>
              <w:right w:val="single" w:sz="4" w:space="0" w:color="auto"/>
            </w:tcBorders>
            <w:shd w:val="clear" w:color="auto" w:fill="auto"/>
            <w:vAlign w:val="bottom"/>
          </w:tcPr>
          <w:p w14:paraId="7E3010CA" w14:textId="791785C1" w:rsidR="001413D7" w:rsidRPr="001413D7" w:rsidRDefault="001413D7" w:rsidP="001413D7">
            <w:pPr>
              <w:spacing w:line="240" w:lineRule="auto"/>
              <w:ind w:left="-234" w:firstLine="142"/>
              <w:jc w:val="center"/>
              <w:rPr>
                <w:rFonts w:ascii="Times New Roman" w:hAnsi="Times New Roman"/>
                <w:color w:val="000000"/>
                <w:sz w:val="18"/>
                <w:szCs w:val="18"/>
              </w:rPr>
            </w:pPr>
            <w:r w:rsidRPr="001413D7">
              <w:rPr>
                <w:rFonts w:ascii="Times New Roman" w:eastAsia="Times New Roman" w:hAnsi="Times New Roman"/>
                <w:color w:val="000000"/>
                <w:sz w:val="18"/>
                <w:szCs w:val="18"/>
                <w:lang w:eastAsia="pl-PL"/>
              </w:rPr>
              <w:t>-</w:t>
            </w:r>
            <w:r w:rsidR="00483E26">
              <w:rPr>
                <w:rFonts w:ascii="Times New Roman" w:eastAsia="Times New Roman" w:hAnsi="Times New Roman"/>
                <w:color w:val="000000"/>
                <w:sz w:val="18"/>
                <w:szCs w:val="18"/>
                <w:lang w:eastAsia="pl-PL"/>
              </w:rPr>
              <w:t>7,47</w:t>
            </w:r>
          </w:p>
        </w:tc>
        <w:tc>
          <w:tcPr>
            <w:tcW w:w="1137" w:type="dxa"/>
            <w:gridSpan w:val="2"/>
            <w:shd w:val="clear" w:color="auto" w:fill="FFFFFF"/>
            <w:vAlign w:val="bottom"/>
          </w:tcPr>
          <w:p w14:paraId="150111FE" w14:textId="1673403E" w:rsidR="001413D7" w:rsidRPr="001413D7" w:rsidRDefault="001413D7" w:rsidP="001413D7">
            <w:pPr>
              <w:spacing w:line="240" w:lineRule="auto"/>
              <w:jc w:val="center"/>
              <w:rPr>
                <w:rFonts w:ascii="Times New Roman" w:hAnsi="Times New Roman"/>
                <w:color w:val="000000"/>
                <w:sz w:val="18"/>
                <w:szCs w:val="18"/>
              </w:rPr>
            </w:pPr>
            <w:r w:rsidRPr="001413D7">
              <w:rPr>
                <w:rFonts w:ascii="Times New Roman" w:hAnsi="Times New Roman"/>
                <w:sz w:val="18"/>
                <w:szCs w:val="18"/>
              </w:rPr>
              <w:t>-</w:t>
            </w:r>
            <w:r w:rsidR="00483E26">
              <w:rPr>
                <w:rFonts w:ascii="Times New Roman" w:hAnsi="Times New Roman"/>
                <w:sz w:val="18"/>
                <w:szCs w:val="18"/>
              </w:rPr>
              <w:t>60,07</w:t>
            </w:r>
          </w:p>
        </w:tc>
      </w:tr>
      <w:tr w:rsidR="00BB45E6" w:rsidRPr="00A87B3A" w14:paraId="351D6B19" w14:textId="77777777" w:rsidTr="007B2A24">
        <w:trPr>
          <w:trHeight w:val="357"/>
        </w:trPr>
        <w:tc>
          <w:tcPr>
            <w:tcW w:w="3133" w:type="dxa"/>
            <w:gridSpan w:val="4"/>
            <w:shd w:val="clear" w:color="auto" w:fill="FFFFFF"/>
            <w:vAlign w:val="center"/>
          </w:tcPr>
          <w:p w14:paraId="7C5742C3" w14:textId="77777777" w:rsidR="00BB45E6" w:rsidRPr="00E42DF9" w:rsidRDefault="00BB45E6" w:rsidP="00BB45E6">
            <w:pPr>
              <w:spacing w:line="240" w:lineRule="auto"/>
              <w:rPr>
                <w:rFonts w:ascii="Times New Roman" w:hAnsi="Times New Roman"/>
                <w:color w:val="000000"/>
                <w:sz w:val="18"/>
                <w:szCs w:val="18"/>
              </w:rPr>
            </w:pPr>
            <w:r w:rsidRPr="00E42DF9">
              <w:rPr>
                <w:rFonts w:ascii="Times New Roman" w:hAnsi="Times New Roman"/>
                <w:color w:val="000000"/>
                <w:sz w:val="18"/>
                <w:szCs w:val="18"/>
              </w:rPr>
              <w:t>JST</w:t>
            </w:r>
          </w:p>
        </w:tc>
        <w:tc>
          <w:tcPr>
            <w:tcW w:w="569" w:type="dxa"/>
            <w:gridSpan w:val="2"/>
            <w:shd w:val="clear" w:color="auto" w:fill="FFFFFF"/>
          </w:tcPr>
          <w:p w14:paraId="3AA937B0" w14:textId="39669E05" w:rsidR="00BB45E6" w:rsidRPr="00E42DF9" w:rsidRDefault="00BB45E6" w:rsidP="00BB45E6">
            <w:pPr>
              <w:spacing w:line="240" w:lineRule="auto"/>
              <w:jc w:val="center"/>
              <w:rPr>
                <w:rFonts w:ascii="Times New Roman" w:hAnsi="Times New Roman"/>
                <w:color w:val="000000"/>
                <w:sz w:val="18"/>
                <w:szCs w:val="18"/>
              </w:rPr>
            </w:pPr>
            <w:r w:rsidRPr="0090695A">
              <w:t>-</w:t>
            </w:r>
          </w:p>
        </w:tc>
        <w:tc>
          <w:tcPr>
            <w:tcW w:w="570" w:type="dxa"/>
            <w:gridSpan w:val="2"/>
            <w:tcBorders>
              <w:top w:val="nil"/>
              <w:left w:val="nil"/>
              <w:bottom w:val="single" w:sz="4" w:space="0" w:color="auto"/>
              <w:right w:val="single" w:sz="4" w:space="0" w:color="auto"/>
            </w:tcBorders>
            <w:shd w:val="clear" w:color="auto" w:fill="auto"/>
            <w:vAlign w:val="bottom"/>
          </w:tcPr>
          <w:p w14:paraId="08CA36BA" w14:textId="4A0982C6" w:rsidR="00BB45E6" w:rsidRPr="0071789D" w:rsidRDefault="0071789D" w:rsidP="0071789D">
            <w:pPr>
              <w:spacing w:line="240" w:lineRule="auto"/>
              <w:jc w:val="center"/>
              <w:rPr>
                <w:rFonts w:ascii="Times New Roman" w:hAnsi="Times New Roman"/>
                <w:color w:val="000000"/>
                <w:sz w:val="18"/>
                <w:szCs w:val="18"/>
              </w:rPr>
            </w:pPr>
            <w:r w:rsidRPr="006E4DFC">
              <w:rPr>
                <w:rFonts w:ascii="Times New Roman" w:hAnsi="Times New Roman"/>
                <w:sz w:val="18"/>
                <w:szCs w:val="18"/>
              </w:rPr>
              <w:t>0</w:t>
            </w:r>
          </w:p>
        </w:tc>
        <w:tc>
          <w:tcPr>
            <w:tcW w:w="577" w:type="dxa"/>
            <w:tcBorders>
              <w:top w:val="nil"/>
              <w:left w:val="nil"/>
              <w:bottom w:val="single" w:sz="4" w:space="0" w:color="auto"/>
              <w:right w:val="single" w:sz="4" w:space="0" w:color="auto"/>
            </w:tcBorders>
            <w:shd w:val="clear" w:color="auto" w:fill="auto"/>
            <w:vAlign w:val="bottom"/>
          </w:tcPr>
          <w:p w14:paraId="50A2449A" w14:textId="69EAC802" w:rsidR="00BB45E6" w:rsidRPr="0071789D" w:rsidRDefault="0071789D" w:rsidP="0071789D">
            <w:pPr>
              <w:spacing w:line="240" w:lineRule="auto"/>
              <w:jc w:val="center"/>
              <w:rPr>
                <w:rFonts w:ascii="Times New Roman" w:hAnsi="Times New Roman"/>
                <w:color w:val="000000"/>
                <w:sz w:val="18"/>
                <w:szCs w:val="18"/>
              </w:rPr>
            </w:pPr>
            <w:r w:rsidRPr="006E4DFC">
              <w:rPr>
                <w:rFonts w:ascii="Times New Roman" w:hAnsi="Times New Roman"/>
                <w:sz w:val="18"/>
                <w:szCs w:val="18"/>
              </w:rPr>
              <w:t>0</w:t>
            </w:r>
          </w:p>
        </w:tc>
        <w:tc>
          <w:tcPr>
            <w:tcW w:w="562" w:type="dxa"/>
            <w:gridSpan w:val="3"/>
            <w:tcBorders>
              <w:top w:val="nil"/>
              <w:left w:val="nil"/>
              <w:bottom w:val="single" w:sz="4" w:space="0" w:color="auto"/>
              <w:right w:val="single" w:sz="4" w:space="0" w:color="auto"/>
            </w:tcBorders>
            <w:shd w:val="clear" w:color="auto" w:fill="auto"/>
            <w:vAlign w:val="bottom"/>
          </w:tcPr>
          <w:p w14:paraId="7C2EA946" w14:textId="6F07EC03" w:rsidR="00BB45E6" w:rsidRPr="0071789D" w:rsidRDefault="0071789D" w:rsidP="0071789D">
            <w:pPr>
              <w:spacing w:line="240" w:lineRule="auto"/>
              <w:jc w:val="center"/>
              <w:rPr>
                <w:rFonts w:ascii="Times New Roman" w:hAnsi="Times New Roman"/>
                <w:color w:val="000000"/>
                <w:sz w:val="18"/>
                <w:szCs w:val="18"/>
              </w:rPr>
            </w:pPr>
            <w:r w:rsidRPr="006E4DFC">
              <w:rPr>
                <w:rFonts w:ascii="Times New Roman" w:hAnsi="Times New Roman"/>
                <w:sz w:val="18"/>
                <w:szCs w:val="18"/>
              </w:rPr>
              <w:t>0</w:t>
            </w:r>
          </w:p>
        </w:tc>
        <w:tc>
          <w:tcPr>
            <w:tcW w:w="570" w:type="dxa"/>
            <w:gridSpan w:val="2"/>
            <w:tcBorders>
              <w:top w:val="nil"/>
              <w:left w:val="nil"/>
              <w:bottom w:val="single" w:sz="4" w:space="0" w:color="auto"/>
              <w:right w:val="single" w:sz="4" w:space="0" w:color="auto"/>
            </w:tcBorders>
            <w:shd w:val="clear" w:color="auto" w:fill="auto"/>
            <w:vAlign w:val="bottom"/>
          </w:tcPr>
          <w:p w14:paraId="2520E0C3" w14:textId="1DF60F86" w:rsidR="00BB45E6" w:rsidRPr="0071789D" w:rsidRDefault="0071789D" w:rsidP="0071789D">
            <w:pPr>
              <w:spacing w:line="240" w:lineRule="auto"/>
              <w:ind w:left="-102"/>
              <w:jc w:val="center"/>
              <w:rPr>
                <w:rFonts w:ascii="Times New Roman" w:hAnsi="Times New Roman"/>
                <w:color w:val="000000"/>
                <w:sz w:val="18"/>
                <w:szCs w:val="18"/>
              </w:rPr>
            </w:pPr>
            <w:r w:rsidRPr="006E4DFC">
              <w:rPr>
                <w:rFonts w:ascii="Times New Roman" w:hAnsi="Times New Roman"/>
                <w:sz w:val="18"/>
                <w:szCs w:val="18"/>
              </w:rPr>
              <w:t>0</w:t>
            </w:r>
          </w:p>
        </w:tc>
        <w:tc>
          <w:tcPr>
            <w:tcW w:w="570" w:type="dxa"/>
            <w:tcBorders>
              <w:top w:val="nil"/>
              <w:left w:val="nil"/>
              <w:bottom w:val="single" w:sz="4" w:space="0" w:color="auto"/>
              <w:right w:val="single" w:sz="4" w:space="0" w:color="auto"/>
            </w:tcBorders>
            <w:shd w:val="clear" w:color="auto" w:fill="auto"/>
            <w:vAlign w:val="bottom"/>
          </w:tcPr>
          <w:p w14:paraId="795B55E7" w14:textId="03BE58D5" w:rsidR="00BB45E6" w:rsidRPr="0071789D" w:rsidRDefault="0071789D" w:rsidP="0071789D">
            <w:pPr>
              <w:spacing w:line="240" w:lineRule="auto"/>
              <w:ind w:left="-102"/>
              <w:jc w:val="center"/>
              <w:rPr>
                <w:rFonts w:ascii="Times New Roman" w:hAnsi="Times New Roman"/>
                <w:color w:val="000000"/>
                <w:sz w:val="18"/>
                <w:szCs w:val="18"/>
              </w:rPr>
            </w:pPr>
            <w:r w:rsidRPr="0071789D">
              <w:rPr>
                <w:rFonts w:ascii="Times New Roman" w:hAnsi="Times New Roman"/>
                <w:sz w:val="18"/>
                <w:szCs w:val="18"/>
              </w:rPr>
              <w:t>0</w:t>
            </w:r>
          </w:p>
        </w:tc>
        <w:tc>
          <w:tcPr>
            <w:tcW w:w="570" w:type="dxa"/>
            <w:gridSpan w:val="3"/>
            <w:tcBorders>
              <w:top w:val="nil"/>
              <w:left w:val="nil"/>
              <w:bottom w:val="single" w:sz="4" w:space="0" w:color="auto"/>
              <w:right w:val="single" w:sz="4" w:space="0" w:color="auto"/>
            </w:tcBorders>
            <w:shd w:val="clear" w:color="auto" w:fill="auto"/>
            <w:vAlign w:val="bottom"/>
          </w:tcPr>
          <w:p w14:paraId="3FFB808B" w14:textId="38628BFE" w:rsidR="00BB45E6" w:rsidRPr="0071789D" w:rsidRDefault="0071789D" w:rsidP="0071789D">
            <w:pPr>
              <w:spacing w:line="240" w:lineRule="auto"/>
              <w:ind w:left="-102"/>
              <w:jc w:val="center"/>
              <w:rPr>
                <w:rFonts w:ascii="Times New Roman" w:hAnsi="Times New Roman"/>
                <w:color w:val="000000"/>
                <w:sz w:val="18"/>
                <w:szCs w:val="18"/>
              </w:rPr>
            </w:pPr>
            <w:r w:rsidRPr="0071789D">
              <w:rPr>
                <w:rFonts w:ascii="Times New Roman" w:hAnsi="Times New Roman"/>
                <w:sz w:val="18"/>
                <w:szCs w:val="18"/>
              </w:rPr>
              <w:t>0</w:t>
            </w:r>
          </w:p>
        </w:tc>
        <w:tc>
          <w:tcPr>
            <w:tcW w:w="569" w:type="dxa"/>
            <w:gridSpan w:val="3"/>
            <w:tcBorders>
              <w:top w:val="nil"/>
              <w:left w:val="nil"/>
              <w:bottom w:val="single" w:sz="4" w:space="0" w:color="auto"/>
              <w:right w:val="single" w:sz="4" w:space="0" w:color="auto"/>
            </w:tcBorders>
            <w:shd w:val="clear" w:color="auto" w:fill="auto"/>
            <w:vAlign w:val="bottom"/>
          </w:tcPr>
          <w:p w14:paraId="2E7F37A1" w14:textId="37A153FC" w:rsidR="00BB45E6" w:rsidRPr="0071789D" w:rsidRDefault="0071789D" w:rsidP="0071789D">
            <w:pPr>
              <w:spacing w:line="240" w:lineRule="auto"/>
              <w:ind w:left="-102"/>
              <w:jc w:val="center"/>
              <w:rPr>
                <w:rFonts w:ascii="Times New Roman" w:hAnsi="Times New Roman"/>
                <w:color w:val="000000"/>
                <w:sz w:val="18"/>
                <w:szCs w:val="18"/>
              </w:rPr>
            </w:pPr>
            <w:r w:rsidRPr="0071789D">
              <w:rPr>
                <w:rFonts w:ascii="Times New Roman" w:hAnsi="Times New Roman"/>
                <w:sz w:val="18"/>
                <w:szCs w:val="18"/>
              </w:rPr>
              <w:t>0</w:t>
            </w:r>
          </w:p>
        </w:tc>
        <w:tc>
          <w:tcPr>
            <w:tcW w:w="703" w:type="dxa"/>
            <w:gridSpan w:val="2"/>
            <w:tcBorders>
              <w:top w:val="nil"/>
              <w:left w:val="nil"/>
              <w:bottom w:val="single" w:sz="4" w:space="0" w:color="auto"/>
              <w:right w:val="single" w:sz="4" w:space="0" w:color="auto"/>
            </w:tcBorders>
            <w:shd w:val="clear" w:color="auto" w:fill="auto"/>
            <w:vAlign w:val="bottom"/>
          </w:tcPr>
          <w:p w14:paraId="6185DAE0" w14:textId="431FB3AD" w:rsidR="00BB45E6" w:rsidRPr="0071789D" w:rsidRDefault="0071789D" w:rsidP="0071789D">
            <w:pPr>
              <w:spacing w:line="240" w:lineRule="auto"/>
              <w:ind w:left="-102"/>
              <w:jc w:val="center"/>
              <w:rPr>
                <w:rFonts w:ascii="Times New Roman" w:hAnsi="Times New Roman"/>
                <w:color w:val="000000"/>
                <w:sz w:val="18"/>
                <w:szCs w:val="18"/>
              </w:rPr>
            </w:pPr>
            <w:r w:rsidRPr="0071789D">
              <w:rPr>
                <w:rFonts w:ascii="Times New Roman" w:hAnsi="Times New Roman"/>
                <w:sz w:val="18"/>
                <w:szCs w:val="18"/>
              </w:rPr>
              <w:t>0</w:t>
            </w:r>
          </w:p>
        </w:tc>
        <w:tc>
          <w:tcPr>
            <w:tcW w:w="709" w:type="dxa"/>
            <w:gridSpan w:val="2"/>
            <w:tcBorders>
              <w:top w:val="nil"/>
              <w:left w:val="nil"/>
              <w:bottom w:val="single" w:sz="4" w:space="0" w:color="auto"/>
              <w:right w:val="single" w:sz="4" w:space="0" w:color="auto"/>
            </w:tcBorders>
            <w:shd w:val="clear" w:color="auto" w:fill="auto"/>
            <w:vAlign w:val="bottom"/>
          </w:tcPr>
          <w:p w14:paraId="672AB6D6" w14:textId="323CD87A" w:rsidR="00BB45E6" w:rsidRPr="0071789D" w:rsidRDefault="0071789D" w:rsidP="0071789D">
            <w:pPr>
              <w:spacing w:line="240" w:lineRule="auto"/>
              <w:ind w:left="-102"/>
              <w:jc w:val="center"/>
              <w:rPr>
                <w:rFonts w:ascii="Times New Roman" w:hAnsi="Times New Roman"/>
                <w:color w:val="000000"/>
                <w:sz w:val="18"/>
                <w:szCs w:val="18"/>
              </w:rPr>
            </w:pPr>
            <w:r w:rsidRPr="0071789D">
              <w:rPr>
                <w:rFonts w:ascii="Times New Roman" w:hAnsi="Times New Roman"/>
                <w:sz w:val="18"/>
                <w:szCs w:val="18"/>
              </w:rPr>
              <w:t>0</w:t>
            </w:r>
          </w:p>
        </w:tc>
        <w:tc>
          <w:tcPr>
            <w:tcW w:w="708" w:type="dxa"/>
            <w:tcBorders>
              <w:top w:val="nil"/>
              <w:left w:val="nil"/>
              <w:bottom w:val="single" w:sz="4" w:space="0" w:color="auto"/>
              <w:right w:val="single" w:sz="4" w:space="0" w:color="auto"/>
            </w:tcBorders>
            <w:shd w:val="clear" w:color="auto" w:fill="auto"/>
            <w:vAlign w:val="bottom"/>
          </w:tcPr>
          <w:p w14:paraId="6CB52C6C" w14:textId="634997FC" w:rsidR="00BB45E6" w:rsidRPr="0071789D" w:rsidRDefault="0071789D" w:rsidP="0071789D">
            <w:pPr>
              <w:spacing w:line="240" w:lineRule="auto"/>
              <w:ind w:left="-102"/>
              <w:jc w:val="center"/>
              <w:rPr>
                <w:rFonts w:ascii="Times New Roman" w:hAnsi="Times New Roman"/>
                <w:color w:val="000000"/>
                <w:sz w:val="18"/>
                <w:szCs w:val="18"/>
              </w:rPr>
            </w:pPr>
            <w:r w:rsidRPr="0071789D">
              <w:rPr>
                <w:rFonts w:ascii="Times New Roman" w:hAnsi="Times New Roman"/>
                <w:sz w:val="18"/>
                <w:szCs w:val="18"/>
              </w:rPr>
              <w:t>0</w:t>
            </w:r>
          </w:p>
        </w:tc>
        <w:tc>
          <w:tcPr>
            <w:tcW w:w="1137" w:type="dxa"/>
            <w:gridSpan w:val="2"/>
            <w:shd w:val="clear" w:color="auto" w:fill="FFFFFF"/>
            <w:vAlign w:val="bottom"/>
          </w:tcPr>
          <w:p w14:paraId="7D760EA9" w14:textId="19588C52" w:rsidR="00BB45E6" w:rsidRPr="0071789D" w:rsidRDefault="0071789D" w:rsidP="0071789D">
            <w:pPr>
              <w:spacing w:line="240" w:lineRule="auto"/>
              <w:jc w:val="center"/>
              <w:rPr>
                <w:rFonts w:ascii="Times New Roman" w:hAnsi="Times New Roman"/>
                <w:color w:val="000000"/>
                <w:sz w:val="18"/>
                <w:szCs w:val="18"/>
              </w:rPr>
            </w:pPr>
            <w:r w:rsidRPr="0071789D">
              <w:rPr>
                <w:rFonts w:ascii="Times New Roman" w:hAnsi="Times New Roman"/>
                <w:sz w:val="18"/>
                <w:szCs w:val="18"/>
              </w:rPr>
              <w:t>0</w:t>
            </w:r>
          </w:p>
        </w:tc>
      </w:tr>
      <w:tr w:rsidR="00F135FD" w:rsidRPr="00A87B3A" w14:paraId="7FC2FE31" w14:textId="77777777" w:rsidTr="007B2A24">
        <w:trPr>
          <w:trHeight w:val="357"/>
        </w:trPr>
        <w:tc>
          <w:tcPr>
            <w:tcW w:w="3133" w:type="dxa"/>
            <w:gridSpan w:val="4"/>
            <w:shd w:val="clear" w:color="auto" w:fill="FFFFFF"/>
            <w:vAlign w:val="center"/>
          </w:tcPr>
          <w:p w14:paraId="44A261BE" w14:textId="77777777" w:rsidR="00F135FD" w:rsidRPr="00E42DF9" w:rsidRDefault="00F135FD" w:rsidP="00F135FD">
            <w:pPr>
              <w:spacing w:line="240" w:lineRule="auto"/>
              <w:rPr>
                <w:rFonts w:ascii="Times New Roman" w:hAnsi="Times New Roman"/>
                <w:color w:val="000000"/>
                <w:sz w:val="18"/>
                <w:szCs w:val="18"/>
              </w:rPr>
            </w:pPr>
            <w:r w:rsidRPr="00E42DF9">
              <w:rPr>
                <w:rFonts w:ascii="Times New Roman" w:hAnsi="Times New Roman"/>
                <w:color w:val="000000"/>
                <w:sz w:val="18"/>
                <w:szCs w:val="18"/>
              </w:rPr>
              <w:t>pozostałe jednostki (oddzielnie)</w:t>
            </w:r>
          </w:p>
        </w:tc>
        <w:tc>
          <w:tcPr>
            <w:tcW w:w="569" w:type="dxa"/>
            <w:gridSpan w:val="2"/>
            <w:shd w:val="clear" w:color="auto" w:fill="FFFFFF"/>
          </w:tcPr>
          <w:p w14:paraId="248C90B0" w14:textId="61D2F202"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3F978189" w14:textId="7F04D7BF"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7" w:type="dxa"/>
            <w:shd w:val="clear" w:color="auto" w:fill="FFFFFF"/>
          </w:tcPr>
          <w:p w14:paraId="32513731" w14:textId="5B085FC2"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2" w:type="dxa"/>
            <w:gridSpan w:val="3"/>
            <w:shd w:val="clear" w:color="auto" w:fill="FFFFFF"/>
          </w:tcPr>
          <w:p w14:paraId="70BF2525" w14:textId="3F4457BB"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2"/>
            <w:shd w:val="clear" w:color="auto" w:fill="FFFFFF"/>
          </w:tcPr>
          <w:p w14:paraId="7000EE2E" w14:textId="12ECDC05"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shd w:val="clear" w:color="auto" w:fill="FFFFFF"/>
          </w:tcPr>
          <w:p w14:paraId="6EBE50B8" w14:textId="4E2C3E00"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70" w:type="dxa"/>
            <w:gridSpan w:val="3"/>
            <w:shd w:val="clear" w:color="auto" w:fill="FFFFFF"/>
          </w:tcPr>
          <w:p w14:paraId="162BA659" w14:textId="261FEF4B"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569" w:type="dxa"/>
            <w:gridSpan w:val="3"/>
            <w:shd w:val="clear" w:color="auto" w:fill="FFFFFF"/>
          </w:tcPr>
          <w:p w14:paraId="23994F6B" w14:textId="56DA8107"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3" w:type="dxa"/>
            <w:gridSpan w:val="2"/>
            <w:shd w:val="clear" w:color="auto" w:fill="FFFFFF"/>
          </w:tcPr>
          <w:p w14:paraId="4B88805B" w14:textId="452329B7"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9" w:type="dxa"/>
            <w:gridSpan w:val="2"/>
            <w:shd w:val="clear" w:color="auto" w:fill="FFFFFF"/>
          </w:tcPr>
          <w:p w14:paraId="4EB0FDA5" w14:textId="49D06583"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708" w:type="dxa"/>
            <w:shd w:val="clear" w:color="auto" w:fill="FFFFFF"/>
          </w:tcPr>
          <w:p w14:paraId="76FF93EE" w14:textId="6FFAE50C" w:rsidR="00F135FD" w:rsidRPr="00E42DF9" w:rsidRDefault="00F135FD" w:rsidP="00F135FD">
            <w:pPr>
              <w:spacing w:line="240" w:lineRule="auto"/>
              <w:jc w:val="center"/>
              <w:rPr>
                <w:rFonts w:ascii="Times New Roman" w:hAnsi="Times New Roman"/>
                <w:color w:val="000000"/>
                <w:sz w:val="18"/>
                <w:szCs w:val="18"/>
              </w:rPr>
            </w:pPr>
            <w:r w:rsidRPr="0090695A">
              <w:t>-</w:t>
            </w:r>
          </w:p>
        </w:tc>
        <w:tc>
          <w:tcPr>
            <w:tcW w:w="1137" w:type="dxa"/>
            <w:gridSpan w:val="2"/>
            <w:shd w:val="clear" w:color="auto" w:fill="FFFFFF"/>
          </w:tcPr>
          <w:p w14:paraId="45DB0E5E" w14:textId="227A9ED7" w:rsidR="00F135FD" w:rsidRPr="00E42DF9" w:rsidRDefault="00F135FD" w:rsidP="00F135FD">
            <w:pPr>
              <w:spacing w:line="240" w:lineRule="auto"/>
              <w:jc w:val="center"/>
              <w:rPr>
                <w:rFonts w:ascii="Times New Roman" w:hAnsi="Times New Roman"/>
                <w:color w:val="000000"/>
                <w:sz w:val="18"/>
                <w:szCs w:val="18"/>
              </w:rPr>
            </w:pPr>
            <w:r w:rsidRPr="0090695A">
              <w:t>-</w:t>
            </w:r>
          </w:p>
        </w:tc>
      </w:tr>
      <w:tr w:rsidR="00830ACC" w:rsidRPr="00A87B3A" w14:paraId="37982841" w14:textId="77777777" w:rsidTr="00720ABA">
        <w:trPr>
          <w:gridAfter w:val="1"/>
          <w:wAfter w:w="10" w:type="dxa"/>
          <w:trHeight w:val="348"/>
        </w:trPr>
        <w:tc>
          <w:tcPr>
            <w:tcW w:w="2243" w:type="dxa"/>
            <w:gridSpan w:val="2"/>
            <w:shd w:val="clear" w:color="auto" w:fill="FFFFFF"/>
          </w:tcPr>
          <w:p w14:paraId="769E9A07" w14:textId="77777777" w:rsidR="00830ACC" w:rsidRPr="00A87B3A" w:rsidRDefault="00830ACC" w:rsidP="00830ACC">
            <w:pPr>
              <w:spacing w:before="120" w:after="120" w:line="240" w:lineRule="auto"/>
              <w:rPr>
                <w:rFonts w:ascii="Times New Roman" w:hAnsi="Times New Roman"/>
                <w:color w:val="000000"/>
              </w:rPr>
            </w:pPr>
            <w:r w:rsidRPr="00A87B3A">
              <w:rPr>
                <w:rFonts w:ascii="Times New Roman" w:hAnsi="Times New Roman"/>
                <w:color w:val="000000"/>
              </w:rPr>
              <w:t xml:space="preserve">Źródła finansowania </w:t>
            </w:r>
          </w:p>
        </w:tc>
        <w:tc>
          <w:tcPr>
            <w:tcW w:w="8694" w:type="dxa"/>
            <w:gridSpan w:val="25"/>
            <w:shd w:val="clear" w:color="auto" w:fill="FFFFFF"/>
            <w:vAlign w:val="center"/>
          </w:tcPr>
          <w:p w14:paraId="074D3287" w14:textId="1C1E92EE" w:rsidR="00216EBD" w:rsidRPr="00A87B3A" w:rsidRDefault="00317378" w:rsidP="00830ACC">
            <w:pPr>
              <w:spacing w:before="120" w:after="120" w:line="240" w:lineRule="auto"/>
              <w:jc w:val="both"/>
              <w:rPr>
                <w:rFonts w:ascii="Times New Roman" w:hAnsi="Times New Roman"/>
                <w:color w:val="000000"/>
              </w:rPr>
            </w:pPr>
            <w:r w:rsidRPr="00317378">
              <w:rPr>
                <w:rFonts w:ascii="Times New Roman" w:hAnsi="Times New Roman"/>
                <w:color w:val="000000"/>
              </w:rPr>
              <w:t>Planowane koszty będą pokrywane w ramach podniesienia limitu wydatków odpowiednich części budżetu państwa w części budżetowej 41 – Środowisko (dysponent Minister Klimatu i</w:t>
            </w:r>
            <w:r>
              <w:rPr>
                <w:rFonts w:ascii="Times New Roman" w:hAnsi="Times New Roman"/>
                <w:color w:val="000000"/>
              </w:rPr>
              <w:t> </w:t>
            </w:r>
            <w:r w:rsidRPr="00317378">
              <w:rPr>
                <w:rFonts w:ascii="Times New Roman" w:hAnsi="Times New Roman"/>
                <w:color w:val="000000"/>
              </w:rPr>
              <w:t>Środowiska)</w:t>
            </w:r>
            <w:r>
              <w:rPr>
                <w:rFonts w:ascii="Times New Roman" w:hAnsi="Times New Roman"/>
                <w:color w:val="000000"/>
              </w:rPr>
              <w:t xml:space="preserve"> </w:t>
            </w:r>
            <w:r w:rsidRPr="00317378">
              <w:rPr>
                <w:rFonts w:ascii="Times New Roman" w:hAnsi="Times New Roman"/>
                <w:color w:val="000000"/>
              </w:rPr>
              <w:t>oraz w części budżetowej 85 – Budżet Wojewodów</w:t>
            </w:r>
            <w:r>
              <w:rPr>
                <w:rFonts w:ascii="Times New Roman" w:hAnsi="Times New Roman"/>
                <w:color w:val="000000"/>
              </w:rPr>
              <w:t>.</w:t>
            </w:r>
          </w:p>
        </w:tc>
      </w:tr>
      <w:tr w:rsidR="00830ACC" w:rsidRPr="00A87B3A" w14:paraId="1AB60188" w14:textId="77777777" w:rsidTr="00E9355C">
        <w:trPr>
          <w:gridAfter w:val="1"/>
          <w:wAfter w:w="10" w:type="dxa"/>
          <w:trHeight w:val="1266"/>
        </w:trPr>
        <w:tc>
          <w:tcPr>
            <w:tcW w:w="2243" w:type="dxa"/>
            <w:gridSpan w:val="2"/>
            <w:shd w:val="clear" w:color="auto" w:fill="FFFFFF"/>
          </w:tcPr>
          <w:p w14:paraId="634D1CD4" w14:textId="77777777" w:rsidR="00830ACC" w:rsidRPr="00A87B3A" w:rsidRDefault="00830ACC" w:rsidP="00830ACC">
            <w:pPr>
              <w:spacing w:before="120" w:after="120" w:line="240" w:lineRule="auto"/>
              <w:rPr>
                <w:rFonts w:ascii="Times New Roman" w:hAnsi="Times New Roman"/>
                <w:color w:val="000000"/>
              </w:rPr>
            </w:pPr>
            <w:r w:rsidRPr="00A87B3A">
              <w:rPr>
                <w:rFonts w:ascii="Times New Roman" w:hAnsi="Times New Roman"/>
                <w:color w:val="000000"/>
              </w:rPr>
              <w:t>Dodatkowe informacje, w tym wskazanie źródeł danych i przyjętych do obliczeń założeń</w:t>
            </w:r>
          </w:p>
        </w:tc>
        <w:tc>
          <w:tcPr>
            <w:tcW w:w="8694" w:type="dxa"/>
            <w:gridSpan w:val="25"/>
            <w:shd w:val="clear" w:color="auto" w:fill="FFFFFF"/>
          </w:tcPr>
          <w:p w14:paraId="2DBCD771" w14:textId="77777777" w:rsidR="00216EBD" w:rsidRPr="006459D2" w:rsidRDefault="00216EBD" w:rsidP="00216EBD">
            <w:pPr>
              <w:spacing w:before="120" w:after="120" w:line="240" w:lineRule="auto"/>
              <w:jc w:val="both"/>
              <w:rPr>
                <w:rFonts w:ascii="Times New Roman" w:hAnsi="Times New Roman"/>
                <w:b/>
                <w:bCs/>
                <w:color w:val="000000"/>
                <w:u w:val="single"/>
              </w:rPr>
            </w:pPr>
            <w:r w:rsidRPr="006459D2">
              <w:rPr>
                <w:rFonts w:ascii="Times New Roman" w:hAnsi="Times New Roman"/>
                <w:b/>
                <w:bCs/>
                <w:color w:val="000000"/>
                <w:u w:val="single"/>
              </w:rPr>
              <w:t>Wpływ na budżet państwa</w:t>
            </w:r>
          </w:p>
          <w:p w14:paraId="40A1CB77" w14:textId="4B365354" w:rsidR="00216EBD" w:rsidRPr="006459D2" w:rsidRDefault="00216EBD" w:rsidP="00216EBD">
            <w:pPr>
              <w:spacing w:before="120" w:after="120" w:line="240" w:lineRule="auto"/>
              <w:jc w:val="both"/>
              <w:rPr>
                <w:rFonts w:ascii="Times New Roman" w:hAnsi="Times New Roman"/>
                <w:color w:val="000000"/>
              </w:rPr>
            </w:pPr>
            <w:r w:rsidRPr="006459D2">
              <w:rPr>
                <w:rFonts w:ascii="Times New Roman" w:hAnsi="Times New Roman"/>
                <w:color w:val="000000"/>
              </w:rPr>
              <w:t xml:space="preserve">Projekt ustawy nakłada dodatkowe obowiązki na </w:t>
            </w:r>
            <w:r>
              <w:rPr>
                <w:rFonts w:ascii="Times New Roman" w:hAnsi="Times New Roman"/>
                <w:color w:val="000000"/>
              </w:rPr>
              <w:t xml:space="preserve">Generalnego Dyrektora Ochrony Środowiska, regionalnych dyrektorów ochrony środowiska oraz marszałków województw w </w:t>
            </w:r>
            <w:r w:rsidRPr="006459D2">
              <w:rPr>
                <w:rFonts w:ascii="Times New Roman" w:hAnsi="Times New Roman"/>
                <w:color w:val="000000"/>
              </w:rPr>
              <w:t>obszar</w:t>
            </w:r>
            <w:r>
              <w:rPr>
                <w:rFonts w:ascii="Times New Roman" w:hAnsi="Times New Roman"/>
                <w:color w:val="000000"/>
              </w:rPr>
              <w:t>ze</w:t>
            </w:r>
            <w:r w:rsidRPr="006459D2">
              <w:rPr>
                <w:rFonts w:ascii="Times New Roman" w:hAnsi="Times New Roman"/>
                <w:color w:val="000000"/>
              </w:rPr>
              <w:t>, któr</w:t>
            </w:r>
            <w:r>
              <w:rPr>
                <w:rFonts w:ascii="Times New Roman" w:hAnsi="Times New Roman"/>
                <w:color w:val="000000"/>
              </w:rPr>
              <w:t>y</w:t>
            </w:r>
            <w:r w:rsidRPr="006459D2">
              <w:rPr>
                <w:rFonts w:ascii="Times New Roman" w:hAnsi="Times New Roman"/>
                <w:color w:val="000000"/>
              </w:rPr>
              <w:t xml:space="preserve"> został oszacowan</w:t>
            </w:r>
            <w:r>
              <w:rPr>
                <w:rFonts w:ascii="Times New Roman" w:hAnsi="Times New Roman"/>
                <w:color w:val="000000"/>
              </w:rPr>
              <w:t>y</w:t>
            </w:r>
            <w:r w:rsidRPr="006459D2">
              <w:rPr>
                <w:rFonts w:ascii="Times New Roman" w:hAnsi="Times New Roman"/>
                <w:color w:val="000000"/>
              </w:rPr>
              <w:t xml:space="preserve"> w zakresie wpływu regulacji na sektor finansów publicznych (tabela powyżej). Wydatki zostały oszacowane w oparciu o dotychczasowe doświadczenie i wiedzę w zakresie kosztów osobowych oraz biorąc pod uwagę zakres i </w:t>
            </w:r>
            <w:r w:rsidR="00EB202E">
              <w:rPr>
                <w:rFonts w:ascii="Times New Roman" w:hAnsi="Times New Roman"/>
                <w:color w:val="000000"/>
              </w:rPr>
              <w:t xml:space="preserve">przypuszczalną </w:t>
            </w:r>
            <w:r w:rsidRPr="006459D2">
              <w:rPr>
                <w:rFonts w:ascii="Times New Roman" w:hAnsi="Times New Roman"/>
                <w:color w:val="000000"/>
              </w:rPr>
              <w:t xml:space="preserve">specyfikę nałożonych zadań na </w:t>
            </w:r>
            <w:r>
              <w:rPr>
                <w:rFonts w:ascii="Times New Roman" w:hAnsi="Times New Roman"/>
                <w:color w:val="000000"/>
              </w:rPr>
              <w:t>ww</w:t>
            </w:r>
            <w:r w:rsidRPr="006459D2">
              <w:rPr>
                <w:rFonts w:ascii="Times New Roman" w:hAnsi="Times New Roman"/>
                <w:color w:val="000000"/>
              </w:rPr>
              <w:t>.</w:t>
            </w:r>
            <w:r>
              <w:rPr>
                <w:rFonts w:ascii="Times New Roman" w:hAnsi="Times New Roman"/>
                <w:color w:val="000000"/>
              </w:rPr>
              <w:t xml:space="preserve"> organy.</w:t>
            </w:r>
          </w:p>
          <w:p w14:paraId="1A075DAA" w14:textId="7723C4DE" w:rsidR="00216EBD" w:rsidRPr="006459D2" w:rsidRDefault="00216EBD" w:rsidP="00216EBD">
            <w:pPr>
              <w:pStyle w:val="Akapitzlist"/>
              <w:numPr>
                <w:ilvl w:val="0"/>
                <w:numId w:val="104"/>
              </w:numPr>
              <w:spacing w:before="120" w:after="120" w:line="240" w:lineRule="auto"/>
              <w:ind w:left="661" w:hanging="301"/>
              <w:jc w:val="both"/>
              <w:rPr>
                <w:rFonts w:ascii="Times New Roman" w:hAnsi="Times New Roman"/>
                <w:b/>
                <w:bCs/>
                <w:color w:val="000000"/>
                <w:u w:val="single"/>
              </w:rPr>
            </w:pPr>
            <w:r>
              <w:rPr>
                <w:rFonts w:ascii="Times New Roman" w:hAnsi="Times New Roman"/>
                <w:b/>
                <w:bCs/>
                <w:color w:val="000000"/>
                <w:u w:val="single"/>
              </w:rPr>
              <w:t>S</w:t>
            </w:r>
            <w:r w:rsidRPr="005A4E4B">
              <w:rPr>
                <w:rFonts w:ascii="Times New Roman" w:hAnsi="Times New Roman"/>
                <w:b/>
                <w:bCs/>
                <w:color w:val="000000"/>
                <w:u w:val="single"/>
              </w:rPr>
              <w:t>porządza</w:t>
            </w:r>
            <w:r>
              <w:rPr>
                <w:rFonts w:ascii="Times New Roman" w:hAnsi="Times New Roman"/>
                <w:b/>
                <w:bCs/>
                <w:color w:val="000000"/>
                <w:u w:val="single"/>
              </w:rPr>
              <w:t>nie</w:t>
            </w:r>
            <w:r w:rsidRPr="005A4E4B">
              <w:rPr>
                <w:rFonts w:ascii="Times New Roman" w:hAnsi="Times New Roman"/>
                <w:b/>
                <w:bCs/>
                <w:color w:val="000000"/>
                <w:u w:val="single"/>
              </w:rPr>
              <w:t xml:space="preserve"> plan</w:t>
            </w:r>
            <w:r>
              <w:rPr>
                <w:rFonts w:ascii="Times New Roman" w:hAnsi="Times New Roman"/>
                <w:b/>
                <w:bCs/>
                <w:color w:val="000000"/>
                <w:u w:val="single"/>
              </w:rPr>
              <w:t>ów</w:t>
            </w:r>
            <w:r w:rsidRPr="005A4E4B">
              <w:rPr>
                <w:rFonts w:ascii="Times New Roman" w:hAnsi="Times New Roman"/>
                <w:b/>
                <w:bCs/>
                <w:color w:val="000000"/>
                <w:u w:val="single"/>
              </w:rPr>
              <w:t xml:space="preserve"> obszarów przyspieszonego rozwoju </w:t>
            </w:r>
            <w:r w:rsidR="006B1C98" w:rsidRPr="006B1C98">
              <w:rPr>
                <w:rFonts w:ascii="Times New Roman" w:hAnsi="Times New Roman"/>
                <w:b/>
                <w:bCs/>
                <w:color w:val="000000"/>
                <w:u w:val="single"/>
              </w:rPr>
              <w:t>instalacji odnawialnego źródła energii</w:t>
            </w:r>
            <w:r w:rsidRPr="005A4E4B">
              <w:rPr>
                <w:rFonts w:ascii="Times New Roman" w:hAnsi="Times New Roman"/>
                <w:b/>
                <w:bCs/>
                <w:color w:val="000000"/>
                <w:u w:val="single"/>
              </w:rPr>
              <w:t xml:space="preserve"> dla województwa</w:t>
            </w:r>
          </w:p>
          <w:p w14:paraId="27A0F689" w14:textId="07C615FB" w:rsidR="00216EBD" w:rsidRDefault="00216EBD" w:rsidP="00216EBD">
            <w:pPr>
              <w:spacing w:after="120" w:line="240" w:lineRule="auto"/>
              <w:jc w:val="both"/>
              <w:rPr>
                <w:rFonts w:ascii="Times New Roman" w:hAnsi="Times New Roman"/>
                <w:color w:val="000000"/>
              </w:rPr>
            </w:pPr>
            <w:r w:rsidRPr="00CB4425">
              <w:rPr>
                <w:rFonts w:ascii="Times New Roman" w:hAnsi="Times New Roman"/>
                <w:color w:val="000000"/>
              </w:rPr>
              <w:t xml:space="preserve">W zakresie wydatków z budżetu państwa uwzględniono koszty przeznaczone na zatrudnienie nowych pracowników odpowiedzialnych za </w:t>
            </w:r>
            <w:r>
              <w:rPr>
                <w:rFonts w:ascii="Times New Roman" w:hAnsi="Times New Roman"/>
                <w:color w:val="000000"/>
              </w:rPr>
              <w:t xml:space="preserve">opracowywanie i wdrażanie </w:t>
            </w:r>
            <w:r w:rsidRPr="00CB4425">
              <w:rPr>
                <w:rFonts w:ascii="Times New Roman" w:hAnsi="Times New Roman"/>
                <w:color w:val="000000"/>
              </w:rPr>
              <w:t>plan</w:t>
            </w:r>
            <w:r>
              <w:rPr>
                <w:rFonts w:ascii="Times New Roman" w:hAnsi="Times New Roman"/>
                <w:color w:val="000000"/>
              </w:rPr>
              <w:t>ów</w:t>
            </w:r>
            <w:r w:rsidRPr="00CB4425">
              <w:rPr>
                <w:rFonts w:ascii="Times New Roman" w:hAnsi="Times New Roman"/>
                <w:color w:val="000000"/>
              </w:rPr>
              <w:t xml:space="preserve"> obszarów przyspieszonego rozwoju </w:t>
            </w:r>
            <w:r w:rsidR="006B1C98" w:rsidRPr="006B1C98">
              <w:rPr>
                <w:rFonts w:ascii="Times New Roman" w:hAnsi="Times New Roman"/>
                <w:color w:val="000000"/>
              </w:rPr>
              <w:t>instalacji odnawialnego źródła energii</w:t>
            </w:r>
            <w:r w:rsidRPr="00CB4425">
              <w:rPr>
                <w:rFonts w:ascii="Times New Roman" w:hAnsi="Times New Roman"/>
                <w:color w:val="000000"/>
              </w:rPr>
              <w:t xml:space="preserve"> dla województwa</w:t>
            </w:r>
            <w:r>
              <w:rPr>
                <w:rFonts w:ascii="Times New Roman" w:hAnsi="Times New Roman"/>
                <w:color w:val="000000"/>
              </w:rPr>
              <w:t>. W</w:t>
            </w:r>
            <w:r w:rsidRPr="00CB4425">
              <w:rPr>
                <w:rFonts w:ascii="Times New Roman" w:hAnsi="Times New Roman"/>
                <w:color w:val="000000"/>
              </w:rPr>
              <w:t xml:space="preserve">zrost zatrudnienia </w:t>
            </w:r>
            <w:r>
              <w:rPr>
                <w:rFonts w:ascii="Times New Roman" w:hAnsi="Times New Roman"/>
                <w:color w:val="000000"/>
              </w:rPr>
              <w:t xml:space="preserve">będzie miał miejsce </w:t>
            </w:r>
            <w:r w:rsidRPr="00CB4425">
              <w:rPr>
                <w:rFonts w:ascii="Times New Roman" w:hAnsi="Times New Roman"/>
                <w:color w:val="000000"/>
              </w:rPr>
              <w:t>w jednostkach publicznych</w:t>
            </w:r>
            <w:r>
              <w:t xml:space="preserve"> </w:t>
            </w:r>
            <w:r w:rsidRPr="00CB4425">
              <w:rPr>
                <w:rFonts w:ascii="Times New Roman" w:hAnsi="Times New Roman"/>
                <w:color w:val="000000"/>
              </w:rPr>
              <w:t xml:space="preserve">samorządu województwa uczestniczących w </w:t>
            </w:r>
            <w:r>
              <w:rPr>
                <w:rFonts w:ascii="Times New Roman" w:hAnsi="Times New Roman"/>
                <w:color w:val="000000"/>
              </w:rPr>
              <w:t xml:space="preserve">tym </w:t>
            </w:r>
            <w:r w:rsidRPr="00CB4425">
              <w:rPr>
                <w:rFonts w:ascii="Times New Roman" w:hAnsi="Times New Roman"/>
                <w:color w:val="000000"/>
              </w:rPr>
              <w:t>proces</w:t>
            </w:r>
            <w:r>
              <w:rPr>
                <w:rFonts w:ascii="Times New Roman" w:hAnsi="Times New Roman"/>
                <w:color w:val="000000"/>
              </w:rPr>
              <w:t>ie.</w:t>
            </w:r>
          </w:p>
          <w:p w14:paraId="651EACF3" w14:textId="45940CAD" w:rsidR="00216EBD" w:rsidRDefault="00216EBD" w:rsidP="00216EBD">
            <w:pPr>
              <w:spacing w:after="120" w:line="240" w:lineRule="auto"/>
              <w:jc w:val="both"/>
              <w:rPr>
                <w:rFonts w:ascii="Times New Roman" w:hAnsi="Times New Roman"/>
                <w:color w:val="000000"/>
              </w:rPr>
            </w:pPr>
            <w:r w:rsidRPr="00F71F50">
              <w:rPr>
                <w:rFonts w:ascii="Times New Roman" w:hAnsi="Times New Roman"/>
                <w:color w:val="000000"/>
              </w:rPr>
              <w:lastRenderedPageBreak/>
              <w:t xml:space="preserve">Realizacja tego zadania będzie wymagała zatrudnienia </w:t>
            </w:r>
            <w:r w:rsidR="00EE6051">
              <w:rPr>
                <w:rFonts w:ascii="Times New Roman" w:hAnsi="Times New Roman"/>
                <w:color w:val="000000"/>
              </w:rPr>
              <w:t>co najmniej 1 (</w:t>
            </w:r>
            <w:r>
              <w:rPr>
                <w:rFonts w:ascii="Times New Roman" w:hAnsi="Times New Roman"/>
                <w:color w:val="000000"/>
              </w:rPr>
              <w:t>jednego</w:t>
            </w:r>
            <w:r w:rsidR="00EE6051">
              <w:rPr>
                <w:rFonts w:ascii="Times New Roman" w:hAnsi="Times New Roman"/>
                <w:color w:val="000000"/>
              </w:rPr>
              <w:t>)</w:t>
            </w:r>
            <w:r>
              <w:rPr>
                <w:rFonts w:ascii="Times New Roman" w:hAnsi="Times New Roman"/>
                <w:color w:val="000000"/>
              </w:rPr>
              <w:t xml:space="preserve"> </w:t>
            </w:r>
            <w:r w:rsidR="00EE6051">
              <w:rPr>
                <w:rFonts w:ascii="Times New Roman" w:hAnsi="Times New Roman"/>
                <w:color w:val="000000"/>
              </w:rPr>
              <w:t xml:space="preserve">nowego </w:t>
            </w:r>
            <w:r w:rsidRPr="00F71F50">
              <w:rPr>
                <w:rFonts w:ascii="Times New Roman" w:hAnsi="Times New Roman"/>
                <w:color w:val="000000"/>
              </w:rPr>
              <w:t>pracownik</w:t>
            </w:r>
            <w:r>
              <w:rPr>
                <w:rFonts w:ascii="Times New Roman" w:hAnsi="Times New Roman"/>
                <w:color w:val="000000"/>
              </w:rPr>
              <w:t>a w odpowiedniej jednostce samorządowej każdego z województw, co daje łącznie szesnastu (16) pracowników w skali kraju</w:t>
            </w:r>
            <w:r w:rsidRPr="00F71F50">
              <w:rPr>
                <w:rFonts w:ascii="Times New Roman" w:hAnsi="Times New Roman"/>
                <w:color w:val="000000"/>
              </w:rPr>
              <w:t>.</w:t>
            </w:r>
          </w:p>
          <w:p w14:paraId="64DDD58B" w14:textId="77777777" w:rsidR="00216EBD" w:rsidRPr="00687093" w:rsidRDefault="00216EBD" w:rsidP="00216EBD">
            <w:pPr>
              <w:spacing w:after="120" w:line="240" w:lineRule="auto"/>
              <w:jc w:val="both"/>
              <w:rPr>
                <w:rFonts w:ascii="Times New Roman" w:hAnsi="Times New Roman"/>
                <w:color w:val="000000"/>
              </w:rPr>
            </w:pPr>
            <w:r>
              <w:rPr>
                <w:rFonts w:ascii="Times New Roman" w:hAnsi="Times New Roman"/>
                <w:color w:val="000000"/>
              </w:rPr>
              <w:t>R</w:t>
            </w:r>
            <w:r w:rsidRPr="00687093">
              <w:rPr>
                <w:rFonts w:ascii="Times New Roman" w:hAnsi="Times New Roman"/>
                <w:color w:val="000000"/>
              </w:rPr>
              <w:t xml:space="preserve">ealizowane działania będą się wiązały z dodatkowymi kosztami po stronie </w:t>
            </w:r>
            <w:r>
              <w:rPr>
                <w:rFonts w:ascii="Times New Roman" w:hAnsi="Times New Roman"/>
                <w:color w:val="000000"/>
              </w:rPr>
              <w:t>samorządów województw</w:t>
            </w:r>
            <w:r w:rsidRPr="00687093">
              <w:rPr>
                <w:rFonts w:ascii="Times New Roman" w:hAnsi="Times New Roman"/>
                <w:color w:val="000000"/>
              </w:rPr>
              <w:t xml:space="preserve"> w zakresie:</w:t>
            </w:r>
          </w:p>
          <w:p w14:paraId="2D562B96" w14:textId="77777777" w:rsidR="00216EBD" w:rsidRPr="007F30C2" w:rsidRDefault="00216EBD" w:rsidP="00216EBD">
            <w:pPr>
              <w:spacing w:line="240" w:lineRule="auto"/>
              <w:jc w:val="both"/>
              <w:rPr>
                <w:rFonts w:ascii="Times New Roman" w:hAnsi="Times New Roman"/>
                <w:b/>
                <w:color w:val="000000"/>
              </w:rPr>
            </w:pPr>
            <w:r w:rsidRPr="007F30C2">
              <w:rPr>
                <w:rFonts w:ascii="Times New Roman" w:hAnsi="Times New Roman"/>
                <w:b/>
                <w:color w:val="000000"/>
              </w:rPr>
              <w:t>Pozycja 1</w:t>
            </w:r>
            <w:r>
              <w:rPr>
                <w:rFonts w:ascii="Times New Roman" w:hAnsi="Times New Roman"/>
                <w:b/>
                <w:color w:val="000000"/>
              </w:rPr>
              <w:t xml:space="preserve"> – koszty infrastruktury</w:t>
            </w:r>
            <w:r w:rsidRPr="007F30C2">
              <w:rPr>
                <w:rFonts w:ascii="Times New Roman" w:hAnsi="Times New Roman"/>
                <w:b/>
                <w:color w:val="000000"/>
              </w:rPr>
              <w:t>:</w:t>
            </w:r>
          </w:p>
          <w:p w14:paraId="5DD2D728" w14:textId="77777777" w:rsidR="00216EBD" w:rsidRDefault="00216EBD" w:rsidP="00216EBD">
            <w:pPr>
              <w:spacing w:after="120" w:line="240" w:lineRule="auto"/>
              <w:jc w:val="both"/>
              <w:rPr>
                <w:rFonts w:ascii="Times New Roman" w:hAnsi="Times New Roman"/>
                <w:color w:val="000000"/>
              </w:rPr>
            </w:pPr>
            <w:r w:rsidRPr="00870E52">
              <w:rPr>
                <w:rFonts w:ascii="Times New Roman" w:hAnsi="Times New Roman"/>
                <w:color w:val="000000"/>
              </w:rPr>
              <w:t>Utworzenie stanowisk pracy</w:t>
            </w:r>
            <w:r>
              <w:rPr>
                <w:rFonts w:ascii="Times New Roman" w:hAnsi="Times New Roman"/>
                <w:color w:val="000000"/>
              </w:rPr>
              <w:t xml:space="preserve">, </w:t>
            </w:r>
            <w:r w:rsidRPr="00870E52">
              <w:rPr>
                <w:rFonts w:ascii="Times New Roman" w:hAnsi="Times New Roman"/>
                <w:color w:val="000000"/>
              </w:rPr>
              <w:t>w tym niezbędnej infrastruktury.</w:t>
            </w:r>
          </w:p>
          <w:p w14:paraId="7C95062D" w14:textId="77777777" w:rsidR="00216EBD" w:rsidRDefault="00216EBD" w:rsidP="00216EBD">
            <w:pPr>
              <w:spacing w:line="240" w:lineRule="auto"/>
              <w:jc w:val="both"/>
              <w:rPr>
                <w:rFonts w:ascii="Times New Roman" w:hAnsi="Times New Roman"/>
                <w:color w:val="000000"/>
              </w:rPr>
            </w:pPr>
            <w:r w:rsidRPr="007F30C2">
              <w:rPr>
                <w:rFonts w:ascii="Times New Roman" w:hAnsi="Times New Roman"/>
                <w:b/>
                <w:color w:val="000000"/>
              </w:rPr>
              <w:t>Pozycja 2</w:t>
            </w:r>
            <w:r>
              <w:rPr>
                <w:rFonts w:ascii="Times New Roman" w:hAnsi="Times New Roman"/>
                <w:color w:val="000000"/>
              </w:rPr>
              <w:t xml:space="preserve"> </w:t>
            </w:r>
            <w:r w:rsidRPr="00FA3D04">
              <w:rPr>
                <w:rFonts w:ascii="Times New Roman" w:hAnsi="Times New Roman"/>
                <w:b/>
                <w:color w:val="000000"/>
              </w:rPr>
              <w:t>– koszty osobowe:</w:t>
            </w:r>
          </w:p>
          <w:p w14:paraId="7C1AD4B8" w14:textId="5545F2C8" w:rsidR="00216EBD" w:rsidRDefault="00216EBD" w:rsidP="00216EBD">
            <w:pPr>
              <w:spacing w:line="240" w:lineRule="auto"/>
              <w:jc w:val="both"/>
              <w:rPr>
                <w:rFonts w:ascii="Times New Roman" w:hAnsi="Times New Roman"/>
                <w:color w:val="000000"/>
              </w:rPr>
            </w:pPr>
            <w:r>
              <w:rPr>
                <w:rFonts w:ascii="Times New Roman" w:hAnsi="Times New Roman"/>
                <w:color w:val="000000"/>
              </w:rPr>
              <w:t>Zgodnie z przewidywaniami dotyczącymi obsługi procesu</w:t>
            </w:r>
            <w:r>
              <w:t xml:space="preserve"> </w:t>
            </w:r>
            <w:r w:rsidRPr="006007A8">
              <w:rPr>
                <w:rFonts w:ascii="Times New Roman" w:hAnsi="Times New Roman"/>
                <w:color w:val="000000"/>
              </w:rPr>
              <w:t>opracowywani</w:t>
            </w:r>
            <w:r>
              <w:rPr>
                <w:rFonts w:ascii="Times New Roman" w:hAnsi="Times New Roman"/>
                <w:color w:val="000000"/>
              </w:rPr>
              <w:t>a</w:t>
            </w:r>
            <w:r w:rsidRPr="006007A8">
              <w:rPr>
                <w:rFonts w:ascii="Times New Roman" w:hAnsi="Times New Roman"/>
                <w:color w:val="000000"/>
              </w:rPr>
              <w:t xml:space="preserve"> i wdrażani</w:t>
            </w:r>
            <w:r>
              <w:rPr>
                <w:rFonts w:ascii="Times New Roman" w:hAnsi="Times New Roman"/>
                <w:color w:val="000000"/>
              </w:rPr>
              <w:t>a</w:t>
            </w:r>
            <w:r w:rsidRPr="006007A8">
              <w:rPr>
                <w:rFonts w:ascii="Times New Roman" w:hAnsi="Times New Roman"/>
                <w:color w:val="000000"/>
              </w:rPr>
              <w:t xml:space="preserve"> planów obszarów przyspieszonego rozwoju </w:t>
            </w:r>
            <w:r w:rsidR="006B1C98" w:rsidRPr="006B1C98">
              <w:rPr>
                <w:rFonts w:ascii="Times New Roman" w:hAnsi="Times New Roman"/>
                <w:color w:val="000000"/>
              </w:rPr>
              <w:t>instalacji odnawialnego źródła energi</w:t>
            </w:r>
            <w:r w:rsidR="006B1C98">
              <w:rPr>
                <w:rFonts w:ascii="Times New Roman" w:hAnsi="Times New Roman"/>
                <w:color w:val="000000"/>
              </w:rPr>
              <w:t>i</w:t>
            </w:r>
            <w:r w:rsidRPr="006007A8">
              <w:rPr>
                <w:rFonts w:ascii="Times New Roman" w:hAnsi="Times New Roman"/>
                <w:color w:val="000000"/>
              </w:rPr>
              <w:t xml:space="preserve"> dla województwa</w:t>
            </w:r>
            <w:r>
              <w:rPr>
                <w:rFonts w:ascii="Times New Roman" w:hAnsi="Times New Roman"/>
                <w:color w:val="000000"/>
              </w:rPr>
              <w:t>, niezbędne dla skutecznej realizacji nowych zadań będzie zatrudnienie dodatkowych (16) osób (1 osoba w organach samorządu każdego z województw).</w:t>
            </w:r>
          </w:p>
          <w:p w14:paraId="2C5F9819" w14:textId="77777777" w:rsidR="00216EBD" w:rsidRDefault="00216EBD" w:rsidP="00216EBD">
            <w:pPr>
              <w:spacing w:line="240" w:lineRule="auto"/>
              <w:jc w:val="both"/>
              <w:rPr>
                <w:rFonts w:ascii="Times New Roman" w:hAnsi="Times New Roman"/>
                <w:color w:val="000000"/>
              </w:rPr>
            </w:pPr>
          </w:p>
          <w:p w14:paraId="6A5AB74B" w14:textId="7C402371" w:rsidR="00216EBD" w:rsidRPr="00870E52" w:rsidRDefault="00216EBD" w:rsidP="00216EBD">
            <w:pPr>
              <w:suppressAutoHyphens/>
              <w:spacing w:after="120" w:line="240" w:lineRule="auto"/>
              <w:jc w:val="both"/>
              <w:rPr>
                <w:rFonts w:ascii="Times New Roman" w:hAnsi="Times New Roman"/>
                <w:color w:val="000000"/>
                <w:sz w:val="20"/>
                <w:szCs w:val="20"/>
              </w:rPr>
            </w:pPr>
            <w:r w:rsidRPr="00870E52">
              <w:rPr>
                <w:rFonts w:ascii="Times New Roman" w:hAnsi="Times New Roman"/>
                <w:color w:val="000000"/>
                <w:sz w:val="20"/>
                <w:szCs w:val="20"/>
              </w:rPr>
              <w:t>Tabela 1. Planowane łączne koszty organów samorządu województw od 202</w:t>
            </w:r>
            <w:r w:rsidR="00C26AE0">
              <w:rPr>
                <w:rFonts w:ascii="Times New Roman" w:hAnsi="Times New Roman"/>
                <w:color w:val="000000"/>
                <w:sz w:val="20"/>
                <w:szCs w:val="20"/>
              </w:rPr>
              <w:t>6</w:t>
            </w:r>
            <w:r w:rsidRPr="00870E52">
              <w:rPr>
                <w:rFonts w:ascii="Times New Roman" w:hAnsi="Times New Roman"/>
                <w:color w:val="000000"/>
                <w:sz w:val="20"/>
                <w:szCs w:val="20"/>
              </w:rPr>
              <w:t xml:space="preserve"> r. wynikające z zatrudnienia szesnastu (16) nowych pracowników (po jednym dla każdego województwa) w zakresie sporządzania planów obszarów przyspieszonego rozwoju </w:t>
            </w:r>
            <w:r w:rsidR="006B1C98" w:rsidRPr="006B1C98">
              <w:rPr>
                <w:rFonts w:ascii="Times New Roman" w:hAnsi="Times New Roman"/>
                <w:color w:val="000000"/>
                <w:sz w:val="20"/>
                <w:szCs w:val="20"/>
              </w:rPr>
              <w:t>instalacji odnawialnego źródła energii</w:t>
            </w:r>
            <w:r w:rsidRPr="00870E52">
              <w:rPr>
                <w:rFonts w:ascii="Times New Roman" w:hAnsi="Times New Roman"/>
                <w:color w:val="000000"/>
                <w:sz w:val="20"/>
                <w:szCs w:val="20"/>
              </w:rPr>
              <w:t xml:space="preserve"> dla województwa:</w:t>
            </w:r>
          </w:p>
          <w:tbl>
            <w:tblPr>
              <w:tblW w:w="8468" w:type="dxa"/>
              <w:jc w:val="center"/>
              <w:tblCellMar>
                <w:left w:w="70" w:type="dxa"/>
                <w:right w:w="70" w:type="dxa"/>
              </w:tblCellMar>
              <w:tblLook w:val="04A0" w:firstRow="1" w:lastRow="0" w:firstColumn="1" w:lastColumn="0" w:noHBand="0" w:noVBand="1"/>
            </w:tblPr>
            <w:tblGrid>
              <w:gridCol w:w="792"/>
              <w:gridCol w:w="995"/>
              <w:gridCol w:w="855"/>
              <w:gridCol w:w="783"/>
              <w:gridCol w:w="775"/>
              <w:gridCol w:w="731"/>
              <w:gridCol w:w="700"/>
              <w:gridCol w:w="681"/>
              <w:gridCol w:w="671"/>
              <w:gridCol w:w="746"/>
              <w:gridCol w:w="739"/>
            </w:tblGrid>
            <w:tr w:rsidR="00CE67B8" w:rsidRPr="00216EBD" w14:paraId="0EF23B4C" w14:textId="77777777" w:rsidTr="004757C8">
              <w:trPr>
                <w:trHeight w:val="290"/>
                <w:jc w:val="center"/>
              </w:trPr>
              <w:tc>
                <w:tcPr>
                  <w:tcW w:w="792"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5D9B71CB" w14:textId="77777777" w:rsidR="00CE67B8" w:rsidRPr="00DD284D" w:rsidRDefault="00CE67B8" w:rsidP="00CE67B8">
                  <w:pPr>
                    <w:spacing w:line="240" w:lineRule="auto"/>
                    <w:rPr>
                      <w:rFonts w:ascii="Times New Roman" w:eastAsia="Times New Roman" w:hAnsi="Times New Roman"/>
                      <w:b/>
                      <w:bCs/>
                      <w:color w:val="000000"/>
                      <w:sz w:val="18"/>
                      <w:szCs w:val="18"/>
                      <w:lang w:eastAsia="pl-PL"/>
                    </w:rPr>
                  </w:pPr>
                  <w:r w:rsidRPr="00DD284D">
                    <w:rPr>
                      <w:rFonts w:ascii="Times New Roman" w:eastAsia="Times New Roman" w:hAnsi="Times New Roman"/>
                      <w:b/>
                      <w:bCs/>
                      <w:color w:val="000000"/>
                      <w:sz w:val="18"/>
                      <w:szCs w:val="18"/>
                      <w:lang w:eastAsia="pl-PL"/>
                    </w:rPr>
                    <w:t>Pozycja</w:t>
                  </w:r>
                </w:p>
              </w:tc>
              <w:tc>
                <w:tcPr>
                  <w:tcW w:w="995" w:type="dxa"/>
                  <w:tcBorders>
                    <w:top w:val="single" w:sz="4" w:space="0" w:color="auto"/>
                    <w:left w:val="nil"/>
                    <w:bottom w:val="single" w:sz="4" w:space="0" w:color="auto"/>
                    <w:right w:val="single" w:sz="4" w:space="0" w:color="auto"/>
                  </w:tcBorders>
                  <w:shd w:val="clear" w:color="000000" w:fill="AEAAAA"/>
                  <w:noWrap/>
                  <w:vAlign w:val="bottom"/>
                  <w:hideMark/>
                </w:tcPr>
                <w:p w14:paraId="2F696625"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6</w:t>
                  </w:r>
                </w:p>
              </w:tc>
              <w:tc>
                <w:tcPr>
                  <w:tcW w:w="855" w:type="dxa"/>
                  <w:tcBorders>
                    <w:top w:val="single" w:sz="4" w:space="0" w:color="auto"/>
                    <w:left w:val="nil"/>
                    <w:bottom w:val="single" w:sz="4" w:space="0" w:color="auto"/>
                    <w:right w:val="single" w:sz="4" w:space="0" w:color="auto"/>
                  </w:tcBorders>
                  <w:shd w:val="clear" w:color="000000" w:fill="AEAAAA"/>
                  <w:noWrap/>
                  <w:vAlign w:val="bottom"/>
                  <w:hideMark/>
                </w:tcPr>
                <w:p w14:paraId="79805468"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7</w:t>
                  </w:r>
                </w:p>
              </w:tc>
              <w:tc>
                <w:tcPr>
                  <w:tcW w:w="783" w:type="dxa"/>
                  <w:tcBorders>
                    <w:top w:val="single" w:sz="4" w:space="0" w:color="auto"/>
                    <w:left w:val="nil"/>
                    <w:bottom w:val="single" w:sz="4" w:space="0" w:color="auto"/>
                    <w:right w:val="single" w:sz="4" w:space="0" w:color="auto"/>
                  </w:tcBorders>
                  <w:shd w:val="clear" w:color="000000" w:fill="AEAAAA"/>
                  <w:noWrap/>
                  <w:vAlign w:val="bottom"/>
                  <w:hideMark/>
                </w:tcPr>
                <w:p w14:paraId="4B33181C"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8</w:t>
                  </w:r>
                </w:p>
              </w:tc>
              <w:tc>
                <w:tcPr>
                  <w:tcW w:w="775" w:type="dxa"/>
                  <w:tcBorders>
                    <w:top w:val="single" w:sz="4" w:space="0" w:color="auto"/>
                    <w:left w:val="nil"/>
                    <w:bottom w:val="single" w:sz="4" w:space="0" w:color="auto"/>
                    <w:right w:val="single" w:sz="4" w:space="0" w:color="auto"/>
                  </w:tcBorders>
                  <w:shd w:val="clear" w:color="000000" w:fill="AEAAAA"/>
                  <w:noWrap/>
                  <w:vAlign w:val="bottom"/>
                  <w:hideMark/>
                </w:tcPr>
                <w:p w14:paraId="0230CD9B"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9</w:t>
                  </w:r>
                </w:p>
              </w:tc>
              <w:tc>
                <w:tcPr>
                  <w:tcW w:w="731" w:type="dxa"/>
                  <w:tcBorders>
                    <w:top w:val="single" w:sz="4" w:space="0" w:color="auto"/>
                    <w:left w:val="nil"/>
                    <w:bottom w:val="single" w:sz="4" w:space="0" w:color="auto"/>
                    <w:right w:val="single" w:sz="4" w:space="0" w:color="auto"/>
                  </w:tcBorders>
                  <w:shd w:val="clear" w:color="000000" w:fill="AEAAAA"/>
                  <w:noWrap/>
                  <w:vAlign w:val="bottom"/>
                  <w:hideMark/>
                </w:tcPr>
                <w:p w14:paraId="254C6836"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w:t>
                  </w:r>
                  <w:r>
                    <w:rPr>
                      <w:rFonts w:ascii="Times New Roman" w:eastAsia="Times New Roman" w:hAnsi="Times New Roman"/>
                      <w:color w:val="000000"/>
                      <w:sz w:val="18"/>
                      <w:szCs w:val="18"/>
                      <w:lang w:eastAsia="pl-PL"/>
                    </w:rPr>
                    <w:t>30</w:t>
                  </w:r>
                </w:p>
              </w:tc>
              <w:tc>
                <w:tcPr>
                  <w:tcW w:w="700" w:type="dxa"/>
                  <w:tcBorders>
                    <w:top w:val="single" w:sz="4" w:space="0" w:color="auto"/>
                    <w:left w:val="nil"/>
                    <w:bottom w:val="single" w:sz="4" w:space="0" w:color="auto"/>
                    <w:right w:val="single" w:sz="4" w:space="0" w:color="auto"/>
                  </w:tcBorders>
                  <w:shd w:val="clear" w:color="000000" w:fill="AEAAAA"/>
                  <w:noWrap/>
                  <w:vAlign w:val="bottom"/>
                  <w:hideMark/>
                </w:tcPr>
                <w:p w14:paraId="7F469C3C"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1</w:t>
                  </w:r>
                </w:p>
              </w:tc>
              <w:tc>
                <w:tcPr>
                  <w:tcW w:w="681" w:type="dxa"/>
                  <w:tcBorders>
                    <w:top w:val="single" w:sz="4" w:space="0" w:color="auto"/>
                    <w:left w:val="nil"/>
                    <w:bottom w:val="single" w:sz="4" w:space="0" w:color="auto"/>
                    <w:right w:val="single" w:sz="4" w:space="0" w:color="auto"/>
                  </w:tcBorders>
                  <w:shd w:val="clear" w:color="000000" w:fill="AEAAAA"/>
                  <w:noWrap/>
                  <w:vAlign w:val="bottom"/>
                  <w:hideMark/>
                </w:tcPr>
                <w:p w14:paraId="52E4989D"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2</w:t>
                  </w:r>
                </w:p>
              </w:tc>
              <w:tc>
                <w:tcPr>
                  <w:tcW w:w="671" w:type="dxa"/>
                  <w:tcBorders>
                    <w:top w:val="single" w:sz="4" w:space="0" w:color="auto"/>
                    <w:left w:val="nil"/>
                    <w:bottom w:val="single" w:sz="4" w:space="0" w:color="auto"/>
                    <w:right w:val="single" w:sz="4" w:space="0" w:color="auto"/>
                  </w:tcBorders>
                  <w:shd w:val="clear" w:color="000000" w:fill="AEAAAA"/>
                  <w:noWrap/>
                  <w:vAlign w:val="bottom"/>
                  <w:hideMark/>
                </w:tcPr>
                <w:p w14:paraId="26BFB1C1"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3</w:t>
                  </w:r>
                </w:p>
              </w:tc>
              <w:tc>
                <w:tcPr>
                  <w:tcW w:w="746" w:type="dxa"/>
                  <w:tcBorders>
                    <w:top w:val="single" w:sz="4" w:space="0" w:color="auto"/>
                    <w:left w:val="nil"/>
                    <w:bottom w:val="single" w:sz="4" w:space="0" w:color="auto"/>
                    <w:right w:val="single" w:sz="4" w:space="0" w:color="auto"/>
                  </w:tcBorders>
                  <w:shd w:val="clear" w:color="000000" w:fill="AEAAAA"/>
                  <w:noWrap/>
                  <w:vAlign w:val="bottom"/>
                  <w:hideMark/>
                </w:tcPr>
                <w:p w14:paraId="2312F01D"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4</w:t>
                  </w:r>
                </w:p>
              </w:tc>
              <w:tc>
                <w:tcPr>
                  <w:tcW w:w="739" w:type="dxa"/>
                  <w:tcBorders>
                    <w:top w:val="single" w:sz="4" w:space="0" w:color="auto"/>
                    <w:left w:val="nil"/>
                    <w:bottom w:val="single" w:sz="4" w:space="0" w:color="auto"/>
                    <w:right w:val="single" w:sz="4" w:space="0" w:color="auto"/>
                  </w:tcBorders>
                  <w:shd w:val="clear" w:color="000000" w:fill="AEAAAA"/>
                  <w:noWrap/>
                  <w:vAlign w:val="bottom"/>
                  <w:hideMark/>
                </w:tcPr>
                <w:p w14:paraId="28924873"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5</w:t>
                  </w:r>
                </w:p>
              </w:tc>
            </w:tr>
            <w:tr w:rsidR="00CE67B8" w:rsidRPr="00216EBD" w14:paraId="1DDFC152" w14:textId="77777777" w:rsidTr="004757C8">
              <w:trPr>
                <w:trHeight w:val="290"/>
                <w:jc w:val="center"/>
              </w:trPr>
              <w:tc>
                <w:tcPr>
                  <w:tcW w:w="8468" w:type="dxa"/>
                  <w:gridSpan w:val="11"/>
                  <w:tcBorders>
                    <w:top w:val="nil"/>
                    <w:left w:val="single" w:sz="4" w:space="0" w:color="auto"/>
                    <w:bottom w:val="single" w:sz="4" w:space="0" w:color="auto"/>
                    <w:right w:val="single" w:sz="4" w:space="0" w:color="000000"/>
                  </w:tcBorders>
                  <w:shd w:val="clear" w:color="000000" w:fill="AEAAAA"/>
                  <w:noWrap/>
                  <w:vAlign w:val="bottom"/>
                  <w:hideMark/>
                </w:tcPr>
                <w:p w14:paraId="7DD98C13" w14:textId="77777777" w:rsidR="00CE67B8" w:rsidRPr="00DD284D" w:rsidRDefault="00CE67B8" w:rsidP="00CE67B8">
                  <w:pPr>
                    <w:spacing w:line="240" w:lineRule="auto"/>
                    <w:jc w:val="center"/>
                    <w:rPr>
                      <w:rFonts w:ascii="Times New Roman" w:eastAsia="Times New Roman" w:hAnsi="Times New Roman"/>
                      <w:sz w:val="18"/>
                      <w:szCs w:val="18"/>
                      <w:lang w:eastAsia="pl-PL"/>
                    </w:rPr>
                  </w:pPr>
                  <w:r w:rsidRPr="00DD284D">
                    <w:rPr>
                      <w:rFonts w:ascii="Times New Roman" w:eastAsia="Times New Roman" w:hAnsi="Times New Roman"/>
                      <w:sz w:val="18"/>
                      <w:szCs w:val="18"/>
                      <w:lang w:eastAsia="pl-PL"/>
                    </w:rPr>
                    <w:t>Koszty w zł</w:t>
                  </w:r>
                </w:p>
              </w:tc>
            </w:tr>
            <w:tr w:rsidR="00CE67B8" w:rsidRPr="00216EBD" w14:paraId="4F2E4842" w14:textId="77777777" w:rsidTr="004757C8">
              <w:trPr>
                <w:trHeight w:val="29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2C08298D" w14:textId="77777777" w:rsidR="00CE67B8" w:rsidRPr="00DD284D" w:rsidRDefault="00CE67B8" w:rsidP="00CE67B8">
                  <w:pPr>
                    <w:spacing w:line="240" w:lineRule="auto"/>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Pozycja 1</w:t>
                  </w:r>
                </w:p>
              </w:tc>
              <w:tc>
                <w:tcPr>
                  <w:tcW w:w="995" w:type="dxa"/>
                  <w:tcBorders>
                    <w:top w:val="nil"/>
                    <w:left w:val="nil"/>
                    <w:bottom w:val="single" w:sz="4" w:space="0" w:color="auto"/>
                    <w:right w:val="single" w:sz="4" w:space="0" w:color="auto"/>
                  </w:tcBorders>
                  <w:shd w:val="clear" w:color="000000" w:fill="FFFFFF"/>
                  <w:noWrap/>
                  <w:vAlign w:val="bottom"/>
                </w:tcPr>
                <w:p w14:paraId="502ED9FE" w14:textId="77777777" w:rsidR="00CE67B8" w:rsidRPr="00DD284D" w:rsidRDefault="00CE67B8" w:rsidP="00CE67B8">
                  <w:pPr>
                    <w:spacing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240 000,00</w:t>
                  </w:r>
                </w:p>
              </w:tc>
              <w:tc>
                <w:tcPr>
                  <w:tcW w:w="855" w:type="dxa"/>
                  <w:tcBorders>
                    <w:top w:val="nil"/>
                    <w:left w:val="nil"/>
                    <w:bottom w:val="single" w:sz="4" w:space="0" w:color="auto"/>
                    <w:right w:val="single" w:sz="4" w:space="0" w:color="auto"/>
                  </w:tcBorders>
                  <w:shd w:val="clear" w:color="000000" w:fill="FFFFFF"/>
                  <w:noWrap/>
                  <w:vAlign w:val="bottom"/>
                </w:tcPr>
                <w:p w14:paraId="306DC1F6"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83" w:type="dxa"/>
                  <w:tcBorders>
                    <w:top w:val="nil"/>
                    <w:left w:val="nil"/>
                    <w:bottom w:val="single" w:sz="4" w:space="0" w:color="auto"/>
                    <w:right w:val="single" w:sz="4" w:space="0" w:color="auto"/>
                  </w:tcBorders>
                  <w:shd w:val="clear" w:color="000000" w:fill="FFFFFF"/>
                  <w:noWrap/>
                  <w:vAlign w:val="bottom"/>
                </w:tcPr>
                <w:p w14:paraId="7DB6C84A"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75" w:type="dxa"/>
                  <w:tcBorders>
                    <w:top w:val="nil"/>
                    <w:left w:val="nil"/>
                    <w:bottom w:val="single" w:sz="4" w:space="0" w:color="auto"/>
                    <w:right w:val="single" w:sz="4" w:space="0" w:color="auto"/>
                  </w:tcBorders>
                  <w:shd w:val="clear" w:color="000000" w:fill="FFFFFF"/>
                  <w:noWrap/>
                  <w:vAlign w:val="bottom"/>
                </w:tcPr>
                <w:p w14:paraId="682EBB7D"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31" w:type="dxa"/>
                  <w:tcBorders>
                    <w:top w:val="nil"/>
                    <w:left w:val="nil"/>
                    <w:bottom w:val="single" w:sz="4" w:space="0" w:color="auto"/>
                    <w:right w:val="single" w:sz="4" w:space="0" w:color="auto"/>
                  </w:tcBorders>
                  <w:shd w:val="clear" w:color="000000" w:fill="FFFFFF"/>
                  <w:noWrap/>
                  <w:vAlign w:val="bottom"/>
                </w:tcPr>
                <w:p w14:paraId="63DB86F2"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00" w:type="dxa"/>
                  <w:tcBorders>
                    <w:top w:val="nil"/>
                    <w:left w:val="nil"/>
                    <w:bottom w:val="single" w:sz="4" w:space="0" w:color="auto"/>
                    <w:right w:val="single" w:sz="4" w:space="0" w:color="auto"/>
                  </w:tcBorders>
                  <w:shd w:val="clear" w:color="000000" w:fill="FFFFFF"/>
                  <w:noWrap/>
                  <w:vAlign w:val="bottom"/>
                </w:tcPr>
                <w:p w14:paraId="77D4D843"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681" w:type="dxa"/>
                  <w:tcBorders>
                    <w:top w:val="nil"/>
                    <w:left w:val="nil"/>
                    <w:bottom w:val="single" w:sz="4" w:space="0" w:color="auto"/>
                    <w:right w:val="single" w:sz="4" w:space="0" w:color="auto"/>
                  </w:tcBorders>
                  <w:shd w:val="clear" w:color="000000" w:fill="FFFFFF"/>
                  <w:noWrap/>
                  <w:vAlign w:val="bottom"/>
                </w:tcPr>
                <w:p w14:paraId="3B798730"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671" w:type="dxa"/>
                  <w:tcBorders>
                    <w:top w:val="nil"/>
                    <w:left w:val="nil"/>
                    <w:bottom w:val="single" w:sz="4" w:space="0" w:color="auto"/>
                    <w:right w:val="single" w:sz="4" w:space="0" w:color="auto"/>
                  </w:tcBorders>
                  <w:shd w:val="clear" w:color="000000" w:fill="FFFFFF"/>
                  <w:noWrap/>
                  <w:vAlign w:val="bottom"/>
                </w:tcPr>
                <w:p w14:paraId="4044183A"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46" w:type="dxa"/>
                  <w:tcBorders>
                    <w:top w:val="nil"/>
                    <w:left w:val="nil"/>
                    <w:bottom w:val="single" w:sz="4" w:space="0" w:color="auto"/>
                    <w:right w:val="single" w:sz="4" w:space="0" w:color="auto"/>
                  </w:tcBorders>
                  <w:shd w:val="clear" w:color="000000" w:fill="FFFFFF"/>
                  <w:noWrap/>
                  <w:vAlign w:val="bottom"/>
                </w:tcPr>
                <w:p w14:paraId="0F62301B"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39" w:type="dxa"/>
                  <w:tcBorders>
                    <w:top w:val="nil"/>
                    <w:left w:val="nil"/>
                    <w:bottom w:val="single" w:sz="4" w:space="0" w:color="auto"/>
                    <w:right w:val="single" w:sz="4" w:space="0" w:color="auto"/>
                  </w:tcBorders>
                  <w:shd w:val="clear" w:color="000000" w:fill="FFFFFF"/>
                  <w:noWrap/>
                  <w:vAlign w:val="bottom"/>
                </w:tcPr>
                <w:p w14:paraId="44DC36C7" w14:textId="77777777" w:rsidR="00CE67B8" w:rsidRPr="00DD284D" w:rsidRDefault="00CE67B8" w:rsidP="00CE67B8">
                  <w:pPr>
                    <w:spacing w:after="12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r>
            <w:tr w:rsidR="00483E26" w:rsidRPr="00216EBD" w14:paraId="077A5D62" w14:textId="77777777" w:rsidTr="004757C8">
              <w:trPr>
                <w:trHeight w:val="29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3D96EF42" w14:textId="77777777" w:rsidR="00483E26" w:rsidRPr="00DD284D" w:rsidRDefault="00483E26" w:rsidP="00483E26">
                  <w:pPr>
                    <w:spacing w:line="240" w:lineRule="auto"/>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Pozycja 2</w:t>
                  </w:r>
                </w:p>
              </w:tc>
              <w:tc>
                <w:tcPr>
                  <w:tcW w:w="995" w:type="dxa"/>
                  <w:tcBorders>
                    <w:top w:val="nil"/>
                    <w:left w:val="nil"/>
                    <w:bottom w:val="single" w:sz="4" w:space="0" w:color="auto"/>
                    <w:right w:val="single" w:sz="4" w:space="0" w:color="auto"/>
                  </w:tcBorders>
                  <w:shd w:val="clear" w:color="000000" w:fill="FFFFFF"/>
                  <w:noWrap/>
                  <w:vAlign w:val="bottom"/>
                  <w:hideMark/>
                </w:tcPr>
                <w:p w14:paraId="6265844D" w14:textId="77777777" w:rsidR="00483E26" w:rsidRPr="00DD284D" w:rsidRDefault="00483E26" w:rsidP="00483E26">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sz w:val="18"/>
                      <w:szCs w:val="18"/>
                      <w:lang w:eastAsia="pl-PL"/>
                    </w:rPr>
                    <w:t>1 725 304,67</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14:paraId="6B916931" w14:textId="3B78A9B5" w:rsidR="00483E26" w:rsidRPr="00CE67B8"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1 976 637,53 </w:t>
                  </w:r>
                </w:p>
              </w:tc>
              <w:tc>
                <w:tcPr>
                  <w:tcW w:w="783" w:type="dxa"/>
                  <w:tcBorders>
                    <w:top w:val="single" w:sz="4" w:space="0" w:color="auto"/>
                    <w:left w:val="nil"/>
                    <w:bottom w:val="single" w:sz="4" w:space="0" w:color="auto"/>
                    <w:right w:val="single" w:sz="4" w:space="0" w:color="auto"/>
                  </w:tcBorders>
                  <w:shd w:val="clear" w:color="auto" w:fill="auto"/>
                  <w:noWrap/>
                  <w:hideMark/>
                </w:tcPr>
                <w:p w14:paraId="447D7A3B" w14:textId="28849E35"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2 081 399,32 </w:t>
                  </w:r>
                </w:p>
              </w:tc>
              <w:tc>
                <w:tcPr>
                  <w:tcW w:w="775" w:type="dxa"/>
                  <w:tcBorders>
                    <w:top w:val="single" w:sz="4" w:space="0" w:color="auto"/>
                    <w:left w:val="nil"/>
                    <w:bottom w:val="single" w:sz="4" w:space="0" w:color="auto"/>
                    <w:right w:val="single" w:sz="4" w:space="0" w:color="auto"/>
                  </w:tcBorders>
                  <w:shd w:val="clear" w:color="auto" w:fill="auto"/>
                  <w:noWrap/>
                  <w:hideMark/>
                </w:tcPr>
                <w:p w14:paraId="1CC705F9" w14:textId="1FB1D7FC"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2 191 713,49 </w:t>
                  </w:r>
                </w:p>
              </w:tc>
              <w:tc>
                <w:tcPr>
                  <w:tcW w:w="731" w:type="dxa"/>
                  <w:tcBorders>
                    <w:top w:val="single" w:sz="4" w:space="0" w:color="auto"/>
                    <w:left w:val="nil"/>
                    <w:bottom w:val="single" w:sz="4" w:space="0" w:color="auto"/>
                    <w:right w:val="single" w:sz="4" w:space="0" w:color="auto"/>
                  </w:tcBorders>
                  <w:shd w:val="clear" w:color="auto" w:fill="auto"/>
                  <w:noWrap/>
                  <w:hideMark/>
                </w:tcPr>
                <w:p w14:paraId="1A3CE173" w14:textId="11C014FA"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2 307 823,54 </w:t>
                  </w:r>
                </w:p>
              </w:tc>
              <w:tc>
                <w:tcPr>
                  <w:tcW w:w="700" w:type="dxa"/>
                  <w:tcBorders>
                    <w:top w:val="single" w:sz="4" w:space="0" w:color="auto"/>
                    <w:left w:val="nil"/>
                    <w:bottom w:val="single" w:sz="4" w:space="0" w:color="auto"/>
                    <w:right w:val="single" w:sz="4" w:space="0" w:color="auto"/>
                  </w:tcBorders>
                  <w:shd w:val="clear" w:color="auto" w:fill="auto"/>
                  <w:noWrap/>
                  <w:hideMark/>
                </w:tcPr>
                <w:p w14:paraId="2CA1B0E6" w14:textId="1C2C283D"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2 430 084,78 </w:t>
                  </w:r>
                </w:p>
              </w:tc>
              <w:tc>
                <w:tcPr>
                  <w:tcW w:w="681" w:type="dxa"/>
                  <w:tcBorders>
                    <w:top w:val="single" w:sz="4" w:space="0" w:color="auto"/>
                    <w:left w:val="nil"/>
                    <w:bottom w:val="single" w:sz="4" w:space="0" w:color="auto"/>
                    <w:right w:val="single" w:sz="4" w:space="0" w:color="auto"/>
                  </w:tcBorders>
                  <w:shd w:val="clear" w:color="auto" w:fill="auto"/>
                  <w:noWrap/>
                  <w:hideMark/>
                </w:tcPr>
                <w:p w14:paraId="520C4344" w14:textId="3F7CAA09"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2 558 766,92 </w:t>
                  </w:r>
                </w:p>
              </w:tc>
              <w:tc>
                <w:tcPr>
                  <w:tcW w:w="671" w:type="dxa"/>
                  <w:tcBorders>
                    <w:top w:val="single" w:sz="4" w:space="0" w:color="auto"/>
                    <w:left w:val="nil"/>
                    <w:bottom w:val="single" w:sz="4" w:space="0" w:color="auto"/>
                    <w:right w:val="single" w:sz="4" w:space="0" w:color="auto"/>
                  </w:tcBorders>
                  <w:shd w:val="clear" w:color="auto" w:fill="auto"/>
                  <w:noWrap/>
                  <w:hideMark/>
                </w:tcPr>
                <w:p w14:paraId="3B7D6E21" w14:textId="41C7B502"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2 694 204,43 </w:t>
                  </w:r>
                </w:p>
              </w:tc>
              <w:tc>
                <w:tcPr>
                  <w:tcW w:w="746" w:type="dxa"/>
                  <w:tcBorders>
                    <w:top w:val="single" w:sz="4" w:space="0" w:color="auto"/>
                    <w:left w:val="nil"/>
                    <w:bottom w:val="single" w:sz="4" w:space="0" w:color="auto"/>
                    <w:right w:val="single" w:sz="4" w:space="0" w:color="auto"/>
                  </w:tcBorders>
                  <w:shd w:val="clear" w:color="auto" w:fill="auto"/>
                  <w:noWrap/>
                  <w:hideMark/>
                </w:tcPr>
                <w:p w14:paraId="55F6CD71" w14:textId="065FBBCE"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2 836 811,27 </w:t>
                  </w:r>
                </w:p>
              </w:tc>
              <w:tc>
                <w:tcPr>
                  <w:tcW w:w="739" w:type="dxa"/>
                  <w:tcBorders>
                    <w:top w:val="single" w:sz="4" w:space="0" w:color="auto"/>
                    <w:left w:val="nil"/>
                    <w:bottom w:val="single" w:sz="4" w:space="0" w:color="auto"/>
                    <w:right w:val="single" w:sz="4" w:space="0" w:color="auto"/>
                  </w:tcBorders>
                  <w:shd w:val="clear" w:color="auto" w:fill="auto"/>
                  <w:noWrap/>
                  <w:hideMark/>
                </w:tcPr>
                <w:p w14:paraId="78343FA4" w14:textId="256FC4A0"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2 986 966,98 </w:t>
                  </w:r>
                </w:p>
              </w:tc>
            </w:tr>
            <w:tr w:rsidR="00483E26" w:rsidRPr="00216EBD" w14:paraId="238F5576" w14:textId="77777777" w:rsidTr="007B2A24">
              <w:trPr>
                <w:trHeight w:val="290"/>
                <w:jc w:val="center"/>
              </w:trPr>
              <w:tc>
                <w:tcPr>
                  <w:tcW w:w="792" w:type="dxa"/>
                  <w:tcBorders>
                    <w:top w:val="nil"/>
                    <w:left w:val="single" w:sz="4" w:space="0" w:color="auto"/>
                    <w:bottom w:val="single" w:sz="4" w:space="0" w:color="auto"/>
                    <w:right w:val="single" w:sz="4" w:space="0" w:color="auto"/>
                  </w:tcBorders>
                  <w:shd w:val="clear" w:color="auto" w:fill="auto"/>
                  <w:noWrap/>
                  <w:vAlign w:val="bottom"/>
                  <w:hideMark/>
                </w:tcPr>
                <w:p w14:paraId="7C5D342B" w14:textId="77777777" w:rsidR="00483E26" w:rsidRPr="00DD284D" w:rsidRDefault="00483E26" w:rsidP="00483E26">
                  <w:pPr>
                    <w:spacing w:line="240" w:lineRule="auto"/>
                    <w:rPr>
                      <w:rFonts w:ascii="Times New Roman" w:eastAsia="Times New Roman" w:hAnsi="Times New Roman"/>
                      <w:b/>
                      <w:bCs/>
                      <w:color w:val="000000"/>
                      <w:sz w:val="18"/>
                      <w:szCs w:val="18"/>
                      <w:lang w:eastAsia="pl-PL"/>
                    </w:rPr>
                  </w:pPr>
                  <w:r w:rsidRPr="00DD284D">
                    <w:rPr>
                      <w:rFonts w:ascii="Times New Roman" w:eastAsia="Times New Roman" w:hAnsi="Times New Roman"/>
                      <w:b/>
                      <w:bCs/>
                      <w:color w:val="000000"/>
                      <w:sz w:val="18"/>
                      <w:szCs w:val="18"/>
                      <w:lang w:eastAsia="pl-PL"/>
                    </w:rPr>
                    <w:t>SUMA</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14:paraId="1EA73EF9" w14:textId="77777777" w:rsidR="00483E26" w:rsidRPr="008A6112" w:rsidRDefault="00483E26" w:rsidP="00483E26">
                  <w:pPr>
                    <w:spacing w:line="240" w:lineRule="auto"/>
                    <w:jc w:val="center"/>
                    <w:rPr>
                      <w:rFonts w:ascii="Times New Roman" w:eastAsia="Times New Roman" w:hAnsi="Times New Roman"/>
                      <w:b/>
                      <w:bCs/>
                      <w:color w:val="000000"/>
                      <w:sz w:val="18"/>
                      <w:szCs w:val="18"/>
                      <w:lang w:eastAsia="pl-PL"/>
                    </w:rPr>
                  </w:pPr>
                  <w:r w:rsidRPr="008A6112">
                    <w:rPr>
                      <w:rFonts w:ascii="Times New Roman" w:hAnsi="Times New Roman"/>
                      <w:b/>
                      <w:bCs/>
                      <w:sz w:val="18"/>
                      <w:szCs w:val="18"/>
                    </w:rPr>
                    <w:t xml:space="preserve">1 965 304,67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14:paraId="112798EC" w14:textId="21187454" w:rsidR="00483E26" w:rsidRPr="00CE67B8"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1 976 637,53 </w:t>
                  </w:r>
                </w:p>
              </w:tc>
              <w:tc>
                <w:tcPr>
                  <w:tcW w:w="783" w:type="dxa"/>
                  <w:tcBorders>
                    <w:top w:val="single" w:sz="4" w:space="0" w:color="auto"/>
                    <w:left w:val="nil"/>
                    <w:bottom w:val="single" w:sz="4" w:space="0" w:color="auto"/>
                    <w:right w:val="single" w:sz="4" w:space="0" w:color="auto"/>
                  </w:tcBorders>
                  <w:shd w:val="clear" w:color="auto" w:fill="auto"/>
                  <w:noWrap/>
                  <w:hideMark/>
                </w:tcPr>
                <w:p w14:paraId="37224DA2" w14:textId="0C6B2EEB"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2 081 399,32 </w:t>
                  </w:r>
                </w:p>
              </w:tc>
              <w:tc>
                <w:tcPr>
                  <w:tcW w:w="775" w:type="dxa"/>
                  <w:tcBorders>
                    <w:top w:val="single" w:sz="4" w:space="0" w:color="auto"/>
                    <w:left w:val="nil"/>
                    <w:bottom w:val="single" w:sz="4" w:space="0" w:color="auto"/>
                    <w:right w:val="single" w:sz="4" w:space="0" w:color="auto"/>
                  </w:tcBorders>
                  <w:shd w:val="clear" w:color="auto" w:fill="auto"/>
                  <w:noWrap/>
                  <w:hideMark/>
                </w:tcPr>
                <w:p w14:paraId="3A0906A9" w14:textId="4CFB24A8"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2 191 713,49 </w:t>
                  </w:r>
                </w:p>
              </w:tc>
              <w:tc>
                <w:tcPr>
                  <w:tcW w:w="731" w:type="dxa"/>
                  <w:tcBorders>
                    <w:top w:val="single" w:sz="4" w:space="0" w:color="auto"/>
                    <w:left w:val="nil"/>
                    <w:bottom w:val="single" w:sz="4" w:space="0" w:color="auto"/>
                    <w:right w:val="single" w:sz="4" w:space="0" w:color="auto"/>
                  </w:tcBorders>
                  <w:shd w:val="clear" w:color="auto" w:fill="auto"/>
                  <w:noWrap/>
                  <w:hideMark/>
                </w:tcPr>
                <w:p w14:paraId="07514DD3" w14:textId="549723D2"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2 307 823,54 </w:t>
                  </w:r>
                </w:p>
              </w:tc>
              <w:tc>
                <w:tcPr>
                  <w:tcW w:w="700" w:type="dxa"/>
                  <w:tcBorders>
                    <w:top w:val="single" w:sz="4" w:space="0" w:color="auto"/>
                    <w:left w:val="nil"/>
                    <w:bottom w:val="single" w:sz="4" w:space="0" w:color="auto"/>
                    <w:right w:val="single" w:sz="4" w:space="0" w:color="auto"/>
                  </w:tcBorders>
                  <w:shd w:val="clear" w:color="auto" w:fill="auto"/>
                  <w:noWrap/>
                  <w:hideMark/>
                </w:tcPr>
                <w:p w14:paraId="5523559E" w14:textId="2AA54AFD"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2 430 084,78 </w:t>
                  </w:r>
                </w:p>
              </w:tc>
              <w:tc>
                <w:tcPr>
                  <w:tcW w:w="681" w:type="dxa"/>
                  <w:tcBorders>
                    <w:top w:val="single" w:sz="4" w:space="0" w:color="auto"/>
                    <w:left w:val="nil"/>
                    <w:bottom w:val="single" w:sz="4" w:space="0" w:color="auto"/>
                    <w:right w:val="single" w:sz="4" w:space="0" w:color="auto"/>
                  </w:tcBorders>
                  <w:shd w:val="clear" w:color="auto" w:fill="auto"/>
                  <w:noWrap/>
                  <w:hideMark/>
                </w:tcPr>
                <w:p w14:paraId="4798708E" w14:textId="3E828D98"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2 558 766,92 </w:t>
                  </w:r>
                </w:p>
              </w:tc>
              <w:tc>
                <w:tcPr>
                  <w:tcW w:w="671" w:type="dxa"/>
                  <w:tcBorders>
                    <w:top w:val="single" w:sz="4" w:space="0" w:color="auto"/>
                    <w:left w:val="nil"/>
                    <w:bottom w:val="single" w:sz="4" w:space="0" w:color="auto"/>
                    <w:right w:val="single" w:sz="4" w:space="0" w:color="auto"/>
                  </w:tcBorders>
                  <w:shd w:val="clear" w:color="auto" w:fill="auto"/>
                  <w:noWrap/>
                  <w:hideMark/>
                </w:tcPr>
                <w:p w14:paraId="3E22CF7A" w14:textId="6C23F03D"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2 694 204,43 </w:t>
                  </w:r>
                </w:p>
              </w:tc>
              <w:tc>
                <w:tcPr>
                  <w:tcW w:w="746" w:type="dxa"/>
                  <w:tcBorders>
                    <w:top w:val="single" w:sz="4" w:space="0" w:color="auto"/>
                    <w:left w:val="nil"/>
                    <w:bottom w:val="single" w:sz="4" w:space="0" w:color="auto"/>
                    <w:right w:val="single" w:sz="4" w:space="0" w:color="auto"/>
                  </w:tcBorders>
                  <w:shd w:val="clear" w:color="auto" w:fill="auto"/>
                  <w:noWrap/>
                  <w:hideMark/>
                </w:tcPr>
                <w:p w14:paraId="587E57A1" w14:textId="37E5F393"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2 836 811,27 </w:t>
                  </w:r>
                </w:p>
              </w:tc>
              <w:tc>
                <w:tcPr>
                  <w:tcW w:w="739" w:type="dxa"/>
                  <w:tcBorders>
                    <w:top w:val="single" w:sz="4" w:space="0" w:color="auto"/>
                    <w:left w:val="nil"/>
                    <w:bottom w:val="single" w:sz="4" w:space="0" w:color="auto"/>
                    <w:right w:val="single" w:sz="4" w:space="0" w:color="auto"/>
                  </w:tcBorders>
                  <w:shd w:val="clear" w:color="auto" w:fill="auto"/>
                  <w:noWrap/>
                  <w:hideMark/>
                </w:tcPr>
                <w:p w14:paraId="01F4B34D" w14:textId="15B96B20"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2 986 966,98 </w:t>
                  </w:r>
                </w:p>
              </w:tc>
            </w:tr>
          </w:tbl>
          <w:p w14:paraId="76FD73D3" w14:textId="5E743934" w:rsidR="00216EBD" w:rsidRPr="00A33173" w:rsidRDefault="00216EBD" w:rsidP="00216EBD">
            <w:pPr>
              <w:suppressAutoHyphens/>
              <w:spacing w:after="120" w:line="240" w:lineRule="auto"/>
              <w:jc w:val="both"/>
              <w:rPr>
                <w:rFonts w:ascii="Times New Roman" w:hAnsi="Times New Roman"/>
                <w:b/>
                <w:bCs/>
                <w:color w:val="000000"/>
              </w:rPr>
            </w:pPr>
            <w:r w:rsidRPr="00A33173">
              <w:rPr>
                <w:rFonts w:ascii="Times New Roman" w:hAnsi="Times New Roman"/>
                <w:b/>
                <w:bCs/>
                <w:color w:val="000000"/>
              </w:rPr>
              <w:t xml:space="preserve">Łączne koszty samorządów wojewódzkich </w:t>
            </w:r>
            <w:r w:rsidRPr="00A33173">
              <w:rPr>
                <w:rFonts w:ascii="Times New Roman" w:hAnsi="Times New Roman"/>
                <w:color w:val="000000"/>
              </w:rPr>
              <w:t>w latach 202</w:t>
            </w:r>
            <w:r w:rsidR="00A05C9E">
              <w:rPr>
                <w:rFonts w:ascii="Times New Roman" w:hAnsi="Times New Roman"/>
                <w:color w:val="000000"/>
              </w:rPr>
              <w:t>6</w:t>
            </w:r>
            <w:r w:rsidRPr="00A33173">
              <w:rPr>
                <w:rFonts w:ascii="Times New Roman" w:hAnsi="Times New Roman"/>
                <w:color w:val="000000"/>
              </w:rPr>
              <w:t>-203</w:t>
            </w:r>
            <w:r w:rsidR="00A05C9E">
              <w:rPr>
                <w:rFonts w:ascii="Times New Roman" w:hAnsi="Times New Roman"/>
                <w:color w:val="000000"/>
              </w:rPr>
              <w:t>5</w:t>
            </w:r>
            <w:r w:rsidRPr="00A33173">
              <w:rPr>
                <w:rFonts w:ascii="Times New Roman" w:hAnsi="Times New Roman"/>
                <w:color w:val="000000"/>
              </w:rPr>
              <w:t>:</w:t>
            </w:r>
            <w:r w:rsidRPr="00A33173">
              <w:rPr>
                <w:rFonts w:ascii="Times New Roman" w:hAnsi="Times New Roman"/>
                <w:b/>
                <w:bCs/>
                <w:color w:val="000000"/>
              </w:rPr>
              <w:t xml:space="preserve"> </w:t>
            </w:r>
            <w:r w:rsidR="00483E26" w:rsidRPr="00483E26">
              <w:rPr>
                <w:rFonts w:ascii="Times New Roman" w:hAnsi="Times New Roman"/>
                <w:b/>
                <w:bCs/>
                <w:color w:val="000000"/>
              </w:rPr>
              <w:t xml:space="preserve">24 029 712,93 </w:t>
            </w:r>
            <w:r w:rsidR="00803064">
              <w:rPr>
                <w:rFonts w:ascii="Times New Roman" w:hAnsi="Times New Roman"/>
                <w:b/>
                <w:bCs/>
                <w:color w:val="000000"/>
              </w:rPr>
              <w:t xml:space="preserve"> </w:t>
            </w:r>
            <w:r w:rsidRPr="00A33173">
              <w:rPr>
                <w:rFonts w:ascii="Times New Roman" w:hAnsi="Times New Roman"/>
                <w:b/>
                <w:bCs/>
                <w:color w:val="000000"/>
              </w:rPr>
              <w:t>zł.</w:t>
            </w:r>
          </w:p>
          <w:p w14:paraId="028F355B" w14:textId="464816E1" w:rsidR="00EB202E" w:rsidRDefault="00216EBD" w:rsidP="00216EBD">
            <w:pPr>
              <w:suppressAutoHyphens/>
              <w:spacing w:after="120" w:line="240" w:lineRule="auto"/>
              <w:jc w:val="both"/>
              <w:rPr>
                <w:rFonts w:ascii="Times New Roman" w:hAnsi="Times New Roman"/>
                <w:color w:val="000000"/>
              </w:rPr>
            </w:pPr>
            <w:r w:rsidRPr="001650CD">
              <w:rPr>
                <w:rFonts w:ascii="Times New Roman" w:hAnsi="Times New Roman"/>
                <w:color w:val="000000"/>
              </w:rPr>
              <w:t>Do zakresu obowiązków pracownik</w:t>
            </w:r>
            <w:r>
              <w:rPr>
                <w:rFonts w:ascii="Times New Roman" w:hAnsi="Times New Roman"/>
                <w:color w:val="000000"/>
              </w:rPr>
              <w:t>a organu samorządu województwa</w:t>
            </w:r>
            <w:r w:rsidRPr="001650CD">
              <w:rPr>
                <w:rFonts w:ascii="Times New Roman" w:hAnsi="Times New Roman"/>
                <w:color w:val="000000"/>
              </w:rPr>
              <w:t xml:space="preserve"> odpowiedzialn</w:t>
            </w:r>
            <w:r>
              <w:rPr>
                <w:rFonts w:ascii="Times New Roman" w:hAnsi="Times New Roman"/>
                <w:color w:val="000000"/>
              </w:rPr>
              <w:t>ego</w:t>
            </w:r>
            <w:r w:rsidRPr="001650CD">
              <w:rPr>
                <w:rFonts w:ascii="Times New Roman" w:hAnsi="Times New Roman"/>
                <w:color w:val="000000"/>
              </w:rPr>
              <w:t xml:space="preserve"> za </w:t>
            </w:r>
            <w:r>
              <w:rPr>
                <w:rFonts w:ascii="Times New Roman" w:hAnsi="Times New Roman"/>
                <w:color w:val="000000"/>
              </w:rPr>
              <w:t xml:space="preserve">wdrożenie obszarów przyspieszonego rozwoju </w:t>
            </w:r>
            <w:r w:rsidR="006B1C98">
              <w:rPr>
                <w:rFonts w:ascii="Times New Roman" w:hAnsi="Times New Roman"/>
                <w:color w:val="000000"/>
              </w:rPr>
              <w:t xml:space="preserve">instalacji </w:t>
            </w:r>
            <w:r>
              <w:rPr>
                <w:rFonts w:ascii="Times New Roman" w:hAnsi="Times New Roman"/>
                <w:color w:val="000000"/>
              </w:rPr>
              <w:t>OZE</w:t>
            </w:r>
            <w:r w:rsidRPr="001650CD">
              <w:rPr>
                <w:rFonts w:ascii="Times New Roman" w:hAnsi="Times New Roman"/>
                <w:color w:val="000000"/>
              </w:rPr>
              <w:t xml:space="preserve"> należeć będzie:</w:t>
            </w:r>
          </w:p>
          <w:p w14:paraId="69FCA2D8" w14:textId="083DD5C2" w:rsidR="0024142A" w:rsidRDefault="00216EBD" w:rsidP="0024142A">
            <w:pPr>
              <w:pStyle w:val="Akapitzlist"/>
              <w:numPr>
                <w:ilvl w:val="0"/>
                <w:numId w:val="81"/>
              </w:numPr>
              <w:suppressAutoHyphens/>
              <w:spacing w:after="120" w:line="240" w:lineRule="auto"/>
              <w:jc w:val="both"/>
              <w:rPr>
                <w:rFonts w:ascii="Times New Roman" w:hAnsi="Times New Roman"/>
                <w:color w:val="000000"/>
              </w:rPr>
            </w:pPr>
            <w:r w:rsidRPr="0024142A">
              <w:rPr>
                <w:rFonts w:ascii="Times New Roman" w:hAnsi="Times New Roman"/>
                <w:color w:val="000000"/>
              </w:rPr>
              <w:t xml:space="preserve">weryfikacja map potencjału energii ze źródeł odnawialnych pod kątem wyznaczonych </w:t>
            </w:r>
            <w:r w:rsidR="00944BCE" w:rsidRPr="0024142A">
              <w:rPr>
                <w:rFonts w:ascii="Times New Roman" w:hAnsi="Times New Roman"/>
                <w:color w:val="000000"/>
              </w:rPr>
              <w:t>w</w:t>
            </w:r>
            <w:r w:rsidR="00944BCE">
              <w:rPr>
                <w:rFonts w:ascii="Times New Roman" w:hAnsi="Times New Roman"/>
                <w:color w:val="000000"/>
              </w:rPr>
              <w:t> </w:t>
            </w:r>
            <w:r w:rsidRPr="0024142A">
              <w:rPr>
                <w:rFonts w:ascii="Times New Roman" w:hAnsi="Times New Roman"/>
                <w:color w:val="000000"/>
              </w:rPr>
              <w:t xml:space="preserve">nich obszarów, znajdujących się na terenie danego województwa oraz </w:t>
            </w:r>
            <w:r w:rsidR="00AA6961" w:rsidRPr="0024142A">
              <w:rPr>
                <w:rFonts w:ascii="Times New Roman" w:hAnsi="Times New Roman"/>
                <w:color w:val="000000"/>
              </w:rPr>
              <w:t xml:space="preserve">określenie </w:t>
            </w:r>
            <w:r w:rsidRPr="0024142A">
              <w:rPr>
                <w:rFonts w:ascii="Times New Roman" w:hAnsi="Times New Roman"/>
                <w:color w:val="000000"/>
              </w:rPr>
              <w:t xml:space="preserve">zasadności wszczęcia procesu sporządzania planów obszarów przyspieszonego rozwoju </w:t>
            </w:r>
            <w:r w:rsidR="006B1C98" w:rsidRPr="006B1C98">
              <w:rPr>
                <w:rFonts w:ascii="Times New Roman" w:hAnsi="Times New Roman"/>
                <w:color w:val="000000"/>
              </w:rPr>
              <w:t>instalacji odnawialnego źródła energii</w:t>
            </w:r>
            <w:r w:rsidR="006B1C98">
              <w:rPr>
                <w:rFonts w:ascii="Times New Roman" w:hAnsi="Times New Roman"/>
                <w:color w:val="000000"/>
              </w:rPr>
              <w:t xml:space="preserve"> </w:t>
            </w:r>
            <w:r w:rsidRPr="0024142A">
              <w:rPr>
                <w:rFonts w:ascii="Times New Roman" w:hAnsi="Times New Roman"/>
                <w:color w:val="000000"/>
              </w:rPr>
              <w:t xml:space="preserve"> dla województwa</w:t>
            </w:r>
            <w:r w:rsidR="00AA6961" w:rsidRPr="0024142A">
              <w:rPr>
                <w:rFonts w:ascii="Times New Roman" w:hAnsi="Times New Roman"/>
                <w:color w:val="000000"/>
              </w:rPr>
              <w:t xml:space="preserve"> w zakresie poszczególnych technologii OZE</w:t>
            </w:r>
            <w:r w:rsidR="0024142A">
              <w:rPr>
                <w:rFonts w:ascii="Times New Roman" w:hAnsi="Times New Roman"/>
                <w:color w:val="000000"/>
              </w:rPr>
              <w:t>;</w:t>
            </w:r>
          </w:p>
          <w:p w14:paraId="327C79ED" w14:textId="5CA3DA8D" w:rsidR="0024142A" w:rsidRDefault="00AA6961" w:rsidP="0024142A">
            <w:pPr>
              <w:pStyle w:val="Akapitzlist"/>
              <w:numPr>
                <w:ilvl w:val="0"/>
                <w:numId w:val="81"/>
              </w:numPr>
              <w:suppressAutoHyphens/>
              <w:spacing w:after="120" w:line="240" w:lineRule="auto"/>
              <w:jc w:val="both"/>
              <w:rPr>
                <w:rFonts w:ascii="Times New Roman" w:hAnsi="Times New Roman"/>
                <w:color w:val="000000"/>
              </w:rPr>
            </w:pPr>
            <w:r w:rsidRPr="0024142A">
              <w:rPr>
                <w:rFonts w:ascii="Times New Roman" w:hAnsi="Times New Roman"/>
                <w:color w:val="000000"/>
              </w:rPr>
              <w:t xml:space="preserve">opracowanie mechanizmu </w:t>
            </w:r>
            <w:r w:rsidR="00216EBD" w:rsidRPr="0024142A">
              <w:rPr>
                <w:rFonts w:ascii="Times New Roman" w:hAnsi="Times New Roman"/>
                <w:color w:val="000000"/>
              </w:rPr>
              <w:t>prowadzeni</w:t>
            </w:r>
            <w:r w:rsidRPr="0024142A">
              <w:rPr>
                <w:rFonts w:ascii="Times New Roman" w:hAnsi="Times New Roman"/>
                <w:color w:val="000000"/>
              </w:rPr>
              <w:t>a</w:t>
            </w:r>
            <w:r w:rsidR="00216EBD" w:rsidRPr="0024142A">
              <w:rPr>
                <w:rFonts w:ascii="Times New Roman" w:hAnsi="Times New Roman"/>
                <w:color w:val="000000"/>
              </w:rPr>
              <w:t xml:space="preserve"> działań w zakresie </w:t>
            </w:r>
            <w:r w:rsidRPr="0024142A">
              <w:rPr>
                <w:rFonts w:ascii="Times New Roman" w:hAnsi="Times New Roman"/>
                <w:color w:val="000000"/>
              </w:rPr>
              <w:t>sporządz</w:t>
            </w:r>
            <w:r w:rsidR="00216EBD" w:rsidRPr="0024142A">
              <w:rPr>
                <w:rFonts w:ascii="Times New Roman" w:hAnsi="Times New Roman"/>
                <w:color w:val="000000"/>
              </w:rPr>
              <w:t xml:space="preserve">ania planów obszarów przyspieszonego rozwoju </w:t>
            </w:r>
            <w:r w:rsidR="006B1C98" w:rsidRPr="006B1C98">
              <w:rPr>
                <w:rFonts w:ascii="Times New Roman" w:hAnsi="Times New Roman"/>
                <w:color w:val="000000"/>
              </w:rPr>
              <w:t>instalacji odnawialnego źródła energii</w:t>
            </w:r>
            <w:r w:rsidR="006B1C98">
              <w:rPr>
                <w:rFonts w:ascii="Times New Roman" w:hAnsi="Times New Roman"/>
                <w:color w:val="000000"/>
              </w:rPr>
              <w:t xml:space="preserve"> </w:t>
            </w:r>
            <w:r w:rsidR="00216EBD" w:rsidRPr="0024142A">
              <w:rPr>
                <w:rFonts w:ascii="Times New Roman" w:hAnsi="Times New Roman"/>
                <w:color w:val="000000"/>
              </w:rPr>
              <w:t xml:space="preserve"> dla województwa </w:t>
            </w:r>
            <w:r w:rsidRPr="0024142A">
              <w:rPr>
                <w:rFonts w:ascii="Times New Roman" w:hAnsi="Times New Roman"/>
                <w:color w:val="000000"/>
              </w:rPr>
              <w:t xml:space="preserve">oraz ich procedowanie </w:t>
            </w:r>
            <w:r w:rsidR="00216EBD" w:rsidRPr="0024142A">
              <w:rPr>
                <w:rFonts w:ascii="Times New Roman" w:hAnsi="Times New Roman"/>
                <w:color w:val="000000"/>
              </w:rPr>
              <w:t>w oparciu o wymogi ustawowe, w tym współpraca z organami opiniującymi</w:t>
            </w:r>
            <w:r w:rsidRPr="0024142A">
              <w:rPr>
                <w:rFonts w:ascii="Times New Roman" w:hAnsi="Times New Roman"/>
                <w:color w:val="000000"/>
              </w:rPr>
              <w:t xml:space="preserve"> i</w:t>
            </w:r>
            <w:r w:rsidR="00216EBD" w:rsidRPr="0024142A">
              <w:rPr>
                <w:rFonts w:ascii="Times New Roman" w:hAnsi="Times New Roman"/>
                <w:color w:val="000000"/>
              </w:rPr>
              <w:t xml:space="preserve"> jednostkami samorządu gminnego,</w:t>
            </w:r>
            <w:r w:rsidR="00FC51F0" w:rsidRPr="0024142A">
              <w:rPr>
                <w:rFonts w:ascii="Times New Roman" w:hAnsi="Times New Roman"/>
                <w:color w:val="000000"/>
              </w:rPr>
              <w:t xml:space="preserve"> weryfikacja dokumentacji, harmonizacja danych</w:t>
            </w:r>
            <w:r w:rsidR="0024142A">
              <w:rPr>
                <w:rFonts w:ascii="Times New Roman" w:hAnsi="Times New Roman"/>
                <w:color w:val="000000"/>
              </w:rPr>
              <w:t>;</w:t>
            </w:r>
          </w:p>
          <w:p w14:paraId="74516D45" w14:textId="473E23A8" w:rsidR="00216EBD" w:rsidRPr="0024142A" w:rsidRDefault="00216EBD" w:rsidP="0024142A">
            <w:pPr>
              <w:pStyle w:val="Akapitzlist"/>
              <w:numPr>
                <w:ilvl w:val="0"/>
                <w:numId w:val="81"/>
              </w:numPr>
              <w:suppressAutoHyphens/>
              <w:spacing w:after="120" w:line="240" w:lineRule="auto"/>
              <w:jc w:val="both"/>
              <w:rPr>
                <w:rFonts w:ascii="Times New Roman" w:hAnsi="Times New Roman"/>
                <w:color w:val="000000"/>
              </w:rPr>
            </w:pPr>
            <w:r w:rsidRPr="0024142A">
              <w:rPr>
                <w:rFonts w:ascii="Times New Roman" w:hAnsi="Times New Roman"/>
                <w:color w:val="000000"/>
              </w:rPr>
              <w:t xml:space="preserve">prowadzenie cyklicznego monitoringu w zakresie potrzeby aktualizacji planów obszarów przyspieszonego rozwoju </w:t>
            </w:r>
            <w:r w:rsidR="006B1C98" w:rsidRPr="006B1C98">
              <w:rPr>
                <w:rFonts w:ascii="Times New Roman" w:hAnsi="Times New Roman"/>
                <w:color w:val="000000"/>
              </w:rPr>
              <w:t>instalacji odnawialnego źródła energii</w:t>
            </w:r>
            <w:r w:rsidR="006B1C98">
              <w:rPr>
                <w:rFonts w:ascii="Times New Roman" w:hAnsi="Times New Roman"/>
                <w:color w:val="000000"/>
              </w:rPr>
              <w:t xml:space="preserve"> </w:t>
            </w:r>
            <w:r w:rsidRPr="0024142A">
              <w:rPr>
                <w:rFonts w:ascii="Times New Roman" w:hAnsi="Times New Roman"/>
                <w:color w:val="000000"/>
              </w:rPr>
              <w:t xml:space="preserve"> dla województwa, wynikającej ze zmian prawnych, infrastrukturalnych czy przestrzennych w kontekście uwarunkowań dla możliwości wyznaczania OPRO lub związanej </w:t>
            </w:r>
            <w:r w:rsidR="00944BCE" w:rsidRPr="0024142A">
              <w:rPr>
                <w:rFonts w:ascii="Times New Roman" w:hAnsi="Times New Roman"/>
                <w:color w:val="000000"/>
              </w:rPr>
              <w:t>z</w:t>
            </w:r>
            <w:r w:rsidR="00944BCE">
              <w:rPr>
                <w:rFonts w:ascii="Times New Roman" w:hAnsi="Times New Roman"/>
                <w:color w:val="000000"/>
              </w:rPr>
              <w:t> </w:t>
            </w:r>
            <w:r w:rsidRPr="0024142A">
              <w:rPr>
                <w:rFonts w:ascii="Times New Roman" w:hAnsi="Times New Roman"/>
                <w:color w:val="000000"/>
              </w:rPr>
              <w:t xml:space="preserve">wymogiem aktualizacji map potencjału energii ze źródeł odnawialnych, wpływających na obszar, który może zostać przeznaczony na wyznaczenie </w:t>
            </w:r>
            <w:r w:rsidR="00DC24A5" w:rsidRPr="0024142A">
              <w:rPr>
                <w:rFonts w:ascii="Times New Roman" w:hAnsi="Times New Roman"/>
                <w:color w:val="000000"/>
              </w:rPr>
              <w:t>OPRO</w:t>
            </w:r>
            <w:r w:rsidRPr="0024142A">
              <w:rPr>
                <w:rFonts w:ascii="Times New Roman" w:hAnsi="Times New Roman"/>
                <w:color w:val="000000"/>
              </w:rPr>
              <w:t>.</w:t>
            </w:r>
          </w:p>
          <w:p w14:paraId="72D9E793" w14:textId="77777777" w:rsidR="00216EBD" w:rsidRDefault="00216EBD" w:rsidP="00216EBD">
            <w:pPr>
              <w:suppressAutoHyphens/>
              <w:spacing w:after="120" w:line="240" w:lineRule="auto"/>
              <w:jc w:val="both"/>
              <w:rPr>
                <w:rFonts w:ascii="Times New Roman" w:hAnsi="Times New Roman"/>
                <w:color w:val="000000"/>
              </w:rPr>
            </w:pPr>
            <w:r>
              <w:rPr>
                <w:rFonts w:ascii="Times New Roman" w:hAnsi="Times New Roman"/>
                <w:color w:val="000000"/>
              </w:rPr>
              <w:t>W przypadku</w:t>
            </w:r>
            <w:r w:rsidRPr="00870E52">
              <w:rPr>
                <w:rFonts w:ascii="Times New Roman" w:hAnsi="Times New Roman"/>
                <w:color w:val="000000"/>
              </w:rPr>
              <w:t xml:space="preserve"> planowan</w:t>
            </w:r>
            <w:r>
              <w:rPr>
                <w:rFonts w:ascii="Times New Roman" w:hAnsi="Times New Roman"/>
                <w:color w:val="000000"/>
              </w:rPr>
              <w:t>ych</w:t>
            </w:r>
            <w:r w:rsidRPr="00870E52">
              <w:rPr>
                <w:rFonts w:ascii="Times New Roman" w:hAnsi="Times New Roman"/>
                <w:color w:val="000000"/>
              </w:rPr>
              <w:t xml:space="preserve"> etat</w:t>
            </w:r>
            <w:r>
              <w:rPr>
                <w:rFonts w:ascii="Times New Roman" w:hAnsi="Times New Roman"/>
                <w:color w:val="000000"/>
              </w:rPr>
              <w:t>ów</w:t>
            </w:r>
            <w:r w:rsidRPr="00870E52">
              <w:rPr>
                <w:rFonts w:ascii="Times New Roman" w:hAnsi="Times New Roman"/>
                <w:color w:val="000000"/>
              </w:rPr>
              <w:t xml:space="preserve"> do wyliczeń kosztów zatrudnienia</w:t>
            </w:r>
            <w:r>
              <w:rPr>
                <w:rFonts w:ascii="Times New Roman" w:hAnsi="Times New Roman"/>
                <w:color w:val="000000"/>
              </w:rPr>
              <w:t xml:space="preserve"> założono</w:t>
            </w:r>
            <w:r w:rsidRPr="00870E52">
              <w:rPr>
                <w:rFonts w:ascii="Times New Roman" w:hAnsi="Times New Roman"/>
                <w:color w:val="000000"/>
              </w:rPr>
              <w:t>, że osob</w:t>
            </w:r>
            <w:r>
              <w:rPr>
                <w:rFonts w:ascii="Times New Roman" w:hAnsi="Times New Roman"/>
                <w:color w:val="000000"/>
              </w:rPr>
              <w:t>y</w:t>
            </w:r>
            <w:r w:rsidRPr="00870E52">
              <w:rPr>
                <w:rFonts w:ascii="Times New Roman" w:hAnsi="Times New Roman"/>
                <w:color w:val="000000"/>
              </w:rPr>
              <w:t xml:space="preserve"> </w:t>
            </w:r>
            <w:r>
              <w:rPr>
                <w:rFonts w:ascii="Times New Roman" w:hAnsi="Times New Roman"/>
                <w:color w:val="000000"/>
              </w:rPr>
              <w:t>zaangażowane</w:t>
            </w:r>
            <w:r w:rsidRPr="00870E52">
              <w:rPr>
                <w:rFonts w:ascii="Times New Roman" w:hAnsi="Times New Roman"/>
                <w:color w:val="000000"/>
              </w:rPr>
              <w:t xml:space="preserve"> w </w:t>
            </w:r>
            <w:r>
              <w:rPr>
                <w:rFonts w:ascii="Times New Roman" w:hAnsi="Times New Roman"/>
                <w:color w:val="000000"/>
              </w:rPr>
              <w:t xml:space="preserve">ww. </w:t>
            </w:r>
            <w:r w:rsidRPr="00870E52">
              <w:rPr>
                <w:rFonts w:ascii="Times New Roman" w:hAnsi="Times New Roman"/>
                <w:color w:val="000000"/>
              </w:rPr>
              <w:t>zadania będ</w:t>
            </w:r>
            <w:r>
              <w:rPr>
                <w:rFonts w:ascii="Times New Roman" w:hAnsi="Times New Roman"/>
                <w:color w:val="000000"/>
              </w:rPr>
              <w:t>ą</w:t>
            </w:r>
            <w:r w:rsidRPr="00870E52">
              <w:rPr>
                <w:rFonts w:ascii="Times New Roman" w:hAnsi="Times New Roman"/>
                <w:color w:val="000000"/>
              </w:rPr>
              <w:t xml:space="preserve"> pracowni</w:t>
            </w:r>
            <w:r>
              <w:rPr>
                <w:rFonts w:ascii="Times New Roman" w:hAnsi="Times New Roman"/>
                <w:color w:val="000000"/>
              </w:rPr>
              <w:t>kami</w:t>
            </w:r>
            <w:r w:rsidRPr="00870E52">
              <w:rPr>
                <w:rFonts w:ascii="Times New Roman" w:hAnsi="Times New Roman"/>
                <w:color w:val="000000"/>
              </w:rPr>
              <w:t xml:space="preserve"> </w:t>
            </w:r>
            <w:r>
              <w:rPr>
                <w:rFonts w:ascii="Times New Roman" w:hAnsi="Times New Roman"/>
                <w:color w:val="000000"/>
              </w:rPr>
              <w:t xml:space="preserve">zatrudnionymi </w:t>
            </w:r>
            <w:r w:rsidRPr="00870E52">
              <w:rPr>
                <w:rFonts w:ascii="Times New Roman" w:hAnsi="Times New Roman"/>
                <w:color w:val="000000"/>
              </w:rPr>
              <w:t>na stanowisku głównego specjalisty.</w:t>
            </w:r>
          </w:p>
          <w:p w14:paraId="629CE438" w14:textId="4202C4DD" w:rsidR="00CC5334" w:rsidRDefault="00CC5334" w:rsidP="00216EBD">
            <w:pPr>
              <w:suppressAutoHyphens/>
              <w:spacing w:after="120" w:line="240" w:lineRule="auto"/>
              <w:jc w:val="both"/>
              <w:rPr>
                <w:rFonts w:ascii="Times New Roman" w:hAnsi="Times New Roman"/>
                <w:color w:val="000000"/>
              </w:rPr>
            </w:pPr>
            <w:r>
              <w:rPr>
                <w:rFonts w:ascii="Times New Roman" w:hAnsi="Times New Roman"/>
                <w:color w:val="000000"/>
              </w:rPr>
              <w:t>W</w:t>
            </w:r>
            <w:r w:rsidRPr="00CC5334">
              <w:rPr>
                <w:rFonts w:ascii="Times New Roman" w:hAnsi="Times New Roman"/>
                <w:color w:val="000000"/>
              </w:rPr>
              <w:t xml:space="preserve"> związku z projektowaniem nowatorskich rozwiązań systemowych dla prężnie rozwijającej się branży OZE, aktualnie trudno przewidzieć z jakimi wyzwaniami merytorycznymi będą musiały zmierzyć się </w:t>
            </w:r>
            <w:r>
              <w:rPr>
                <w:rFonts w:ascii="Times New Roman" w:hAnsi="Times New Roman"/>
                <w:color w:val="000000"/>
              </w:rPr>
              <w:t xml:space="preserve">organy samorządów </w:t>
            </w:r>
            <w:r w:rsidR="00897DCC">
              <w:rPr>
                <w:rFonts w:ascii="Times New Roman" w:hAnsi="Times New Roman"/>
                <w:color w:val="000000"/>
              </w:rPr>
              <w:t>wojewódzkich w ramach procesu wyznaczania OPRO</w:t>
            </w:r>
            <w:r w:rsidRPr="00CC5334">
              <w:rPr>
                <w:rFonts w:ascii="Times New Roman" w:hAnsi="Times New Roman"/>
                <w:color w:val="000000"/>
              </w:rPr>
              <w:t xml:space="preserve">. Nie jest również możliwe </w:t>
            </w:r>
            <w:r w:rsidR="00897DCC">
              <w:rPr>
                <w:rFonts w:ascii="Times New Roman" w:hAnsi="Times New Roman"/>
                <w:color w:val="000000"/>
              </w:rPr>
              <w:t>sporządzenie</w:t>
            </w:r>
            <w:r w:rsidRPr="00CC5334">
              <w:rPr>
                <w:rFonts w:ascii="Times New Roman" w:hAnsi="Times New Roman"/>
                <w:color w:val="000000"/>
              </w:rPr>
              <w:t xml:space="preserve"> szczegółowych analiz pracochłonności, </w:t>
            </w:r>
            <w:r w:rsidR="00897DCC">
              <w:rPr>
                <w:rFonts w:ascii="Times New Roman" w:hAnsi="Times New Roman"/>
                <w:color w:val="000000"/>
              </w:rPr>
              <w:t>niemniej</w:t>
            </w:r>
            <w:r w:rsidRPr="00CC5334">
              <w:rPr>
                <w:rFonts w:ascii="Times New Roman" w:hAnsi="Times New Roman"/>
                <w:color w:val="000000"/>
              </w:rPr>
              <w:t xml:space="preserve"> biorąc pod uwagę fakt, że plany będą przyjmowane na poziomie wojewódzkim i będą przypisane poszczególnym technologiom OZE, konieczne jest zapewnienie odpowiedniej, wysoko wykwalifikowanej kadry urzędniczej, która zagwarantuje realne przyspieszenie procesów inwestycyjno-budowlanych </w:t>
            </w:r>
            <w:r>
              <w:rPr>
                <w:rFonts w:ascii="Times New Roman" w:hAnsi="Times New Roman"/>
                <w:color w:val="000000"/>
              </w:rPr>
              <w:t>oraz</w:t>
            </w:r>
            <w:r w:rsidRPr="00CC5334">
              <w:rPr>
                <w:rFonts w:ascii="Times New Roman" w:hAnsi="Times New Roman"/>
                <w:color w:val="000000"/>
              </w:rPr>
              <w:t xml:space="preserve"> przyłączania do sieci projektów OZE, a także zapewni zachowanie terminów wymaganych dyrektywą RED III.</w:t>
            </w:r>
          </w:p>
          <w:p w14:paraId="10079F2C" w14:textId="3321D648" w:rsidR="00216EBD" w:rsidRPr="005A4E4B" w:rsidRDefault="00216EBD" w:rsidP="00216EBD">
            <w:pPr>
              <w:pStyle w:val="Akapitzlist"/>
              <w:numPr>
                <w:ilvl w:val="0"/>
                <w:numId w:val="104"/>
              </w:numPr>
              <w:suppressAutoHyphens/>
              <w:spacing w:after="120" w:line="240" w:lineRule="auto"/>
              <w:ind w:left="655" w:hanging="295"/>
              <w:jc w:val="both"/>
              <w:rPr>
                <w:rFonts w:ascii="Times New Roman" w:hAnsi="Times New Roman"/>
                <w:b/>
                <w:bCs/>
                <w:color w:val="000000"/>
                <w:u w:val="single"/>
              </w:rPr>
            </w:pPr>
            <w:r w:rsidRPr="005A4E4B">
              <w:rPr>
                <w:rFonts w:ascii="Times New Roman" w:hAnsi="Times New Roman"/>
                <w:b/>
                <w:bCs/>
                <w:color w:val="000000"/>
                <w:u w:val="single"/>
              </w:rPr>
              <w:t xml:space="preserve">Opiniowanie planów obszarów przyspieszonego rozwoju </w:t>
            </w:r>
            <w:r w:rsidR="00280939" w:rsidRPr="00280939">
              <w:rPr>
                <w:rFonts w:ascii="Times New Roman" w:hAnsi="Times New Roman"/>
                <w:b/>
                <w:bCs/>
                <w:color w:val="000000"/>
                <w:u w:val="single"/>
              </w:rPr>
              <w:t>instalacji odnawialnego źródła energii</w:t>
            </w:r>
            <w:r w:rsidRPr="005A4E4B">
              <w:rPr>
                <w:rFonts w:ascii="Times New Roman" w:hAnsi="Times New Roman"/>
                <w:b/>
                <w:bCs/>
                <w:color w:val="000000"/>
                <w:u w:val="single"/>
              </w:rPr>
              <w:t xml:space="preserve"> dla województwa</w:t>
            </w:r>
          </w:p>
          <w:p w14:paraId="0F721D60" w14:textId="34265569" w:rsidR="00216EBD" w:rsidRDefault="00216EBD" w:rsidP="00216EBD">
            <w:pPr>
              <w:suppressAutoHyphens/>
              <w:spacing w:after="120" w:line="240" w:lineRule="auto"/>
              <w:jc w:val="both"/>
              <w:rPr>
                <w:rFonts w:ascii="Times New Roman" w:hAnsi="Times New Roman"/>
                <w:color w:val="000000"/>
              </w:rPr>
            </w:pPr>
            <w:r>
              <w:rPr>
                <w:rFonts w:ascii="Times New Roman" w:hAnsi="Times New Roman"/>
                <w:color w:val="000000"/>
              </w:rPr>
              <w:lastRenderedPageBreak/>
              <w:t xml:space="preserve">W procesie opracowywania </w:t>
            </w:r>
            <w:r w:rsidRPr="005A4E4B">
              <w:rPr>
                <w:rFonts w:ascii="Times New Roman" w:hAnsi="Times New Roman"/>
                <w:color w:val="000000"/>
              </w:rPr>
              <w:t xml:space="preserve">planów obszarów przyspieszonego rozwoju </w:t>
            </w:r>
            <w:r w:rsidR="00280939" w:rsidRPr="00280939">
              <w:rPr>
                <w:rFonts w:ascii="Times New Roman" w:hAnsi="Times New Roman"/>
                <w:color w:val="000000"/>
              </w:rPr>
              <w:t>instalacji odnawialnego źródła energii</w:t>
            </w:r>
            <w:r w:rsidRPr="005A4E4B">
              <w:rPr>
                <w:rFonts w:ascii="Times New Roman" w:hAnsi="Times New Roman"/>
                <w:color w:val="000000"/>
              </w:rPr>
              <w:t xml:space="preserve"> dla województwa</w:t>
            </w:r>
            <w:r>
              <w:rPr>
                <w:rFonts w:ascii="Times New Roman" w:hAnsi="Times New Roman"/>
                <w:color w:val="000000"/>
              </w:rPr>
              <w:t>, mając na uwadze charakter tego rodzaju dokumentu, kluczowe miejsce zajmować będ</w:t>
            </w:r>
            <w:r w:rsidR="001E6856">
              <w:rPr>
                <w:rFonts w:ascii="Times New Roman" w:hAnsi="Times New Roman"/>
                <w:color w:val="000000"/>
              </w:rPr>
              <w:t xml:space="preserve">ą </w:t>
            </w:r>
            <w:r>
              <w:rPr>
                <w:rFonts w:ascii="Times New Roman" w:hAnsi="Times New Roman"/>
                <w:color w:val="000000"/>
              </w:rPr>
              <w:t>regionalne dyrekcje ochrony środowiska</w:t>
            </w:r>
            <w:r w:rsidR="001E6856">
              <w:rPr>
                <w:rFonts w:ascii="Times New Roman" w:hAnsi="Times New Roman"/>
                <w:color w:val="000000"/>
              </w:rPr>
              <w:t>, dalej „RDOŚ” oraz Generalna Dyrekcja Ochrony Środowiska, dalej „GDOŚ”</w:t>
            </w:r>
            <w:r>
              <w:rPr>
                <w:rFonts w:ascii="Times New Roman" w:hAnsi="Times New Roman"/>
                <w:color w:val="000000"/>
              </w:rPr>
              <w:t>. Wskazane podmioty mają pełnić nadrzędną rolę na etapie uzgodnień niezbędnych elementów przedmiotowych planów, w zakresie:</w:t>
            </w:r>
          </w:p>
          <w:p w14:paraId="27DD9CCE" w14:textId="6F1A938A" w:rsidR="00216EBD" w:rsidRDefault="0024142A" w:rsidP="00216EBD">
            <w:pPr>
              <w:pStyle w:val="Akapitzlist"/>
              <w:numPr>
                <w:ilvl w:val="0"/>
                <w:numId w:val="105"/>
              </w:numPr>
              <w:suppressAutoHyphens/>
              <w:spacing w:after="120" w:line="240" w:lineRule="auto"/>
              <w:jc w:val="both"/>
              <w:rPr>
                <w:rFonts w:ascii="Times New Roman" w:hAnsi="Times New Roman"/>
                <w:color w:val="000000"/>
              </w:rPr>
            </w:pPr>
            <w:r>
              <w:rPr>
                <w:rFonts w:ascii="Times New Roman" w:hAnsi="Times New Roman"/>
                <w:color w:val="000000"/>
              </w:rPr>
              <w:t>weryfikacji</w:t>
            </w:r>
            <w:r w:rsidR="001E6856">
              <w:rPr>
                <w:rFonts w:ascii="Times New Roman" w:hAnsi="Times New Roman"/>
                <w:color w:val="000000"/>
              </w:rPr>
              <w:t xml:space="preserve"> </w:t>
            </w:r>
            <w:r w:rsidR="00216EBD" w:rsidRPr="00624C00">
              <w:rPr>
                <w:rFonts w:ascii="Times New Roman" w:hAnsi="Times New Roman"/>
                <w:color w:val="000000"/>
              </w:rPr>
              <w:t>konkretn</w:t>
            </w:r>
            <w:r w:rsidR="00216EBD">
              <w:rPr>
                <w:rFonts w:ascii="Times New Roman" w:hAnsi="Times New Roman"/>
                <w:color w:val="000000"/>
              </w:rPr>
              <w:t>ych</w:t>
            </w:r>
            <w:r w:rsidR="00216EBD" w:rsidRPr="00624C00">
              <w:rPr>
                <w:rFonts w:ascii="Times New Roman" w:hAnsi="Times New Roman"/>
                <w:color w:val="000000"/>
              </w:rPr>
              <w:t xml:space="preserve"> obszar</w:t>
            </w:r>
            <w:r w:rsidR="00216EBD">
              <w:rPr>
                <w:rFonts w:ascii="Times New Roman" w:hAnsi="Times New Roman"/>
                <w:color w:val="000000"/>
              </w:rPr>
              <w:t>ów</w:t>
            </w:r>
            <w:r w:rsidR="00C570F5">
              <w:rPr>
                <w:rFonts w:ascii="Times New Roman" w:hAnsi="Times New Roman"/>
                <w:color w:val="000000"/>
              </w:rPr>
              <w:t xml:space="preserve"> znajdujących się</w:t>
            </w:r>
            <w:r w:rsidR="00216EBD" w:rsidRPr="00624C00">
              <w:rPr>
                <w:rFonts w:ascii="Times New Roman" w:hAnsi="Times New Roman"/>
                <w:color w:val="000000"/>
              </w:rPr>
              <w:t xml:space="preserve"> na terenie </w:t>
            </w:r>
            <w:r w:rsidR="00C570F5">
              <w:rPr>
                <w:rFonts w:ascii="Times New Roman" w:hAnsi="Times New Roman"/>
                <w:color w:val="000000"/>
              </w:rPr>
              <w:t xml:space="preserve">danego </w:t>
            </w:r>
            <w:r w:rsidR="00216EBD" w:rsidRPr="00624C00">
              <w:rPr>
                <w:rFonts w:ascii="Times New Roman" w:hAnsi="Times New Roman"/>
                <w:color w:val="000000"/>
              </w:rPr>
              <w:t>województwa</w:t>
            </w:r>
            <w:r>
              <w:rPr>
                <w:rFonts w:ascii="Times New Roman" w:hAnsi="Times New Roman"/>
                <w:color w:val="000000"/>
              </w:rPr>
              <w:t xml:space="preserve"> (</w:t>
            </w:r>
            <w:r w:rsidR="00C570F5">
              <w:rPr>
                <w:rFonts w:ascii="Times New Roman" w:hAnsi="Times New Roman"/>
                <w:color w:val="000000"/>
              </w:rPr>
              <w:t xml:space="preserve">wskazanych </w:t>
            </w:r>
            <w:r>
              <w:rPr>
                <w:rFonts w:ascii="Times New Roman" w:hAnsi="Times New Roman"/>
                <w:color w:val="000000"/>
              </w:rPr>
              <w:t xml:space="preserve">na podstawie obszarów </w:t>
            </w:r>
            <w:r w:rsidR="00C570F5">
              <w:rPr>
                <w:rFonts w:ascii="Times New Roman" w:hAnsi="Times New Roman"/>
                <w:color w:val="000000"/>
              </w:rPr>
              <w:t>określonych</w:t>
            </w:r>
            <w:r>
              <w:rPr>
                <w:rFonts w:ascii="Times New Roman" w:hAnsi="Times New Roman"/>
                <w:color w:val="000000"/>
              </w:rPr>
              <w:t xml:space="preserve"> na mapach potencjału OZE)</w:t>
            </w:r>
            <w:r w:rsidR="00216EBD" w:rsidRPr="00624C00">
              <w:rPr>
                <w:rFonts w:ascii="Times New Roman" w:hAnsi="Times New Roman"/>
                <w:color w:val="000000"/>
              </w:rPr>
              <w:t xml:space="preserve">, które </w:t>
            </w:r>
            <w:r>
              <w:rPr>
                <w:rFonts w:ascii="Times New Roman" w:hAnsi="Times New Roman"/>
                <w:color w:val="000000"/>
              </w:rPr>
              <w:t xml:space="preserve">mogą być </w:t>
            </w:r>
            <w:r w:rsidR="00216EBD" w:rsidRPr="00624C00">
              <w:rPr>
                <w:rFonts w:ascii="Times New Roman" w:hAnsi="Times New Roman"/>
                <w:color w:val="000000"/>
              </w:rPr>
              <w:t>uzna</w:t>
            </w:r>
            <w:r>
              <w:rPr>
                <w:rFonts w:ascii="Times New Roman" w:hAnsi="Times New Roman"/>
                <w:color w:val="000000"/>
              </w:rPr>
              <w:t>ne</w:t>
            </w:r>
            <w:r w:rsidR="00216EBD" w:rsidRPr="00624C00">
              <w:rPr>
                <w:rFonts w:ascii="Times New Roman" w:hAnsi="Times New Roman"/>
                <w:color w:val="000000"/>
              </w:rPr>
              <w:t xml:space="preserve"> za obszary przyspieszonego rozwoju </w:t>
            </w:r>
            <w:r w:rsidR="00280939" w:rsidRPr="00280939">
              <w:rPr>
                <w:rFonts w:ascii="Times New Roman" w:hAnsi="Times New Roman"/>
                <w:color w:val="000000"/>
              </w:rPr>
              <w:t>instalacji odnawialnego źródła energii</w:t>
            </w:r>
            <w:r w:rsidR="00216EBD">
              <w:rPr>
                <w:rFonts w:ascii="Times New Roman" w:hAnsi="Times New Roman"/>
                <w:color w:val="000000"/>
              </w:rPr>
              <w:t>;</w:t>
            </w:r>
          </w:p>
          <w:p w14:paraId="7BD555C3" w14:textId="2B1C08F9" w:rsidR="00216EBD" w:rsidRDefault="001E6856" w:rsidP="00216EBD">
            <w:pPr>
              <w:pStyle w:val="Akapitzlist"/>
              <w:numPr>
                <w:ilvl w:val="0"/>
                <w:numId w:val="105"/>
              </w:numPr>
              <w:suppressAutoHyphens/>
              <w:spacing w:after="120" w:line="240" w:lineRule="auto"/>
              <w:jc w:val="both"/>
              <w:rPr>
                <w:rFonts w:ascii="Times New Roman" w:hAnsi="Times New Roman"/>
                <w:color w:val="000000"/>
              </w:rPr>
            </w:pPr>
            <w:r>
              <w:rPr>
                <w:rFonts w:ascii="Times New Roman" w:hAnsi="Times New Roman"/>
                <w:color w:val="000000"/>
              </w:rPr>
              <w:t xml:space="preserve">opracowywania </w:t>
            </w:r>
            <w:r w:rsidR="00216EBD" w:rsidRPr="00624C00">
              <w:rPr>
                <w:rFonts w:ascii="Times New Roman" w:hAnsi="Times New Roman"/>
                <w:color w:val="000000"/>
              </w:rPr>
              <w:t>środk</w:t>
            </w:r>
            <w:r w:rsidR="00216EBD">
              <w:rPr>
                <w:rFonts w:ascii="Times New Roman" w:hAnsi="Times New Roman"/>
                <w:color w:val="000000"/>
              </w:rPr>
              <w:t>ów</w:t>
            </w:r>
            <w:r w:rsidR="00216EBD" w:rsidRPr="00624C00">
              <w:rPr>
                <w:rFonts w:ascii="Times New Roman" w:hAnsi="Times New Roman"/>
                <w:color w:val="000000"/>
              </w:rPr>
              <w:t xml:space="preserve"> łagodząc</w:t>
            </w:r>
            <w:r w:rsidR="00216EBD">
              <w:rPr>
                <w:rFonts w:ascii="Times New Roman" w:hAnsi="Times New Roman"/>
                <w:color w:val="000000"/>
              </w:rPr>
              <w:t>ych</w:t>
            </w:r>
            <w:r w:rsidR="00216EBD" w:rsidRPr="00624C00">
              <w:rPr>
                <w:rFonts w:ascii="Times New Roman" w:hAnsi="Times New Roman"/>
                <w:color w:val="000000"/>
              </w:rPr>
              <w:t>, jakie należy zastosować przy lokalizowaniu poszczególnych instalacji odnawialnego źródła energii i powiązanej z nimi infrastruktury sieciowej lub magazynów energii, w celu uniknięcia negatywnego oddziaływania na środowisko oraz główn</w:t>
            </w:r>
            <w:r w:rsidR="00216EBD">
              <w:rPr>
                <w:rFonts w:ascii="Times New Roman" w:hAnsi="Times New Roman"/>
                <w:color w:val="000000"/>
              </w:rPr>
              <w:t xml:space="preserve">ych </w:t>
            </w:r>
            <w:r w:rsidR="00216EBD" w:rsidRPr="00624C00">
              <w:rPr>
                <w:rFonts w:ascii="Times New Roman" w:hAnsi="Times New Roman"/>
                <w:color w:val="000000"/>
              </w:rPr>
              <w:t>szlak</w:t>
            </w:r>
            <w:r w:rsidR="00216EBD">
              <w:rPr>
                <w:rFonts w:ascii="Times New Roman" w:hAnsi="Times New Roman"/>
                <w:color w:val="000000"/>
              </w:rPr>
              <w:t>ów</w:t>
            </w:r>
            <w:r w:rsidR="00216EBD" w:rsidRPr="00624C00">
              <w:rPr>
                <w:rFonts w:ascii="Times New Roman" w:hAnsi="Times New Roman"/>
                <w:color w:val="000000"/>
              </w:rPr>
              <w:t xml:space="preserve"> migracyjn</w:t>
            </w:r>
            <w:r w:rsidR="00216EBD">
              <w:rPr>
                <w:rFonts w:ascii="Times New Roman" w:hAnsi="Times New Roman"/>
                <w:color w:val="000000"/>
              </w:rPr>
              <w:t>ych</w:t>
            </w:r>
            <w:r w:rsidR="00216EBD" w:rsidRPr="00624C00">
              <w:rPr>
                <w:rFonts w:ascii="Times New Roman" w:hAnsi="Times New Roman"/>
                <w:color w:val="000000"/>
              </w:rPr>
              <w:t xml:space="preserve"> ptaków i ssaków morskich</w:t>
            </w:r>
            <w:r>
              <w:rPr>
                <w:rFonts w:ascii="Times New Roman" w:hAnsi="Times New Roman"/>
                <w:color w:val="000000"/>
              </w:rPr>
              <w:t>;</w:t>
            </w:r>
          </w:p>
          <w:p w14:paraId="3D91BD02" w14:textId="1AA551EE" w:rsidR="00C570F5" w:rsidRDefault="00C570F5" w:rsidP="00216EBD">
            <w:pPr>
              <w:pStyle w:val="Akapitzlist"/>
              <w:numPr>
                <w:ilvl w:val="0"/>
                <w:numId w:val="105"/>
              </w:numPr>
              <w:suppressAutoHyphens/>
              <w:spacing w:after="120" w:line="240" w:lineRule="auto"/>
              <w:jc w:val="both"/>
              <w:rPr>
                <w:rFonts w:ascii="Times New Roman" w:hAnsi="Times New Roman"/>
                <w:color w:val="000000"/>
              </w:rPr>
            </w:pPr>
            <w:r w:rsidRPr="00C570F5">
              <w:rPr>
                <w:rFonts w:ascii="Times New Roman" w:hAnsi="Times New Roman"/>
                <w:color w:val="000000"/>
              </w:rPr>
              <w:t>wyznaczania korytarzy ekologicznych dla dużych ssaków</w:t>
            </w:r>
            <w:r>
              <w:rPr>
                <w:rFonts w:ascii="Times New Roman" w:hAnsi="Times New Roman"/>
                <w:color w:val="000000"/>
              </w:rPr>
              <w:t>;</w:t>
            </w:r>
          </w:p>
          <w:p w14:paraId="32570A9B" w14:textId="699B06B9" w:rsidR="001E6856" w:rsidRDefault="001E6856" w:rsidP="00216EBD">
            <w:pPr>
              <w:pStyle w:val="Akapitzlist"/>
              <w:numPr>
                <w:ilvl w:val="0"/>
                <w:numId w:val="105"/>
              </w:numPr>
              <w:suppressAutoHyphens/>
              <w:spacing w:after="120" w:line="240" w:lineRule="auto"/>
              <w:jc w:val="both"/>
              <w:rPr>
                <w:rFonts w:ascii="Times New Roman" w:hAnsi="Times New Roman"/>
                <w:color w:val="000000"/>
              </w:rPr>
            </w:pPr>
            <w:r w:rsidRPr="001E6856">
              <w:rPr>
                <w:rFonts w:ascii="Times New Roman" w:hAnsi="Times New Roman"/>
                <w:color w:val="000000"/>
              </w:rPr>
              <w:t>poddawani</w:t>
            </w:r>
            <w:r>
              <w:rPr>
                <w:rFonts w:ascii="Times New Roman" w:hAnsi="Times New Roman"/>
                <w:color w:val="000000"/>
              </w:rPr>
              <w:t>a</w:t>
            </w:r>
            <w:r w:rsidRPr="001E6856">
              <w:rPr>
                <w:rFonts w:ascii="Times New Roman" w:hAnsi="Times New Roman"/>
                <w:color w:val="000000"/>
              </w:rPr>
              <w:t xml:space="preserve"> wojewódzkich planów wyznaczających obszary przyspieszonego rozwoju </w:t>
            </w:r>
            <w:r w:rsidR="00280939" w:rsidRPr="00280939">
              <w:rPr>
                <w:rFonts w:ascii="Times New Roman" w:hAnsi="Times New Roman"/>
                <w:color w:val="000000"/>
              </w:rPr>
              <w:t>instalacji odnawialnego źródła energii</w:t>
            </w:r>
            <w:r w:rsidRPr="001E6856">
              <w:rPr>
                <w:rFonts w:ascii="Times New Roman" w:hAnsi="Times New Roman"/>
                <w:color w:val="000000"/>
              </w:rPr>
              <w:t xml:space="preserve"> strategicznej ocenie oddziaływania na środowisko</w:t>
            </w:r>
            <w:r>
              <w:rPr>
                <w:rFonts w:ascii="Times New Roman" w:hAnsi="Times New Roman"/>
                <w:color w:val="000000"/>
              </w:rPr>
              <w:t>;</w:t>
            </w:r>
          </w:p>
          <w:p w14:paraId="64B72A7C" w14:textId="65B736CF" w:rsidR="001E6856" w:rsidRDefault="001E6856" w:rsidP="00216EBD">
            <w:pPr>
              <w:pStyle w:val="Akapitzlist"/>
              <w:numPr>
                <w:ilvl w:val="0"/>
                <w:numId w:val="105"/>
              </w:numPr>
              <w:suppressAutoHyphens/>
              <w:spacing w:after="120" w:line="240" w:lineRule="auto"/>
              <w:jc w:val="both"/>
              <w:rPr>
                <w:rFonts w:ascii="Times New Roman" w:hAnsi="Times New Roman"/>
                <w:color w:val="000000"/>
              </w:rPr>
            </w:pPr>
            <w:r>
              <w:rPr>
                <w:rFonts w:ascii="Times New Roman" w:hAnsi="Times New Roman"/>
                <w:color w:val="000000"/>
              </w:rPr>
              <w:t>rozpatrywania odwołań od postanowień RDOŚ.</w:t>
            </w:r>
          </w:p>
          <w:p w14:paraId="42480C41" w14:textId="08551344" w:rsidR="00216EBD" w:rsidRDefault="00216EBD" w:rsidP="00216EBD">
            <w:pPr>
              <w:spacing w:after="120" w:line="240" w:lineRule="auto"/>
              <w:jc w:val="both"/>
              <w:rPr>
                <w:rFonts w:ascii="Times New Roman" w:hAnsi="Times New Roman"/>
                <w:color w:val="000000"/>
              </w:rPr>
            </w:pPr>
            <w:r w:rsidRPr="00F71F50">
              <w:rPr>
                <w:rFonts w:ascii="Times New Roman" w:hAnsi="Times New Roman"/>
                <w:color w:val="000000"/>
              </w:rPr>
              <w:t xml:space="preserve">Realizacja </w:t>
            </w:r>
            <w:r w:rsidR="001E6856">
              <w:rPr>
                <w:rFonts w:ascii="Times New Roman" w:hAnsi="Times New Roman"/>
                <w:color w:val="000000"/>
              </w:rPr>
              <w:t xml:space="preserve">ww. </w:t>
            </w:r>
            <w:r w:rsidRPr="00F71F50">
              <w:rPr>
                <w:rFonts w:ascii="Times New Roman" w:hAnsi="Times New Roman"/>
                <w:color w:val="000000"/>
              </w:rPr>
              <w:t>zada</w:t>
            </w:r>
            <w:r w:rsidR="001E6856">
              <w:rPr>
                <w:rFonts w:ascii="Times New Roman" w:hAnsi="Times New Roman"/>
                <w:color w:val="000000"/>
              </w:rPr>
              <w:t>ń</w:t>
            </w:r>
            <w:r w:rsidRPr="00F71F50">
              <w:rPr>
                <w:rFonts w:ascii="Times New Roman" w:hAnsi="Times New Roman"/>
                <w:color w:val="000000"/>
              </w:rPr>
              <w:t xml:space="preserve"> będzie wymagała zatrudnienia </w:t>
            </w:r>
            <w:r>
              <w:rPr>
                <w:rFonts w:ascii="Times New Roman" w:hAnsi="Times New Roman"/>
                <w:color w:val="000000"/>
              </w:rPr>
              <w:t xml:space="preserve">dwudziestu czterech (24) </w:t>
            </w:r>
            <w:r w:rsidRPr="00F71F50">
              <w:rPr>
                <w:rFonts w:ascii="Times New Roman" w:hAnsi="Times New Roman"/>
                <w:color w:val="000000"/>
              </w:rPr>
              <w:t>dodatkow</w:t>
            </w:r>
            <w:r>
              <w:rPr>
                <w:rFonts w:ascii="Times New Roman" w:hAnsi="Times New Roman"/>
                <w:color w:val="000000"/>
              </w:rPr>
              <w:t>ych</w:t>
            </w:r>
            <w:r w:rsidRPr="00F71F50">
              <w:rPr>
                <w:rFonts w:ascii="Times New Roman" w:hAnsi="Times New Roman"/>
                <w:color w:val="000000"/>
              </w:rPr>
              <w:t xml:space="preserve"> pracownik</w:t>
            </w:r>
            <w:r>
              <w:rPr>
                <w:rFonts w:ascii="Times New Roman" w:hAnsi="Times New Roman"/>
                <w:color w:val="000000"/>
              </w:rPr>
              <w:t>ów – trzech (3) w GDOŚ,</w:t>
            </w:r>
            <w:r w:rsidRPr="007608E1">
              <w:rPr>
                <w:rFonts w:ascii="Times New Roman" w:hAnsi="Times New Roman"/>
                <w:color w:val="000000"/>
              </w:rPr>
              <w:t xml:space="preserve"> oraz </w:t>
            </w:r>
            <w:r>
              <w:rPr>
                <w:rFonts w:ascii="Times New Roman" w:hAnsi="Times New Roman"/>
                <w:color w:val="000000"/>
              </w:rPr>
              <w:t xml:space="preserve">dwudziestu jeden (21) w RDOŚ (w tym po 2 etaty </w:t>
            </w:r>
            <w:r w:rsidR="00944BCE">
              <w:rPr>
                <w:rFonts w:ascii="Times New Roman" w:hAnsi="Times New Roman"/>
                <w:color w:val="000000"/>
              </w:rPr>
              <w:t>w </w:t>
            </w:r>
            <w:r>
              <w:rPr>
                <w:rFonts w:ascii="Times New Roman" w:hAnsi="Times New Roman"/>
                <w:color w:val="000000"/>
              </w:rPr>
              <w:t>RDOŚ</w:t>
            </w:r>
            <w:r w:rsidRPr="007608E1">
              <w:rPr>
                <w:rFonts w:ascii="Times New Roman" w:hAnsi="Times New Roman"/>
                <w:color w:val="000000"/>
              </w:rPr>
              <w:t xml:space="preserve"> w Warszawie, Poznaniu, Katowicach</w:t>
            </w:r>
            <w:r w:rsidR="00247373">
              <w:rPr>
                <w:rFonts w:ascii="Times New Roman" w:hAnsi="Times New Roman"/>
                <w:color w:val="000000"/>
              </w:rPr>
              <w:t>,</w:t>
            </w:r>
            <w:r w:rsidRPr="007608E1">
              <w:rPr>
                <w:rFonts w:ascii="Times New Roman" w:hAnsi="Times New Roman"/>
                <w:color w:val="000000"/>
              </w:rPr>
              <w:t xml:space="preserve"> Wrocławiu</w:t>
            </w:r>
            <w:r>
              <w:rPr>
                <w:rFonts w:ascii="Times New Roman" w:hAnsi="Times New Roman"/>
                <w:color w:val="000000"/>
              </w:rPr>
              <w:t xml:space="preserve"> </w:t>
            </w:r>
            <w:r w:rsidR="00247373">
              <w:rPr>
                <w:rFonts w:ascii="Times New Roman" w:hAnsi="Times New Roman"/>
                <w:color w:val="000000"/>
              </w:rPr>
              <w:t xml:space="preserve">i Opolu </w:t>
            </w:r>
            <w:r>
              <w:rPr>
                <w:rFonts w:ascii="Times New Roman" w:hAnsi="Times New Roman"/>
                <w:color w:val="000000"/>
              </w:rPr>
              <w:t xml:space="preserve">oraz po 1 etacie </w:t>
            </w:r>
            <w:r w:rsidR="00944BCE">
              <w:rPr>
                <w:rFonts w:ascii="Times New Roman" w:hAnsi="Times New Roman"/>
                <w:color w:val="000000"/>
              </w:rPr>
              <w:t>w </w:t>
            </w:r>
            <w:r>
              <w:rPr>
                <w:rFonts w:ascii="Times New Roman" w:hAnsi="Times New Roman"/>
                <w:color w:val="000000"/>
              </w:rPr>
              <w:t>pozostałych RDOŚ)</w:t>
            </w:r>
            <w:r w:rsidRPr="00F71F50">
              <w:rPr>
                <w:rFonts w:ascii="Times New Roman" w:hAnsi="Times New Roman"/>
                <w:color w:val="000000"/>
              </w:rPr>
              <w:t>.</w:t>
            </w:r>
          </w:p>
          <w:p w14:paraId="610B018A" w14:textId="42D0D572" w:rsidR="00216EBD" w:rsidRDefault="00216EBD" w:rsidP="00216EBD">
            <w:pPr>
              <w:spacing w:after="120" w:line="240" w:lineRule="auto"/>
              <w:jc w:val="both"/>
              <w:rPr>
                <w:rFonts w:ascii="Times New Roman" w:hAnsi="Times New Roman"/>
                <w:color w:val="000000"/>
              </w:rPr>
            </w:pPr>
            <w:r w:rsidRPr="007608E1">
              <w:rPr>
                <w:rFonts w:ascii="Times New Roman" w:hAnsi="Times New Roman"/>
                <w:color w:val="000000"/>
              </w:rPr>
              <w:t xml:space="preserve">Konieczność zapewnienia większej liczby etatów dla </w:t>
            </w:r>
            <w:r>
              <w:rPr>
                <w:rFonts w:ascii="Times New Roman" w:hAnsi="Times New Roman"/>
                <w:color w:val="000000"/>
              </w:rPr>
              <w:t xml:space="preserve">niektórych </w:t>
            </w:r>
            <w:r w:rsidR="007B01AF">
              <w:rPr>
                <w:rFonts w:ascii="Times New Roman" w:hAnsi="Times New Roman"/>
                <w:color w:val="000000"/>
              </w:rPr>
              <w:t>RDOŚ</w:t>
            </w:r>
            <w:r w:rsidRPr="007608E1">
              <w:rPr>
                <w:rFonts w:ascii="Times New Roman" w:hAnsi="Times New Roman"/>
                <w:color w:val="000000"/>
              </w:rPr>
              <w:t xml:space="preserve"> wynika z </w:t>
            </w:r>
            <w:r>
              <w:rPr>
                <w:rFonts w:ascii="Times New Roman" w:hAnsi="Times New Roman"/>
                <w:color w:val="000000"/>
              </w:rPr>
              <w:t>następujących</w:t>
            </w:r>
            <w:r w:rsidRPr="007608E1">
              <w:rPr>
                <w:rFonts w:ascii="Times New Roman" w:hAnsi="Times New Roman"/>
                <w:color w:val="000000"/>
              </w:rPr>
              <w:t xml:space="preserve"> czynników. Pierwszym z </w:t>
            </w:r>
            <w:r>
              <w:rPr>
                <w:rFonts w:ascii="Times New Roman" w:hAnsi="Times New Roman"/>
                <w:color w:val="000000"/>
              </w:rPr>
              <w:t>nich</w:t>
            </w:r>
            <w:r w:rsidRPr="007608E1">
              <w:rPr>
                <w:rFonts w:ascii="Times New Roman" w:hAnsi="Times New Roman"/>
                <w:color w:val="000000"/>
              </w:rPr>
              <w:t xml:space="preserve"> jest wielkość województwa</w:t>
            </w:r>
            <w:r>
              <w:rPr>
                <w:rFonts w:ascii="Times New Roman" w:hAnsi="Times New Roman"/>
                <w:color w:val="000000"/>
              </w:rPr>
              <w:t>, zaś</w:t>
            </w:r>
            <w:r w:rsidRPr="007608E1">
              <w:rPr>
                <w:rFonts w:ascii="Times New Roman" w:hAnsi="Times New Roman"/>
                <w:color w:val="000000"/>
              </w:rPr>
              <w:t xml:space="preserve"> </w:t>
            </w:r>
            <w:r>
              <w:rPr>
                <w:rFonts w:ascii="Times New Roman" w:hAnsi="Times New Roman"/>
                <w:color w:val="000000"/>
              </w:rPr>
              <w:t>d</w:t>
            </w:r>
            <w:r w:rsidRPr="007608E1">
              <w:rPr>
                <w:rFonts w:ascii="Times New Roman" w:hAnsi="Times New Roman"/>
                <w:color w:val="000000"/>
              </w:rPr>
              <w:t xml:space="preserve">rugim potencjał rozwoju inwestycji </w:t>
            </w:r>
            <w:r>
              <w:rPr>
                <w:rFonts w:ascii="Times New Roman" w:hAnsi="Times New Roman"/>
                <w:color w:val="000000"/>
              </w:rPr>
              <w:t xml:space="preserve">OZE. </w:t>
            </w:r>
            <w:r w:rsidRPr="007608E1">
              <w:rPr>
                <w:rFonts w:ascii="Times New Roman" w:hAnsi="Times New Roman"/>
                <w:color w:val="000000"/>
              </w:rPr>
              <w:t xml:space="preserve">Na podstawie analizy procedowanych spraw i ich zakresu można w przybliżeniu założyć, że to właśnie </w:t>
            </w:r>
            <w:r>
              <w:rPr>
                <w:rFonts w:ascii="Times New Roman" w:hAnsi="Times New Roman"/>
                <w:color w:val="000000"/>
              </w:rPr>
              <w:t>województwa</w:t>
            </w:r>
            <w:r w:rsidRPr="007608E1">
              <w:rPr>
                <w:rFonts w:ascii="Times New Roman" w:hAnsi="Times New Roman"/>
                <w:color w:val="000000"/>
              </w:rPr>
              <w:t xml:space="preserve"> </w:t>
            </w:r>
            <w:r w:rsidR="007B01AF">
              <w:rPr>
                <w:rFonts w:ascii="Times New Roman" w:hAnsi="Times New Roman"/>
                <w:color w:val="000000"/>
              </w:rPr>
              <w:t xml:space="preserve">obsługiwane przez wskazane dyrekcje regionalne </w:t>
            </w:r>
            <w:r w:rsidRPr="007608E1">
              <w:rPr>
                <w:rFonts w:ascii="Times New Roman" w:hAnsi="Times New Roman"/>
                <w:color w:val="000000"/>
              </w:rPr>
              <w:t>będą posiadały największy potencjał pod kątem wyznaczania obszarów przyspieszonego rozwoju</w:t>
            </w:r>
            <w:r>
              <w:rPr>
                <w:rFonts w:ascii="Times New Roman" w:hAnsi="Times New Roman"/>
                <w:color w:val="000000"/>
              </w:rPr>
              <w:t>,</w:t>
            </w:r>
            <w:r w:rsidRPr="007608E1">
              <w:rPr>
                <w:rFonts w:ascii="Times New Roman" w:hAnsi="Times New Roman"/>
                <w:color w:val="000000"/>
              </w:rPr>
              <w:t xml:space="preserve"> </w:t>
            </w:r>
            <w:r w:rsidR="00944BCE" w:rsidRPr="007608E1">
              <w:rPr>
                <w:rFonts w:ascii="Times New Roman" w:hAnsi="Times New Roman"/>
                <w:color w:val="000000"/>
              </w:rPr>
              <w:t>a</w:t>
            </w:r>
            <w:r w:rsidR="00944BCE">
              <w:rPr>
                <w:rFonts w:ascii="Times New Roman" w:hAnsi="Times New Roman"/>
                <w:color w:val="000000"/>
              </w:rPr>
              <w:t> </w:t>
            </w:r>
            <w:r w:rsidRPr="007608E1">
              <w:rPr>
                <w:rFonts w:ascii="Times New Roman" w:hAnsi="Times New Roman"/>
                <w:color w:val="000000"/>
              </w:rPr>
              <w:t xml:space="preserve">co za tym idzie organy właściwe do udziału w tych procedurach będą miały znacząco większą </w:t>
            </w:r>
            <w:r w:rsidR="007B01AF">
              <w:rPr>
                <w:rFonts w:ascii="Times New Roman" w:hAnsi="Times New Roman"/>
                <w:color w:val="000000"/>
              </w:rPr>
              <w:t>liczbę</w:t>
            </w:r>
            <w:r w:rsidRPr="007608E1">
              <w:rPr>
                <w:rFonts w:ascii="Times New Roman" w:hAnsi="Times New Roman"/>
                <w:color w:val="000000"/>
              </w:rPr>
              <w:t xml:space="preserve"> zadań do zrealizowania.</w:t>
            </w:r>
          </w:p>
          <w:p w14:paraId="0EDA6A0A" w14:textId="609943AA" w:rsidR="00AE5364" w:rsidRDefault="00AE5364" w:rsidP="00216EBD">
            <w:pPr>
              <w:spacing w:after="120" w:line="240" w:lineRule="auto"/>
              <w:jc w:val="both"/>
              <w:rPr>
                <w:rFonts w:ascii="Times New Roman" w:hAnsi="Times New Roman"/>
                <w:color w:val="000000"/>
              </w:rPr>
            </w:pPr>
            <w:r>
              <w:rPr>
                <w:rFonts w:ascii="Times New Roman" w:hAnsi="Times New Roman"/>
                <w:color w:val="000000"/>
              </w:rPr>
              <w:t xml:space="preserve">Mając na uwadze, że </w:t>
            </w:r>
            <w:r w:rsidRPr="00AE5364">
              <w:rPr>
                <w:rFonts w:ascii="Times New Roman" w:hAnsi="Times New Roman"/>
                <w:color w:val="000000"/>
              </w:rPr>
              <w:t xml:space="preserve">projekty OPRO obligatoryjnie będą podlegać strategicznej ocenie oddziaływania na środowisko, </w:t>
            </w:r>
            <w:r>
              <w:rPr>
                <w:rFonts w:ascii="Times New Roman" w:hAnsi="Times New Roman"/>
                <w:color w:val="000000"/>
              </w:rPr>
              <w:t>dla</w:t>
            </w:r>
            <w:r w:rsidRPr="00AE5364">
              <w:rPr>
                <w:rFonts w:ascii="Times New Roman" w:hAnsi="Times New Roman"/>
                <w:color w:val="000000"/>
              </w:rPr>
              <w:t xml:space="preserve"> której w Polsce właściwy jest RDOŚ, należy</w:t>
            </w:r>
            <w:r>
              <w:rPr>
                <w:rFonts w:ascii="Times New Roman" w:hAnsi="Times New Roman"/>
                <w:color w:val="000000"/>
              </w:rPr>
              <w:t xml:space="preserve"> wskazać, że ś</w:t>
            </w:r>
            <w:r w:rsidRPr="00AE5364">
              <w:rPr>
                <w:rFonts w:ascii="Times New Roman" w:hAnsi="Times New Roman"/>
                <w:color w:val="000000"/>
              </w:rPr>
              <w:t xml:space="preserve">rednia liczba dni roboczych potrzebnych na przeprowadzenie </w:t>
            </w:r>
            <w:r>
              <w:rPr>
                <w:rFonts w:ascii="Times New Roman" w:hAnsi="Times New Roman"/>
                <w:color w:val="000000"/>
              </w:rPr>
              <w:t xml:space="preserve">tej </w:t>
            </w:r>
            <w:r w:rsidRPr="00AE5364">
              <w:rPr>
                <w:rFonts w:ascii="Times New Roman" w:hAnsi="Times New Roman"/>
                <w:color w:val="000000"/>
              </w:rPr>
              <w:t>procedury to 51,91, co oznacza około 415 roboczogodzin. Procedura uzgadniania obszarów OZE, może odpowiadać pod względem obciąż</w:t>
            </w:r>
            <w:r>
              <w:rPr>
                <w:rFonts w:ascii="Times New Roman" w:hAnsi="Times New Roman"/>
                <w:color w:val="000000"/>
              </w:rPr>
              <w:t>e</w:t>
            </w:r>
            <w:r w:rsidRPr="00AE5364">
              <w:rPr>
                <w:rFonts w:ascii="Times New Roman" w:hAnsi="Times New Roman"/>
                <w:color w:val="000000"/>
              </w:rPr>
              <w:t xml:space="preserve">nia pracą, realizowanemu już przez RDOŚ uzgadnianiu projektów studiów uwarunkowań i kierunków zagospodarowania przestrzennego, planów ogólnych gmin oraz miejscowych planów zagospodarowania przestrzennego, których średnia czasochłonność </w:t>
            </w:r>
            <w:r w:rsidR="00944BCE" w:rsidRPr="00AE5364">
              <w:rPr>
                <w:rFonts w:ascii="Times New Roman" w:hAnsi="Times New Roman"/>
                <w:color w:val="000000"/>
              </w:rPr>
              <w:t>w</w:t>
            </w:r>
            <w:r w:rsidR="00944BCE">
              <w:rPr>
                <w:rFonts w:ascii="Times New Roman" w:hAnsi="Times New Roman"/>
                <w:color w:val="000000"/>
              </w:rPr>
              <w:t> </w:t>
            </w:r>
            <w:r w:rsidRPr="00AE5364">
              <w:rPr>
                <w:rFonts w:ascii="Times New Roman" w:hAnsi="Times New Roman"/>
                <w:color w:val="000000"/>
              </w:rPr>
              <w:t>RDOŚ to 3,85 dnia czyli około 31 roboczogodzin.</w:t>
            </w:r>
            <w:r>
              <w:rPr>
                <w:rFonts w:ascii="Times New Roman" w:hAnsi="Times New Roman"/>
                <w:color w:val="000000"/>
              </w:rPr>
              <w:t xml:space="preserve"> Z uwagi na bezprecedensowe</w:t>
            </w:r>
            <w:r w:rsidRPr="00AE5364">
              <w:rPr>
                <w:rFonts w:ascii="Times New Roman" w:hAnsi="Times New Roman"/>
                <w:color w:val="000000"/>
              </w:rPr>
              <w:t xml:space="preserve"> rozwiąza</w:t>
            </w:r>
            <w:r>
              <w:rPr>
                <w:rFonts w:ascii="Times New Roman" w:hAnsi="Times New Roman"/>
                <w:color w:val="000000"/>
              </w:rPr>
              <w:t>nia</w:t>
            </w:r>
            <w:r w:rsidRPr="00AE5364">
              <w:rPr>
                <w:rFonts w:ascii="Times New Roman" w:hAnsi="Times New Roman"/>
                <w:color w:val="000000"/>
              </w:rPr>
              <w:t xml:space="preserve"> systemow</w:t>
            </w:r>
            <w:r>
              <w:rPr>
                <w:rFonts w:ascii="Times New Roman" w:hAnsi="Times New Roman"/>
                <w:color w:val="000000"/>
              </w:rPr>
              <w:t>e</w:t>
            </w:r>
            <w:r w:rsidRPr="00AE5364">
              <w:rPr>
                <w:rFonts w:ascii="Times New Roman" w:hAnsi="Times New Roman"/>
                <w:color w:val="000000"/>
              </w:rPr>
              <w:t xml:space="preserve"> </w:t>
            </w:r>
            <w:r>
              <w:rPr>
                <w:rFonts w:ascii="Times New Roman" w:hAnsi="Times New Roman"/>
                <w:color w:val="000000"/>
              </w:rPr>
              <w:t>wdrażane dla OZE niniejszym projektem ustawy</w:t>
            </w:r>
            <w:r w:rsidRPr="00AE5364">
              <w:rPr>
                <w:rFonts w:ascii="Times New Roman" w:hAnsi="Times New Roman"/>
                <w:color w:val="000000"/>
              </w:rPr>
              <w:t xml:space="preserve">, aktualnie trudno </w:t>
            </w:r>
            <w:r>
              <w:rPr>
                <w:rFonts w:ascii="Times New Roman" w:hAnsi="Times New Roman"/>
                <w:color w:val="000000"/>
              </w:rPr>
              <w:t xml:space="preserve">bardziej szczegółowo </w:t>
            </w:r>
            <w:r w:rsidRPr="00AE5364">
              <w:rPr>
                <w:rFonts w:ascii="Times New Roman" w:hAnsi="Times New Roman"/>
                <w:color w:val="000000"/>
              </w:rPr>
              <w:t xml:space="preserve">przewidzieć </w:t>
            </w:r>
            <w:r>
              <w:rPr>
                <w:rFonts w:ascii="Times New Roman" w:hAnsi="Times New Roman"/>
                <w:color w:val="000000"/>
              </w:rPr>
              <w:t>czasochłonność innych zadań</w:t>
            </w:r>
            <w:r w:rsidRPr="00AE5364">
              <w:rPr>
                <w:rFonts w:ascii="Times New Roman" w:hAnsi="Times New Roman"/>
                <w:color w:val="000000"/>
              </w:rPr>
              <w:t xml:space="preserve"> merytoryczny</w:t>
            </w:r>
            <w:r>
              <w:rPr>
                <w:rFonts w:ascii="Times New Roman" w:hAnsi="Times New Roman"/>
                <w:color w:val="000000"/>
              </w:rPr>
              <w:t>ch, z którymi</w:t>
            </w:r>
            <w:r w:rsidRPr="00AE5364">
              <w:rPr>
                <w:rFonts w:ascii="Times New Roman" w:hAnsi="Times New Roman"/>
                <w:color w:val="000000"/>
              </w:rPr>
              <w:t xml:space="preserve"> będą musiały zmierzyć się organy </w:t>
            </w:r>
            <w:r>
              <w:rPr>
                <w:rFonts w:ascii="Times New Roman" w:hAnsi="Times New Roman"/>
                <w:color w:val="000000"/>
              </w:rPr>
              <w:t xml:space="preserve">administracji ds. ochrony środowiska </w:t>
            </w:r>
            <w:r w:rsidRPr="00AE5364">
              <w:rPr>
                <w:rFonts w:ascii="Times New Roman" w:hAnsi="Times New Roman"/>
                <w:color w:val="000000"/>
              </w:rPr>
              <w:t xml:space="preserve">w ramach procesu </w:t>
            </w:r>
            <w:r>
              <w:rPr>
                <w:rFonts w:ascii="Times New Roman" w:hAnsi="Times New Roman"/>
                <w:color w:val="000000"/>
              </w:rPr>
              <w:t>opiniowania</w:t>
            </w:r>
            <w:r w:rsidRPr="00AE5364">
              <w:rPr>
                <w:rFonts w:ascii="Times New Roman" w:hAnsi="Times New Roman"/>
                <w:color w:val="000000"/>
              </w:rPr>
              <w:t xml:space="preserve"> OPRO. Niemniej biorąc pod uwagę </w:t>
            </w:r>
            <w:r w:rsidR="00665C9E">
              <w:rPr>
                <w:rFonts w:ascii="Times New Roman" w:hAnsi="Times New Roman"/>
                <w:color w:val="000000"/>
              </w:rPr>
              <w:t>ich złożoność i ekspercki charakter</w:t>
            </w:r>
            <w:r w:rsidRPr="00AE5364">
              <w:rPr>
                <w:rFonts w:ascii="Times New Roman" w:hAnsi="Times New Roman"/>
                <w:color w:val="000000"/>
              </w:rPr>
              <w:t xml:space="preserve">, konieczne jest zapewnienie odpowiedniej, wysoko wykwalifikowanej kadry urzędniczej, która zagwarantuje </w:t>
            </w:r>
            <w:r w:rsidR="00665C9E">
              <w:rPr>
                <w:rFonts w:ascii="Times New Roman" w:hAnsi="Times New Roman"/>
                <w:color w:val="000000"/>
              </w:rPr>
              <w:t xml:space="preserve">efektywną realizację obowiązków w zakresie wdrażania obszarów przyspieszonego rozwoju </w:t>
            </w:r>
            <w:r w:rsidR="001778AA">
              <w:rPr>
                <w:rFonts w:ascii="Times New Roman" w:hAnsi="Times New Roman"/>
                <w:color w:val="000000"/>
              </w:rPr>
              <w:t xml:space="preserve">instalacji </w:t>
            </w:r>
            <w:r w:rsidR="00665C9E">
              <w:rPr>
                <w:rFonts w:ascii="Times New Roman" w:hAnsi="Times New Roman"/>
                <w:color w:val="000000"/>
              </w:rPr>
              <w:t>odnawialn</w:t>
            </w:r>
            <w:r w:rsidR="001778AA">
              <w:rPr>
                <w:rFonts w:ascii="Times New Roman" w:hAnsi="Times New Roman"/>
                <w:color w:val="000000"/>
              </w:rPr>
              <w:t>ego źródła energii</w:t>
            </w:r>
            <w:r w:rsidRPr="00AE5364">
              <w:rPr>
                <w:rFonts w:ascii="Times New Roman" w:hAnsi="Times New Roman"/>
                <w:color w:val="000000"/>
              </w:rPr>
              <w:t>.</w:t>
            </w:r>
          </w:p>
          <w:p w14:paraId="7E46E27F" w14:textId="72C5B502" w:rsidR="00216EBD" w:rsidRPr="00687093" w:rsidRDefault="00216EBD" w:rsidP="00216EBD">
            <w:pPr>
              <w:spacing w:after="120" w:line="240" w:lineRule="auto"/>
              <w:jc w:val="both"/>
              <w:rPr>
                <w:rFonts w:ascii="Times New Roman" w:hAnsi="Times New Roman"/>
                <w:color w:val="000000"/>
              </w:rPr>
            </w:pPr>
            <w:r>
              <w:rPr>
                <w:rFonts w:ascii="Times New Roman" w:hAnsi="Times New Roman"/>
                <w:color w:val="000000"/>
              </w:rPr>
              <w:t>R</w:t>
            </w:r>
            <w:r w:rsidRPr="00687093">
              <w:rPr>
                <w:rFonts w:ascii="Times New Roman" w:hAnsi="Times New Roman"/>
                <w:color w:val="000000"/>
              </w:rPr>
              <w:t xml:space="preserve">ealizowane działania będą się wiązały z dodatkowymi kosztami po stronie </w:t>
            </w:r>
            <w:r>
              <w:rPr>
                <w:rFonts w:ascii="Times New Roman" w:hAnsi="Times New Roman"/>
                <w:color w:val="000000"/>
              </w:rPr>
              <w:t xml:space="preserve">GDOŚ i RDOŚ </w:t>
            </w:r>
            <w:r w:rsidR="00944BCE" w:rsidRPr="00687093">
              <w:rPr>
                <w:rFonts w:ascii="Times New Roman" w:hAnsi="Times New Roman"/>
                <w:color w:val="000000"/>
              </w:rPr>
              <w:t>w</w:t>
            </w:r>
            <w:r w:rsidR="00944BCE">
              <w:rPr>
                <w:rFonts w:ascii="Times New Roman" w:hAnsi="Times New Roman"/>
                <w:color w:val="000000"/>
              </w:rPr>
              <w:t> </w:t>
            </w:r>
            <w:r w:rsidRPr="00687093">
              <w:rPr>
                <w:rFonts w:ascii="Times New Roman" w:hAnsi="Times New Roman"/>
                <w:color w:val="000000"/>
              </w:rPr>
              <w:t>zakresie:</w:t>
            </w:r>
          </w:p>
          <w:p w14:paraId="006C1A67" w14:textId="77777777" w:rsidR="00216EBD" w:rsidRPr="007F30C2" w:rsidRDefault="00216EBD" w:rsidP="00216EBD">
            <w:pPr>
              <w:spacing w:line="240" w:lineRule="auto"/>
              <w:jc w:val="both"/>
              <w:rPr>
                <w:rFonts w:ascii="Times New Roman" w:hAnsi="Times New Roman"/>
                <w:b/>
                <w:color w:val="000000"/>
              </w:rPr>
            </w:pPr>
            <w:r w:rsidRPr="007F30C2">
              <w:rPr>
                <w:rFonts w:ascii="Times New Roman" w:hAnsi="Times New Roman"/>
                <w:b/>
                <w:color w:val="000000"/>
              </w:rPr>
              <w:t>Pozycja 1</w:t>
            </w:r>
            <w:r>
              <w:rPr>
                <w:rFonts w:ascii="Times New Roman" w:hAnsi="Times New Roman"/>
                <w:b/>
                <w:color w:val="000000"/>
              </w:rPr>
              <w:t xml:space="preserve"> – koszty infrastruktury</w:t>
            </w:r>
            <w:r w:rsidRPr="007F30C2">
              <w:rPr>
                <w:rFonts w:ascii="Times New Roman" w:hAnsi="Times New Roman"/>
                <w:b/>
                <w:color w:val="000000"/>
              </w:rPr>
              <w:t>:</w:t>
            </w:r>
          </w:p>
          <w:p w14:paraId="4E3D830F" w14:textId="77777777" w:rsidR="00216EBD" w:rsidRDefault="00216EBD" w:rsidP="00216EBD">
            <w:pPr>
              <w:spacing w:after="120" w:line="240" w:lineRule="auto"/>
              <w:jc w:val="both"/>
              <w:rPr>
                <w:rFonts w:ascii="Times New Roman" w:hAnsi="Times New Roman"/>
                <w:color w:val="000000"/>
              </w:rPr>
            </w:pPr>
            <w:r w:rsidRPr="00870E52">
              <w:rPr>
                <w:rFonts w:ascii="Times New Roman" w:hAnsi="Times New Roman"/>
                <w:color w:val="000000"/>
              </w:rPr>
              <w:t>Utworzenie stanowisk pracy</w:t>
            </w:r>
            <w:r>
              <w:rPr>
                <w:rFonts w:ascii="Times New Roman" w:hAnsi="Times New Roman"/>
                <w:color w:val="000000"/>
              </w:rPr>
              <w:t xml:space="preserve">, </w:t>
            </w:r>
            <w:r w:rsidRPr="00870E52">
              <w:rPr>
                <w:rFonts w:ascii="Times New Roman" w:hAnsi="Times New Roman"/>
                <w:color w:val="000000"/>
              </w:rPr>
              <w:t>w tym niezbędnej infrastruktury.</w:t>
            </w:r>
          </w:p>
          <w:p w14:paraId="28D9C5A5" w14:textId="77777777" w:rsidR="00216EBD" w:rsidRDefault="00216EBD" w:rsidP="00216EBD">
            <w:pPr>
              <w:spacing w:line="240" w:lineRule="auto"/>
              <w:jc w:val="both"/>
              <w:rPr>
                <w:rFonts w:ascii="Times New Roman" w:hAnsi="Times New Roman"/>
                <w:color w:val="000000"/>
              </w:rPr>
            </w:pPr>
            <w:r w:rsidRPr="007F30C2">
              <w:rPr>
                <w:rFonts w:ascii="Times New Roman" w:hAnsi="Times New Roman"/>
                <w:b/>
                <w:color w:val="000000"/>
              </w:rPr>
              <w:t>Pozycja 2</w:t>
            </w:r>
            <w:r>
              <w:rPr>
                <w:rFonts w:ascii="Times New Roman" w:hAnsi="Times New Roman"/>
                <w:color w:val="000000"/>
              </w:rPr>
              <w:t xml:space="preserve"> </w:t>
            </w:r>
            <w:r w:rsidRPr="00FA3D04">
              <w:rPr>
                <w:rFonts w:ascii="Times New Roman" w:hAnsi="Times New Roman"/>
                <w:b/>
                <w:color w:val="000000"/>
              </w:rPr>
              <w:t>– koszty osobowe:</w:t>
            </w:r>
          </w:p>
          <w:p w14:paraId="45801F29" w14:textId="7B5DCF21" w:rsidR="00216EBD" w:rsidRDefault="00216EBD" w:rsidP="00216EBD">
            <w:pPr>
              <w:spacing w:line="240" w:lineRule="auto"/>
              <w:jc w:val="both"/>
              <w:rPr>
                <w:rFonts w:ascii="Times New Roman" w:hAnsi="Times New Roman"/>
                <w:color w:val="000000"/>
              </w:rPr>
            </w:pPr>
            <w:r>
              <w:rPr>
                <w:rFonts w:ascii="Times New Roman" w:hAnsi="Times New Roman"/>
                <w:color w:val="000000"/>
              </w:rPr>
              <w:t>Zgodnie z przewidywaniami dotyczącymi obsługi procesu</w:t>
            </w:r>
            <w:r>
              <w:t xml:space="preserve"> </w:t>
            </w:r>
            <w:r w:rsidRPr="006007A8">
              <w:rPr>
                <w:rFonts w:ascii="Times New Roman" w:hAnsi="Times New Roman"/>
                <w:color w:val="000000"/>
              </w:rPr>
              <w:t>opracowywani</w:t>
            </w:r>
            <w:r>
              <w:rPr>
                <w:rFonts w:ascii="Times New Roman" w:hAnsi="Times New Roman"/>
                <w:color w:val="000000"/>
              </w:rPr>
              <w:t>a</w:t>
            </w:r>
            <w:r w:rsidRPr="006007A8">
              <w:rPr>
                <w:rFonts w:ascii="Times New Roman" w:hAnsi="Times New Roman"/>
                <w:color w:val="000000"/>
              </w:rPr>
              <w:t xml:space="preserve"> i </w:t>
            </w:r>
            <w:r>
              <w:rPr>
                <w:rFonts w:ascii="Times New Roman" w:hAnsi="Times New Roman"/>
                <w:color w:val="000000"/>
              </w:rPr>
              <w:t>uzgadniania</w:t>
            </w:r>
            <w:r w:rsidRPr="006007A8">
              <w:rPr>
                <w:rFonts w:ascii="Times New Roman" w:hAnsi="Times New Roman"/>
                <w:color w:val="000000"/>
              </w:rPr>
              <w:t xml:space="preserve"> planów obszarów przyspieszonego rozwoju </w:t>
            </w:r>
            <w:r w:rsidR="001778AA" w:rsidRPr="001778AA">
              <w:rPr>
                <w:rFonts w:ascii="Times New Roman" w:hAnsi="Times New Roman"/>
                <w:color w:val="000000"/>
              </w:rPr>
              <w:t>instalacji odnawialnego źródła energii</w:t>
            </w:r>
            <w:r w:rsidR="001778AA">
              <w:rPr>
                <w:rFonts w:ascii="Times New Roman" w:hAnsi="Times New Roman"/>
                <w:color w:val="000000"/>
              </w:rPr>
              <w:t xml:space="preserve"> </w:t>
            </w:r>
            <w:r w:rsidRPr="006007A8">
              <w:rPr>
                <w:rFonts w:ascii="Times New Roman" w:hAnsi="Times New Roman"/>
                <w:color w:val="000000"/>
              </w:rPr>
              <w:t>dla województwa</w:t>
            </w:r>
            <w:r>
              <w:rPr>
                <w:rFonts w:ascii="Times New Roman" w:hAnsi="Times New Roman"/>
                <w:color w:val="000000"/>
              </w:rPr>
              <w:t>, niezbędne dla skutecznej realizacji nowych zadań będzie zatrudnienie dodatkowych dwudziestu czterech (24) osób (3 osoby w GDOŚ i 21 osób w RDOŚ).</w:t>
            </w:r>
          </w:p>
          <w:p w14:paraId="5F384807" w14:textId="77777777" w:rsidR="00216EBD" w:rsidRDefault="00216EBD" w:rsidP="00216EBD">
            <w:pPr>
              <w:suppressAutoHyphens/>
              <w:spacing w:after="120" w:line="240" w:lineRule="auto"/>
              <w:jc w:val="both"/>
              <w:rPr>
                <w:rFonts w:ascii="Times New Roman" w:hAnsi="Times New Roman"/>
                <w:color w:val="000000"/>
              </w:rPr>
            </w:pPr>
          </w:p>
          <w:p w14:paraId="0D30101C" w14:textId="439C9AB7" w:rsidR="00216EBD" w:rsidRPr="00870E52" w:rsidRDefault="00216EBD" w:rsidP="00216EBD">
            <w:pPr>
              <w:suppressAutoHyphens/>
              <w:spacing w:after="120" w:line="240" w:lineRule="auto"/>
              <w:jc w:val="both"/>
              <w:rPr>
                <w:rFonts w:ascii="Times New Roman" w:hAnsi="Times New Roman"/>
                <w:color w:val="000000"/>
                <w:sz w:val="20"/>
                <w:szCs w:val="20"/>
              </w:rPr>
            </w:pPr>
            <w:r w:rsidRPr="00870E52">
              <w:rPr>
                <w:rFonts w:ascii="Times New Roman" w:hAnsi="Times New Roman"/>
                <w:color w:val="000000"/>
                <w:sz w:val="20"/>
                <w:szCs w:val="20"/>
              </w:rPr>
              <w:t xml:space="preserve">Tabela </w:t>
            </w:r>
            <w:r>
              <w:rPr>
                <w:rFonts w:ascii="Times New Roman" w:hAnsi="Times New Roman"/>
                <w:color w:val="000000"/>
                <w:sz w:val="20"/>
                <w:szCs w:val="20"/>
              </w:rPr>
              <w:t>2</w:t>
            </w:r>
            <w:r w:rsidRPr="00870E52">
              <w:rPr>
                <w:rFonts w:ascii="Times New Roman" w:hAnsi="Times New Roman"/>
                <w:color w:val="000000"/>
                <w:sz w:val="20"/>
                <w:szCs w:val="20"/>
              </w:rPr>
              <w:t xml:space="preserve">. Planowane łączne koszty </w:t>
            </w:r>
            <w:r>
              <w:rPr>
                <w:rFonts w:ascii="Times New Roman" w:hAnsi="Times New Roman"/>
                <w:color w:val="000000"/>
                <w:sz w:val="20"/>
                <w:szCs w:val="20"/>
              </w:rPr>
              <w:t>GDOŚ i RDOŚ</w:t>
            </w:r>
            <w:r w:rsidRPr="00870E52">
              <w:rPr>
                <w:rFonts w:ascii="Times New Roman" w:hAnsi="Times New Roman"/>
                <w:color w:val="000000"/>
                <w:sz w:val="20"/>
                <w:szCs w:val="20"/>
              </w:rPr>
              <w:t xml:space="preserve"> od 202</w:t>
            </w:r>
            <w:r w:rsidR="00C26AE0">
              <w:rPr>
                <w:rFonts w:ascii="Times New Roman" w:hAnsi="Times New Roman"/>
                <w:color w:val="000000"/>
                <w:sz w:val="20"/>
                <w:szCs w:val="20"/>
              </w:rPr>
              <w:t>6</w:t>
            </w:r>
            <w:r w:rsidRPr="00870E52">
              <w:rPr>
                <w:rFonts w:ascii="Times New Roman" w:hAnsi="Times New Roman"/>
                <w:color w:val="000000"/>
                <w:sz w:val="20"/>
                <w:szCs w:val="20"/>
              </w:rPr>
              <w:t xml:space="preserve"> r. wynikające z zatrudnienia </w:t>
            </w:r>
            <w:r w:rsidRPr="007902EB">
              <w:rPr>
                <w:rFonts w:ascii="Times New Roman" w:hAnsi="Times New Roman"/>
                <w:color w:val="000000"/>
                <w:sz w:val="20"/>
                <w:szCs w:val="20"/>
              </w:rPr>
              <w:t xml:space="preserve">dwudziestu </w:t>
            </w:r>
            <w:r>
              <w:rPr>
                <w:rFonts w:ascii="Times New Roman" w:hAnsi="Times New Roman"/>
                <w:color w:val="000000"/>
                <w:sz w:val="20"/>
                <w:szCs w:val="20"/>
              </w:rPr>
              <w:t>czter</w:t>
            </w:r>
            <w:r w:rsidRPr="007902EB">
              <w:rPr>
                <w:rFonts w:ascii="Times New Roman" w:hAnsi="Times New Roman"/>
                <w:color w:val="000000"/>
                <w:sz w:val="20"/>
                <w:szCs w:val="20"/>
              </w:rPr>
              <w:t xml:space="preserve">ech </w:t>
            </w:r>
            <w:r w:rsidRPr="00870E52">
              <w:rPr>
                <w:rFonts w:ascii="Times New Roman" w:hAnsi="Times New Roman"/>
                <w:color w:val="000000"/>
                <w:sz w:val="20"/>
                <w:szCs w:val="20"/>
              </w:rPr>
              <w:t>(</w:t>
            </w:r>
            <w:r>
              <w:rPr>
                <w:rFonts w:ascii="Times New Roman" w:hAnsi="Times New Roman"/>
                <w:color w:val="000000"/>
                <w:sz w:val="20"/>
                <w:szCs w:val="20"/>
              </w:rPr>
              <w:t>24</w:t>
            </w:r>
            <w:r w:rsidRPr="00870E52">
              <w:rPr>
                <w:rFonts w:ascii="Times New Roman" w:hAnsi="Times New Roman"/>
                <w:color w:val="000000"/>
                <w:sz w:val="20"/>
                <w:szCs w:val="20"/>
              </w:rPr>
              <w:t>) nowych pracowników (</w:t>
            </w:r>
            <w:r>
              <w:rPr>
                <w:rFonts w:ascii="Times New Roman" w:hAnsi="Times New Roman"/>
                <w:color w:val="000000"/>
                <w:sz w:val="20"/>
                <w:szCs w:val="20"/>
              </w:rPr>
              <w:t>trzech w GDOŚ i dwudziestu jeden w RDOŚ</w:t>
            </w:r>
            <w:r w:rsidRPr="00870E52">
              <w:rPr>
                <w:rFonts w:ascii="Times New Roman" w:hAnsi="Times New Roman"/>
                <w:color w:val="000000"/>
                <w:sz w:val="20"/>
                <w:szCs w:val="20"/>
              </w:rPr>
              <w:t xml:space="preserve">) w zakresie </w:t>
            </w:r>
            <w:r>
              <w:rPr>
                <w:rFonts w:ascii="Times New Roman" w:hAnsi="Times New Roman"/>
                <w:color w:val="000000"/>
                <w:sz w:val="20"/>
                <w:szCs w:val="20"/>
              </w:rPr>
              <w:t>uzgadniania</w:t>
            </w:r>
            <w:r w:rsidRPr="00870E52">
              <w:rPr>
                <w:rFonts w:ascii="Times New Roman" w:hAnsi="Times New Roman"/>
                <w:color w:val="000000"/>
                <w:sz w:val="20"/>
                <w:szCs w:val="20"/>
              </w:rPr>
              <w:t xml:space="preserve"> planów obszarów przyspieszonego rozwoju</w:t>
            </w:r>
            <w:r w:rsidR="001778AA">
              <w:rPr>
                <w:rFonts w:ascii="Times New Roman" w:hAnsi="Times New Roman"/>
                <w:color w:val="000000"/>
                <w:sz w:val="20"/>
                <w:szCs w:val="20"/>
              </w:rPr>
              <w:t xml:space="preserve"> </w:t>
            </w:r>
            <w:r w:rsidR="001778AA" w:rsidRPr="001778AA">
              <w:rPr>
                <w:rFonts w:ascii="Times New Roman" w:hAnsi="Times New Roman"/>
                <w:color w:val="000000"/>
                <w:sz w:val="20"/>
                <w:szCs w:val="20"/>
              </w:rPr>
              <w:t>instalacji odnawialnego źródła energii</w:t>
            </w:r>
            <w:r w:rsidRPr="00870E52">
              <w:rPr>
                <w:rFonts w:ascii="Times New Roman" w:hAnsi="Times New Roman"/>
                <w:color w:val="000000"/>
                <w:sz w:val="20"/>
                <w:szCs w:val="20"/>
              </w:rPr>
              <w:t xml:space="preserve"> dla województwa:</w:t>
            </w:r>
          </w:p>
          <w:tbl>
            <w:tblPr>
              <w:tblW w:w="8468" w:type="dxa"/>
              <w:jc w:val="center"/>
              <w:tblCellMar>
                <w:left w:w="70" w:type="dxa"/>
                <w:right w:w="70" w:type="dxa"/>
              </w:tblCellMar>
              <w:tblLook w:val="04A0" w:firstRow="1" w:lastRow="0" w:firstColumn="1" w:lastColumn="0" w:noHBand="0" w:noVBand="1"/>
            </w:tblPr>
            <w:tblGrid>
              <w:gridCol w:w="774"/>
              <w:gridCol w:w="1059"/>
              <w:gridCol w:w="738"/>
              <w:gridCol w:w="738"/>
              <w:gridCol w:w="737"/>
              <w:gridCol w:w="737"/>
              <w:gridCol w:w="737"/>
              <w:gridCol w:w="737"/>
              <w:gridCol w:w="737"/>
              <w:gridCol w:w="737"/>
              <w:gridCol w:w="737"/>
            </w:tblGrid>
            <w:tr w:rsidR="00CE67B8" w:rsidRPr="00216EBD" w14:paraId="08E4E846" w14:textId="77777777" w:rsidTr="004757C8">
              <w:trPr>
                <w:trHeight w:val="290"/>
                <w:jc w:val="center"/>
              </w:trPr>
              <w:tc>
                <w:tcPr>
                  <w:tcW w:w="774"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57983F4E" w14:textId="77777777" w:rsidR="00CE67B8" w:rsidRPr="00DD284D" w:rsidRDefault="00CE67B8" w:rsidP="00CE67B8">
                  <w:pPr>
                    <w:spacing w:line="240" w:lineRule="auto"/>
                    <w:rPr>
                      <w:rFonts w:ascii="Times New Roman" w:eastAsia="Times New Roman" w:hAnsi="Times New Roman"/>
                      <w:b/>
                      <w:bCs/>
                      <w:color w:val="000000"/>
                      <w:sz w:val="18"/>
                      <w:szCs w:val="18"/>
                      <w:lang w:eastAsia="pl-PL"/>
                    </w:rPr>
                  </w:pPr>
                  <w:r w:rsidRPr="00DD284D">
                    <w:rPr>
                      <w:rFonts w:ascii="Times New Roman" w:eastAsia="Times New Roman" w:hAnsi="Times New Roman"/>
                      <w:b/>
                      <w:bCs/>
                      <w:color w:val="000000"/>
                      <w:sz w:val="18"/>
                      <w:szCs w:val="18"/>
                      <w:lang w:eastAsia="pl-PL"/>
                    </w:rPr>
                    <w:lastRenderedPageBreak/>
                    <w:t>Pozycja</w:t>
                  </w:r>
                </w:p>
              </w:tc>
              <w:tc>
                <w:tcPr>
                  <w:tcW w:w="1059" w:type="dxa"/>
                  <w:tcBorders>
                    <w:top w:val="single" w:sz="4" w:space="0" w:color="auto"/>
                    <w:left w:val="nil"/>
                    <w:bottom w:val="single" w:sz="4" w:space="0" w:color="auto"/>
                    <w:right w:val="single" w:sz="4" w:space="0" w:color="auto"/>
                  </w:tcBorders>
                  <w:shd w:val="clear" w:color="000000" w:fill="AEAAAA"/>
                  <w:noWrap/>
                  <w:vAlign w:val="bottom"/>
                  <w:hideMark/>
                </w:tcPr>
                <w:p w14:paraId="06C1769F"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6</w:t>
                  </w:r>
                </w:p>
              </w:tc>
              <w:tc>
                <w:tcPr>
                  <w:tcW w:w="738" w:type="dxa"/>
                  <w:tcBorders>
                    <w:top w:val="single" w:sz="4" w:space="0" w:color="auto"/>
                    <w:left w:val="nil"/>
                    <w:bottom w:val="single" w:sz="4" w:space="0" w:color="auto"/>
                    <w:right w:val="single" w:sz="4" w:space="0" w:color="auto"/>
                  </w:tcBorders>
                  <w:shd w:val="clear" w:color="000000" w:fill="AEAAAA"/>
                  <w:noWrap/>
                  <w:vAlign w:val="bottom"/>
                  <w:hideMark/>
                </w:tcPr>
                <w:p w14:paraId="46F058B9"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7</w:t>
                  </w:r>
                </w:p>
              </w:tc>
              <w:tc>
                <w:tcPr>
                  <w:tcW w:w="738" w:type="dxa"/>
                  <w:tcBorders>
                    <w:top w:val="single" w:sz="4" w:space="0" w:color="auto"/>
                    <w:left w:val="nil"/>
                    <w:bottom w:val="single" w:sz="4" w:space="0" w:color="auto"/>
                    <w:right w:val="single" w:sz="4" w:space="0" w:color="auto"/>
                  </w:tcBorders>
                  <w:shd w:val="clear" w:color="000000" w:fill="AEAAAA"/>
                  <w:noWrap/>
                  <w:vAlign w:val="bottom"/>
                  <w:hideMark/>
                </w:tcPr>
                <w:p w14:paraId="0D889C6F"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8</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4CE5FF07"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9</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2E758BEE"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w:t>
                  </w:r>
                  <w:r>
                    <w:rPr>
                      <w:rFonts w:ascii="Times New Roman" w:eastAsia="Times New Roman" w:hAnsi="Times New Roman"/>
                      <w:color w:val="000000"/>
                      <w:sz w:val="18"/>
                      <w:szCs w:val="18"/>
                      <w:lang w:eastAsia="pl-PL"/>
                    </w:rPr>
                    <w:t>30</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6E8601E0"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1</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2602D51B"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2</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55B6217B"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3</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472F601F"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4</w:t>
                  </w:r>
                </w:p>
              </w:tc>
              <w:tc>
                <w:tcPr>
                  <w:tcW w:w="737" w:type="dxa"/>
                  <w:tcBorders>
                    <w:top w:val="single" w:sz="4" w:space="0" w:color="auto"/>
                    <w:left w:val="nil"/>
                    <w:bottom w:val="single" w:sz="4" w:space="0" w:color="auto"/>
                    <w:right w:val="single" w:sz="4" w:space="0" w:color="auto"/>
                  </w:tcBorders>
                  <w:shd w:val="clear" w:color="000000" w:fill="AEAAAA"/>
                  <w:noWrap/>
                  <w:vAlign w:val="bottom"/>
                  <w:hideMark/>
                </w:tcPr>
                <w:p w14:paraId="7F876970"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5</w:t>
                  </w:r>
                </w:p>
              </w:tc>
            </w:tr>
            <w:tr w:rsidR="00CE67B8" w:rsidRPr="00216EBD" w14:paraId="281081D9" w14:textId="77777777" w:rsidTr="004757C8">
              <w:trPr>
                <w:trHeight w:val="290"/>
                <w:jc w:val="center"/>
              </w:trPr>
              <w:tc>
                <w:tcPr>
                  <w:tcW w:w="774" w:type="dxa"/>
                  <w:tcBorders>
                    <w:top w:val="nil"/>
                    <w:left w:val="single" w:sz="4" w:space="0" w:color="auto"/>
                    <w:bottom w:val="nil"/>
                    <w:right w:val="single" w:sz="4" w:space="0" w:color="auto"/>
                  </w:tcBorders>
                  <w:shd w:val="clear" w:color="000000" w:fill="AEAAAA"/>
                  <w:noWrap/>
                  <w:vAlign w:val="bottom"/>
                  <w:hideMark/>
                </w:tcPr>
                <w:p w14:paraId="50AF7F33" w14:textId="77777777" w:rsidR="00CE67B8" w:rsidRPr="00DD284D" w:rsidRDefault="00CE67B8" w:rsidP="00CE67B8">
                  <w:pPr>
                    <w:spacing w:line="240" w:lineRule="auto"/>
                    <w:rPr>
                      <w:rFonts w:ascii="Times New Roman" w:eastAsia="Times New Roman" w:hAnsi="Times New Roman"/>
                      <w:b/>
                      <w:bCs/>
                      <w:color w:val="000000"/>
                      <w:sz w:val="18"/>
                      <w:szCs w:val="18"/>
                      <w:lang w:eastAsia="pl-PL"/>
                    </w:rPr>
                  </w:pPr>
                </w:p>
              </w:tc>
              <w:tc>
                <w:tcPr>
                  <w:tcW w:w="7694" w:type="dxa"/>
                  <w:gridSpan w:val="10"/>
                  <w:tcBorders>
                    <w:top w:val="single" w:sz="4" w:space="0" w:color="auto"/>
                    <w:left w:val="nil"/>
                    <w:bottom w:val="single" w:sz="4" w:space="0" w:color="auto"/>
                    <w:right w:val="single" w:sz="4" w:space="0" w:color="000000"/>
                  </w:tcBorders>
                  <w:shd w:val="clear" w:color="000000" w:fill="AEAAAA"/>
                  <w:noWrap/>
                  <w:vAlign w:val="bottom"/>
                  <w:hideMark/>
                </w:tcPr>
                <w:p w14:paraId="77AFA316"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Koszty w zł</w:t>
                  </w:r>
                </w:p>
              </w:tc>
            </w:tr>
            <w:tr w:rsidR="00CE67B8" w:rsidRPr="00216EBD" w14:paraId="56BED33C" w14:textId="77777777" w:rsidTr="004757C8">
              <w:trPr>
                <w:trHeight w:val="260"/>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1C52293E" w14:textId="77777777" w:rsidR="00CE67B8" w:rsidRPr="00DD284D" w:rsidRDefault="00CE67B8" w:rsidP="00CE67B8">
                  <w:pPr>
                    <w:spacing w:line="240" w:lineRule="auto"/>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Pozycja 1</w:t>
                  </w:r>
                </w:p>
              </w:tc>
              <w:tc>
                <w:tcPr>
                  <w:tcW w:w="1059" w:type="dxa"/>
                  <w:tcBorders>
                    <w:top w:val="nil"/>
                    <w:left w:val="nil"/>
                    <w:bottom w:val="single" w:sz="4" w:space="0" w:color="auto"/>
                    <w:right w:val="single" w:sz="4" w:space="0" w:color="auto"/>
                  </w:tcBorders>
                  <w:shd w:val="clear" w:color="auto" w:fill="auto"/>
                  <w:noWrap/>
                  <w:vAlign w:val="center"/>
                  <w:hideMark/>
                </w:tcPr>
                <w:p w14:paraId="1704E6F9"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360 000,00</w:t>
                  </w:r>
                </w:p>
              </w:tc>
              <w:tc>
                <w:tcPr>
                  <w:tcW w:w="738" w:type="dxa"/>
                  <w:tcBorders>
                    <w:top w:val="nil"/>
                    <w:left w:val="nil"/>
                    <w:bottom w:val="single" w:sz="4" w:space="0" w:color="auto"/>
                    <w:right w:val="single" w:sz="4" w:space="0" w:color="auto"/>
                  </w:tcBorders>
                  <w:shd w:val="clear" w:color="auto" w:fill="auto"/>
                  <w:noWrap/>
                  <w:vAlign w:val="center"/>
                  <w:hideMark/>
                </w:tcPr>
                <w:p w14:paraId="321DA1D2"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8" w:type="dxa"/>
                  <w:tcBorders>
                    <w:top w:val="nil"/>
                    <w:left w:val="nil"/>
                    <w:bottom w:val="single" w:sz="4" w:space="0" w:color="auto"/>
                    <w:right w:val="single" w:sz="4" w:space="0" w:color="auto"/>
                  </w:tcBorders>
                  <w:shd w:val="clear" w:color="auto" w:fill="auto"/>
                  <w:noWrap/>
                  <w:vAlign w:val="center"/>
                  <w:hideMark/>
                </w:tcPr>
                <w:p w14:paraId="35D5B414"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626A4558"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21F33842"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0AC1F60D"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4E08FB6E"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49A29954"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7DE11AB5"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c>
                <w:tcPr>
                  <w:tcW w:w="737" w:type="dxa"/>
                  <w:tcBorders>
                    <w:top w:val="nil"/>
                    <w:left w:val="nil"/>
                    <w:bottom w:val="single" w:sz="4" w:space="0" w:color="auto"/>
                    <w:right w:val="single" w:sz="4" w:space="0" w:color="auto"/>
                  </w:tcBorders>
                  <w:shd w:val="clear" w:color="auto" w:fill="auto"/>
                  <w:noWrap/>
                  <w:vAlign w:val="center"/>
                  <w:hideMark/>
                </w:tcPr>
                <w:p w14:paraId="3FCA80DF" w14:textId="77777777" w:rsidR="00CE67B8" w:rsidRPr="00DD284D" w:rsidRDefault="00CE67B8" w:rsidP="00CE67B8">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w:t>
                  </w:r>
                </w:p>
              </w:tc>
            </w:tr>
            <w:tr w:rsidR="00483E26" w:rsidRPr="00216EBD" w14:paraId="13D7B0CB" w14:textId="77777777" w:rsidTr="007B2A24">
              <w:trPr>
                <w:trHeight w:val="260"/>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71BA9809" w14:textId="77777777" w:rsidR="00483E26" w:rsidRPr="00DD284D" w:rsidRDefault="00483E26" w:rsidP="00483E26">
                  <w:pPr>
                    <w:spacing w:line="240" w:lineRule="auto"/>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Pozycja 2</w:t>
                  </w:r>
                </w:p>
              </w:tc>
              <w:tc>
                <w:tcPr>
                  <w:tcW w:w="1059" w:type="dxa"/>
                  <w:tcBorders>
                    <w:top w:val="nil"/>
                    <w:left w:val="nil"/>
                    <w:bottom w:val="single" w:sz="4" w:space="0" w:color="auto"/>
                    <w:right w:val="single" w:sz="4" w:space="0" w:color="auto"/>
                  </w:tcBorders>
                  <w:shd w:val="clear" w:color="auto" w:fill="auto"/>
                  <w:noWrap/>
                  <w:vAlign w:val="center"/>
                  <w:hideMark/>
                </w:tcPr>
                <w:p w14:paraId="1E67790C" w14:textId="77777777" w:rsidR="00483E26" w:rsidRPr="00DD284D" w:rsidRDefault="00483E26" w:rsidP="00483E26">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2 587 957,00</w:t>
                  </w:r>
                </w:p>
              </w:tc>
              <w:tc>
                <w:tcPr>
                  <w:tcW w:w="738" w:type="dxa"/>
                  <w:tcBorders>
                    <w:top w:val="single" w:sz="4" w:space="0" w:color="auto"/>
                    <w:left w:val="single" w:sz="4" w:space="0" w:color="auto"/>
                    <w:bottom w:val="single" w:sz="4" w:space="0" w:color="auto"/>
                    <w:right w:val="single" w:sz="4" w:space="0" w:color="auto"/>
                  </w:tcBorders>
                  <w:shd w:val="clear" w:color="auto" w:fill="auto"/>
                  <w:noWrap/>
                  <w:hideMark/>
                </w:tcPr>
                <w:p w14:paraId="029B8ADE" w14:textId="23350EE2" w:rsidR="00483E26" w:rsidRPr="00CE67B8"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2 964 956,30 </w:t>
                  </w:r>
                </w:p>
              </w:tc>
              <w:tc>
                <w:tcPr>
                  <w:tcW w:w="738" w:type="dxa"/>
                  <w:tcBorders>
                    <w:top w:val="single" w:sz="4" w:space="0" w:color="auto"/>
                    <w:left w:val="nil"/>
                    <w:bottom w:val="single" w:sz="4" w:space="0" w:color="auto"/>
                    <w:right w:val="single" w:sz="4" w:space="0" w:color="auto"/>
                  </w:tcBorders>
                  <w:shd w:val="clear" w:color="auto" w:fill="auto"/>
                  <w:noWrap/>
                  <w:hideMark/>
                </w:tcPr>
                <w:p w14:paraId="242B2165" w14:textId="2602A41A"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3 122 098,98 </w:t>
                  </w:r>
                </w:p>
              </w:tc>
              <w:tc>
                <w:tcPr>
                  <w:tcW w:w="737" w:type="dxa"/>
                  <w:tcBorders>
                    <w:top w:val="single" w:sz="4" w:space="0" w:color="auto"/>
                    <w:left w:val="nil"/>
                    <w:bottom w:val="single" w:sz="4" w:space="0" w:color="auto"/>
                    <w:right w:val="single" w:sz="4" w:space="0" w:color="auto"/>
                  </w:tcBorders>
                  <w:shd w:val="clear" w:color="auto" w:fill="auto"/>
                  <w:noWrap/>
                  <w:hideMark/>
                </w:tcPr>
                <w:p w14:paraId="25ACE2C2" w14:textId="0F834B2B"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3 287 570,23 </w:t>
                  </w:r>
                </w:p>
              </w:tc>
              <w:tc>
                <w:tcPr>
                  <w:tcW w:w="737" w:type="dxa"/>
                  <w:tcBorders>
                    <w:top w:val="single" w:sz="4" w:space="0" w:color="auto"/>
                    <w:left w:val="nil"/>
                    <w:bottom w:val="single" w:sz="4" w:space="0" w:color="auto"/>
                    <w:right w:val="single" w:sz="4" w:space="0" w:color="auto"/>
                  </w:tcBorders>
                  <w:shd w:val="clear" w:color="auto" w:fill="auto"/>
                  <w:noWrap/>
                  <w:hideMark/>
                </w:tcPr>
                <w:p w14:paraId="7483E665" w14:textId="5BC6AFEE"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3 461 735,31 </w:t>
                  </w:r>
                </w:p>
              </w:tc>
              <w:tc>
                <w:tcPr>
                  <w:tcW w:w="737" w:type="dxa"/>
                  <w:tcBorders>
                    <w:top w:val="single" w:sz="4" w:space="0" w:color="auto"/>
                    <w:left w:val="nil"/>
                    <w:bottom w:val="single" w:sz="4" w:space="0" w:color="auto"/>
                    <w:right w:val="single" w:sz="4" w:space="0" w:color="auto"/>
                  </w:tcBorders>
                  <w:shd w:val="clear" w:color="auto" w:fill="auto"/>
                  <w:noWrap/>
                  <w:hideMark/>
                </w:tcPr>
                <w:p w14:paraId="032A9A32" w14:textId="027F28BD"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3 645 127,18 </w:t>
                  </w:r>
                </w:p>
              </w:tc>
              <w:tc>
                <w:tcPr>
                  <w:tcW w:w="737" w:type="dxa"/>
                  <w:tcBorders>
                    <w:top w:val="single" w:sz="4" w:space="0" w:color="auto"/>
                    <w:left w:val="nil"/>
                    <w:bottom w:val="single" w:sz="4" w:space="0" w:color="auto"/>
                    <w:right w:val="single" w:sz="4" w:space="0" w:color="auto"/>
                  </w:tcBorders>
                  <w:shd w:val="clear" w:color="auto" w:fill="auto"/>
                  <w:noWrap/>
                  <w:hideMark/>
                </w:tcPr>
                <w:p w14:paraId="146A1A0D" w14:textId="3D66EFF6"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3 838 150,38 </w:t>
                  </w:r>
                </w:p>
              </w:tc>
              <w:tc>
                <w:tcPr>
                  <w:tcW w:w="737" w:type="dxa"/>
                  <w:tcBorders>
                    <w:top w:val="single" w:sz="4" w:space="0" w:color="auto"/>
                    <w:left w:val="nil"/>
                    <w:bottom w:val="single" w:sz="4" w:space="0" w:color="auto"/>
                    <w:right w:val="single" w:sz="4" w:space="0" w:color="auto"/>
                  </w:tcBorders>
                  <w:shd w:val="clear" w:color="auto" w:fill="auto"/>
                  <w:noWrap/>
                  <w:hideMark/>
                </w:tcPr>
                <w:p w14:paraId="45762CCE" w14:textId="5FE9A393"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4 041 306,64 </w:t>
                  </w:r>
                </w:p>
              </w:tc>
              <w:tc>
                <w:tcPr>
                  <w:tcW w:w="737" w:type="dxa"/>
                  <w:tcBorders>
                    <w:top w:val="single" w:sz="4" w:space="0" w:color="auto"/>
                    <w:left w:val="nil"/>
                    <w:bottom w:val="single" w:sz="4" w:space="0" w:color="auto"/>
                    <w:right w:val="single" w:sz="4" w:space="0" w:color="auto"/>
                  </w:tcBorders>
                  <w:shd w:val="clear" w:color="auto" w:fill="auto"/>
                  <w:noWrap/>
                  <w:hideMark/>
                </w:tcPr>
                <w:p w14:paraId="61A1C1A3" w14:textId="0F821695"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4 255 216,91 </w:t>
                  </w:r>
                </w:p>
              </w:tc>
              <w:tc>
                <w:tcPr>
                  <w:tcW w:w="737" w:type="dxa"/>
                  <w:tcBorders>
                    <w:top w:val="single" w:sz="4" w:space="0" w:color="auto"/>
                    <w:left w:val="nil"/>
                    <w:bottom w:val="single" w:sz="4" w:space="0" w:color="auto"/>
                    <w:right w:val="single" w:sz="4" w:space="0" w:color="auto"/>
                  </w:tcBorders>
                  <w:shd w:val="clear" w:color="auto" w:fill="auto"/>
                  <w:noWrap/>
                  <w:hideMark/>
                </w:tcPr>
                <w:p w14:paraId="158E6C26" w14:textId="4D84E33E"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4 480 450,47 </w:t>
                  </w:r>
                </w:p>
              </w:tc>
            </w:tr>
            <w:tr w:rsidR="00483E26" w:rsidRPr="00216EBD" w14:paraId="47BDD690" w14:textId="77777777" w:rsidTr="007B2A24">
              <w:trPr>
                <w:trHeight w:val="290"/>
                <w:jc w:val="center"/>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14:paraId="54A61E0F" w14:textId="77777777" w:rsidR="00483E26" w:rsidRPr="00DD284D" w:rsidRDefault="00483E26" w:rsidP="00483E26">
                  <w:pPr>
                    <w:spacing w:line="240" w:lineRule="auto"/>
                    <w:rPr>
                      <w:rFonts w:ascii="Times New Roman" w:eastAsia="Times New Roman" w:hAnsi="Times New Roman"/>
                      <w:b/>
                      <w:bCs/>
                      <w:color w:val="000000"/>
                      <w:sz w:val="18"/>
                      <w:szCs w:val="18"/>
                      <w:lang w:eastAsia="pl-PL"/>
                    </w:rPr>
                  </w:pPr>
                  <w:r w:rsidRPr="00DD284D">
                    <w:rPr>
                      <w:rFonts w:ascii="Times New Roman" w:eastAsia="Times New Roman" w:hAnsi="Times New Roman"/>
                      <w:b/>
                      <w:bCs/>
                      <w:color w:val="000000"/>
                      <w:sz w:val="18"/>
                      <w:szCs w:val="18"/>
                      <w:lang w:eastAsia="pl-PL"/>
                    </w:rPr>
                    <w:t>SUMA</w:t>
                  </w:r>
                </w:p>
              </w:tc>
              <w:tc>
                <w:tcPr>
                  <w:tcW w:w="1059" w:type="dxa"/>
                  <w:tcBorders>
                    <w:top w:val="nil"/>
                    <w:left w:val="nil"/>
                    <w:bottom w:val="single" w:sz="4" w:space="0" w:color="auto"/>
                    <w:right w:val="single" w:sz="4" w:space="0" w:color="auto"/>
                  </w:tcBorders>
                  <w:shd w:val="clear" w:color="auto" w:fill="auto"/>
                  <w:noWrap/>
                  <w:hideMark/>
                </w:tcPr>
                <w:p w14:paraId="03DBF5C7" w14:textId="77777777" w:rsidR="00483E26" w:rsidRPr="008A6112" w:rsidRDefault="00483E26" w:rsidP="00483E26">
                  <w:pPr>
                    <w:spacing w:line="240" w:lineRule="auto"/>
                    <w:jc w:val="center"/>
                    <w:rPr>
                      <w:rFonts w:ascii="Times New Roman" w:eastAsia="Times New Roman" w:hAnsi="Times New Roman"/>
                      <w:b/>
                      <w:bCs/>
                      <w:color w:val="000000"/>
                      <w:sz w:val="18"/>
                      <w:szCs w:val="18"/>
                      <w:lang w:eastAsia="pl-PL"/>
                    </w:rPr>
                  </w:pPr>
                  <w:r w:rsidRPr="008A6112">
                    <w:rPr>
                      <w:rFonts w:ascii="Times New Roman" w:hAnsi="Times New Roman"/>
                      <w:b/>
                      <w:bCs/>
                      <w:sz w:val="18"/>
                      <w:szCs w:val="18"/>
                    </w:rPr>
                    <w:t xml:space="preserve">2 947 957,00 </w:t>
                  </w:r>
                </w:p>
              </w:tc>
              <w:tc>
                <w:tcPr>
                  <w:tcW w:w="738" w:type="dxa"/>
                  <w:tcBorders>
                    <w:top w:val="single" w:sz="4" w:space="0" w:color="auto"/>
                    <w:left w:val="single" w:sz="4" w:space="0" w:color="auto"/>
                    <w:bottom w:val="single" w:sz="4" w:space="0" w:color="auto"/>
                    <w:right w:val="single" w:sz="4" w:space="0" w:color="auto"/>
                  </w:tcBorders>
                  <w:shd w:val="clear" w:color="auto" w:fill="auto"/>
                  <w:noWrap/>
                  <w:hideMark/>
                </w:tcPr>
                <w:p w14:paraId="28707BFB" w14:textId="6D622D5D" w:rsidR="00483E26" w:rsidRPr="00CE67B8"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2 964 956,30 </w:t>
                  </w:r>
                </w:p>
              </w:tc>
              <w:tc>
                <w:tcPr>
                  <w:tcW w:w="738" w:type="dxa"/>
                  <w:tcBorders>
                    <w:top w:val="single" w:sz="4" w:space="0" w:color="auto"/>
                    <w:left w:val="nil"/>
                    <w:bottom w:val="single" w:sz="4" w:space="0" w:color="auto"/>
                    <w:right w:val="single" w:sz="4" w:space="0" w:color="auto"/>
                  </w:tcBorders>
                  <w:shd w:val="clear" w:color="auto" w:fill="auto"/>
                  <w:noWrap/>
                  <w:hideMark/>
                </w:tcPr>
                <w:p w14:paraId="7E5117DC" w14:textId="5E8350B5"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3 122 098,98 </w:t>
                  </w:r>
                </w:p>
              </w:tc>
              <w:tc>
                <w:tcPr>
                  <w:tcW w:w="737" w:type="dxa"/>
                  <w:tcBorders>
                    <w:top w:val="single" w:sz="4" w:space="0" w:color="auto"/>
                    <w:left w:val="nil"/>
                    <w:bottom w:val="single" w:sz="4" w:space="0" w:color="auto"/>
                    <w:right w:val="single" w:sz="4" w:space="0" w:color="auto"/>
                  </w:tcBorders>
                  <w:shd w:val="clear" w:color="auto" w:fill="auto"/>
                  <w:noWrap/>
                  <w:hideMark/>
                </w:tcPr>
                <w:p w14:paraId="080D3E4C" w14:textId="3E2DA4E0"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3 287 570,23 </w:t>
                  </w:r>
                </w:p>
              </w:tc>
              <w:tc>
                <w:tcPr>
                  <w:tcW w:w="737" w:type="dxa"/>
                  <w:tcBorders>
                    <w:top w:val="single" w:sz="4" w:space="0" w:color="auto"/>
                    <w:left w:val="nil"/>
                    <w:bottom w:val="single" w:sz="4" w:space="0" w:color="auto"/>
                    <w:right w:val="single" w:sz="4" w:space="0" w:color="auto"/>
                  </w:tcBorders>
                  <w:shd w:val="clear" w:color="auto" w:fill="auto"/>
                  <w:noWrap/>
                  <w:hideMark/>
                </w:tcPr>
                <w:p w14:paraId="7F1BA852" w14:textId="3D87409F"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3 461 735,31 </w:t>
                  </w:r>
                </w:p>
              </w:tc>
              <w:tc>
                <w:tcPr>
                  <w:tcW w:w="737" w:type="dxa"/>
                  <w:tcBorders>
                    <w:top w:val="single" w:sz="4" w:space="0" w:color="auto"/>
                    <w:left w:val="nil"/>
                    <w:bottom w:val="single" w:sz="4" w:space="0" w:color="auto"/>
                    <w:right w:val="single" w:sz="4" w:space="0" w:color="auto"/>
                  </w:tcBorders>
                  <w:shd w:val="clear" w:color="auto" w:fill="auto"/>
                  <w:noWrap/>
                  <w:hideMark/>
                </w:tcPr>
                <w:p w14:paraId="63155343" w14:textId="50401984"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3 645 127,18 </w:t>
                  </w:r>
                </w:p>
              </w:tc>
              <w:tc>
                <w:tcPr>
                  <w:tcW w:w="737" w:type="dxa"/>
                  <w:tcBorders>
                    <w:top w:val="single" w:sz="4" w:space="0" w:color="auto"/>
                    <w:left w:val="nil"/>
                    <w:bottom w:val="single" w:sz="4" w:space="0" w:color="auto"/>
                    <w:right w:val="single" w:sz="4" w:space="0" w:color="auto"/>
                  </w:tcBorders>
                  <w:shd w:val="clear" w:color="auto" w:fill="auto"/>
                  <w:noWrap/>
                  <w:hideMark/>
                </w:tcPr>
                <w:p w14:paraId="44282CBF" w14:textId="4B9D056F"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3 838 150,38 </w:t>
                  </w:r>
                </w:p>
              </w:tc>
              <w:tc>
                <w:tcPr>
                  <w:tcW w:w="737" w:type="dxa"/>
                  <w:tcBorders>
                    <w:top w:val="single" w:sz="4" w:space="0" w:color="auto"/>
                    <w:left w:val="nil"/>
                    <w:bottom w:val="single" w:sz="4" w:space="0" w:color="auto"/>
                    <w:right w:val="single" w:sz="4" w:space="0" w:color="auto"/>
                  </w:tcBorders>
                  <w:shd w:val="clear" w:color="auto" w:fill="auto"/>
                  <w:noWrap/>
                  <w:hideMark/>
                </w:tcPr>
                <w:p w14:paraId="54497B72" w14:textId="5998A809"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4 041 306,64 </w:t>
                  </w:r>
                </w:p>
              </w:tc>
              <w:tc>
                <w:tcPr>
                  <w:tcW w:w="737" w:type="dxa"/>
                  <w:tcBorders>
                    <w:top w:val="single" w:sz="4" w:space="0" w:color="auto"/>
                    <w:left w:val="nil"/>
                    <w:bottom w:val="single" w:sz="4" w:space="0" w:color="auto"/>
                    <w:right w:val="single" w:sz="4" w:space="0" w:color="auto"/>
                  </w:tcBorders>
                  <w:shd w:val="clear" w:color="auto" w:fill="auto"/>
                  <w:noWrap/>
                  <w:hideMark/>
                </w:tcPr>
                <w:p w14:paraId="22119903" w14:textId="6FD7B108"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4 255 216,91 </w:t>
                  </w:r>
                </w:p>
              </w:tc>
              <w:tc>
                <w:tcPr>
                  <w:tcW w:w="737" w:type="dxa"/>
                  <w:tcBorders>
                    <w:top w:val="single" w:sz="4" w:space="0" w:color="auto"/>
                    <w:left w:val="nil"/>
                    <w:bottom w:val="single" w:sz="4" w:space="0" w:color="auto"/>
                    <w:right w:val="single" w:sz="4" w:space="0" w:color="auto"/>
                  </w:tcBorders>
                  <w:shd w:val="clear" w:color="auto" w:fill="auto"/>
                  <w:noWrap/>
                  <w:hideMark/>
                </w:tcPr>
                <w:p w14:paraId="1827BE57" w14:textId="24DBA610"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4 480 450,47 </w:t>
                  </w:r>
                </w:p>
              </w:tc>
            </w:tr>
          </w:tbl>
          <w:p w14:paraId="7D42BC22" w14:textId="0144C1E0" w:rsidR="00216EBD" w:rsidRPr="00A33173" w:rsidRDefault="00216EBD" w:rsidP="00216EBD">
            <w:pPr>
              <w:suppressAutoHyphens/>
              <w:spacing w:after="120" w:line="240" w:lineRule="auto"/>
              <w:jc w:val="both"/>
              <w:rPr>
                <w:rFonts w:ascii="Times New Roman" w:hAnsi="Times New Roman"/>
                <w:b/>
                <w:bCs/>
                <w:color w:val="000000"/>
              </w:rPr>
            </w:pPr>
            <w:r w:rsidRPr="00A33173">
              <w:rPr>
                <w:rFonts w:ascii="Times New Roman" w:hAnsi="Times New Roman"/>
                <w:b/>
                <w:bCs/>
                <w:color w:val="000000"/>
              </w:rPr>
              <w:t xml:space="preserve">Łączne koszty GDOŚ i RDOŚ </w:t>
            </w:r>
            <w:r w:rsidRPr="00A33173">
              <w:rPr>
                <w:rFonts w:ascii="Times New Roman" w:hAnsi="Times New Roman"/>
                <w:color w:val="000000"/>
              </w:rPr>
              <w:t>w latach 202</w:t>
            </w:r>
            <w:r w:rsidR="00A05C9E">
              <w:rPr>
                <w:rFonts w:ascii="Times New Roman" w:hAnsi="Times New Roman"/>
                <w:color w:val="000000"/>
              </w:rPr>
              <w:t>6</w:t>
            </w:r>
            <w:r w:rsidRPr="00A33173">
              <w:rPr>
                <w:rFonts w:ascii="Times New Roman" w:hAnsi="Times New Roman"/>
                <w:color w:val="000000"/>
              </w:rPr>
              <w:t>-203</w:t>
            </w:r>
            <w:r w:rsidR="00A05C9E">
              <w:rPr>
                <w:rFonts w:ascii="Times New Roman" w:hAnsi="Times New Roman"/>
                <w:color w:val="000000"/>
              </w:rPr>
              <w:t>5</w:t>
            </w:r>
            <w:r w:rsidRPr="00A33173">
              <w:rPr>
                <w:rFonts w:ascii="Times New Roman" w:hAnsi="Times New Roman"/>
                <w:color w:val="000000"/>
              </w:rPr>
              <w:t>:</w:t>
            </w:r>
            <w:r w:rsidRPr="00A33173">
              <w:rPr>
                <w:rFonts w:ascii="Times New Roman" w:hAnsi="Times New Roman"/>
                <w:b/>
                <w:bCs/>
                <w:color w:val="000000"/>
              </w:rPr>
              <w:t xml:space="preserve"> </w:t>
            </w:r>
            <w:r w:rsidR="00483E26" w:rsidRPr="00483E26">
              <w:rPr>
                <w:rFonts w:ascii="Times New Roman" w:hAnsi="Times New Roman"/>
                <w:b/>
                <w:bCs/>
                <w:color w:val="000000"/>
              </w:rPr>
              <w:t>36 044 569,39</w:t>
            </w:r>
            <w:r w:rsidR="00803064">
              <w:rPr>
                <w:rFonts w:ascii="Times New Roman" w:hAnsi="Times New Roman"/>
                <w:b/>
                <w:bCs/>
                <w:color w:val="000000"/>
              </w:rPr>
              <w:t xml:space="preserve"> </w:t>
            </w:r>
            <w:r w:rsidRPr="00A33173">
              <w:rPr>
                <w:rFonts w:ascii="Times New Roman" w:hAnsi="Times New Roman"/>
                <w:b/>
                <w:bCs/>
                <w:color w:val="000000"/>
              </w:rPr>
              <w:t>zł.</w:t>
            </w:r>
          </w:p>
          <w:p w14:paraId="035F42C9" w14:textId="6C5724B8" w:rsidR="00216EBD" w:rsidRPr="00CA129A" w:rsidRDefault="00216EBD" w:rsidP="00216EBD">
            <w:pPr>
              <w:tabs>
                <w:tab w:val="left" w:pos="234"/>
              </w:tabs>
              <w:spacing w:before="120" w:after="120" w:line="240" w:lineRule="auto"/>
              <w:jc w:val="both"/>
              <w:rPr>
                <w:rFonts w:ascii="Times New Roman" w:hAnsi="Times New Roman"/>
                <w:b/>
                <w:bCs/>
                <w:color w:val="000000"/>
                <w:u w:val="single"/>
              </w:rPr>
            </w:pPr>
            <w:r w:rsidRPr="00212D5C">
              <w:rPr>
                <w:rFonts w:ascii="Times New Roman" w:hAnsi="Times New Roman"/>
                <w:b/>
                <w:bCs/>
                <w:color w:val="000000"/>
                <w:u w:val="single"/>
              </w:rPr>
              <w:t xml:space="preserve">Podsumowanie kosztów </w:t>
            </w:r>
            <w:r>
              <w:rPr>
                <w:rFonts w:ascii="Times New Roman" w:hAnsi="Times New Roman"/>
                <w:b/>
                <w:bCs/>
                <w:color w:val="000000"/>
                <w:u w:val="single"/>
              </w:rPr>
              <w:t xml:space="preserve">przedstawionych regulacji </w:t>
            </w:r>
          </w:p>
          <w:p w14:paraId="7891D782" w14:textId="25BE0F48" w:rsidR="00216EBD" w:rsidRPr="00810222" w:rsidRDefault="00216EBD" w:rsidP="00216EBD">
            <w:pPr>
              <w:suppressAutoHyphens/>
              <w:spacing w:after="120" w:line="240" w:lineRule="auto"/>
              <w:jc w:val="both"/>
              <w:rPr>
                <w:rFonts w:ascii="Times New Roman" w:hAnsi="Times New Roman"/>
                <w:color w:val="000000"/>
                <w:sz w:val="20"/>
                <w:szCs w:val="20"/>
              </w:rPr>
            </w:pPr>
            <w:r w:rsidRPr="00810222">
              <w:rPr>
                <w:rFonts w:ascii="Times New Roman" w:hAnsi="Times New Roman"/>
                <w:color w:val="000000"/>
                <w:sz w:val="20"/>
                <w:szCs w:val="20"/>
              </w:rPr>
              <w:t>Tabela 3. Planowane koszty samorządów wojewódzki</w:t>
            </w:r>
            <w:r>
              <w:rPr>
                <w:rFonts w:ascii="Times New Roman" w:hAnsi="Times New Roman"/>
                <w:color w:val="000000"/>
                <w:sz w:val="20"/>
                <w:szCs w:val="20"/>
              </w:rPr>
              <w:t>ch</w:t>
            </w:r>
            <w:r w:rsidRPr="00810222">
              <w:rPr>
                <w:rFonts w:ascii="Times New Roman" w:hAnsi="Times New Roman"/>
                <w:color w:val="000000"/>
                <w:sz w:val="20"/>
                <w:szCs w:val="20"/>
              </w:rPr>
              <w:t xml:space="preserve"> oraz GDOŚ i RDOŚ od 202</w:t>
            </w:r>
            <w:r w:rsidR="00C26AE0">
              <w:rPr>
                <w:rFonts w:ascii="Times New Roman" w:hAnsi="Times New Roman"/>
                <w:color w:val="000000"/>
                <w:sz w:val="20"/>
                <w:szCs w:val="20"/>
              </w:rPr>
              <w:t>6</w:t>
            </w:r>
            <w:r w:rsidRPr="00810222">
              <w:rPr>
                <w:rFonts w:ascii="Times New Roman" w:hAnsi="Times New Roman"/>
                <w:color w:val="000000"/>
                <w:sz w:val="20"/>
                <w:szCs w:val="20"/>
              </w:rPr>
              <w:t xml:space="preserve"> r. wynikające </w:t>
            </w:r>
            <w:r w:rsidR="00944BCE" w:rsidRPr="00810222">
              <w:rPr>
                <w:rFonts w:ascii="Times New Roman" w:hAnsi="Times New Roman"/>
                <w:color w:val="000000"/>
                <w:sz w:val="20"/>
                <w:szCs w:val="20"/>
              </w:rPr>
              <w:t>z</w:t>
            </w:r>
            <w:r w:rsidR="00944BCE">
              <w:rPr>
                <w:rFonts w:ascii="Times New Roman" w:hAnsi="Times New Roman"/>
                <w:color w:val="000000"/>
                <w:sz w:val="20"/>
                <w:szCs w:val="20"/>
              </w:rPr>
              <w:t> </w:t>
            </w:r>
            <w:r w:rsidRPr="00810222">
              <w:rPr>
                <w:rFonts w:ascii="Times New Roman" w:hAnsi="Times New Roman"/>
                <w:color w:val="000000"/>
                <w:sz w:val="20"/>
                <w:szCs w:val="20"/>
              </w:rPr>
              <w:t>zatrudnienia czterdziestu (40) nowych pracowników w związku z opracowywaniem planów obszarów przyspieszonego rozwoju</w:t>
            </w:r>
            <w:r w:rsidR="001778AA">
              <w:rPr>
                <w:rFonts w:ascii="Times New Roman" w:hAnsi="Times New Roman"/>
                <w:color w:val="000000"/>
                <w:sz w:val="20"/>
                <w:szCs w:val="20"/>
              </w:rPr>
              <w:t xml:space="preserve"> </w:t>
            </w:r>
            <w:r w:rsidR="001778AA" w:rsidRPr="001778AA">
              <w:rPr>
                <w:rFonts w:ascii="Times New Roman" w:hAnsi="Times New Roman"/>
                <w:color w:val="000000"/>
                <w:sz w:val="20"/>
                <w:szCs w:val="20"/>
              </w:rPr>
              <w:t>instalacji odnawialnego źródła energii</w:t>
            </w:r>
            <w:r w:rsidRPr="00810222">
              <w:rPr>
                <w:rFonts w:ascii="Times New Roman" w:hAnsi="Times New Roman"/>
                <w:color w:val="000000"/>
                <w:sz w:val="20"/>
                <w:szCs w:val="20"/>
              </w:rPr>
              <w:t xml:space="preserve"> dla województwa (Pozycja 1 i 2</w:t>
            </w:r>
            <w:r>
              <w:rPr>
                <w:rFonts w:ascii="Times New Roman" w:hAnsi="Times New Roman"/>
                <w:color w:val="000000"/>
                <w:sz w:val="20"/>
                <w:szCs w:val="20"/>
              </w:rPr>
              <w:t>)</w:t>
            </w:r>
            <w:r w:rsidRPr="00810222">
              <w:rPr>
                <w:rFonts w:ascii="Times New Roman" w:hAnsi="Times New Roman"/>
                <w:color w:val="000000"/>
                <w:sz w:val="20"/>
                <w:szCs w:val="20"/>
              </w:rPr>
              <w:t>:</w:t>
            </w:r>
          </w:p>
          <w:tbl>
            <w:tblPr>
              <w:tblW w:w="8468" w:type="dxa"/>
              <w:jc w:val="center"/>
              <w:tblCellMar>
                <w:left w:w="70" w:type="dxa"/>
                <w:right w:w="70" w:type="dxa"/>
              </w:tblCellMar>
              <w:tblLook w:val="04A0" w:firstRow="1" w:lastRow="0" w:firstColumn="1" w:lastColumn="0" w:noHBand="0" w:noVBand="1"/>
            </w:tblPr>
            <w:tblGrid>
              <w:gridCol w:w="766"/>
              <w:gridCol w:w="1018"/>
              <w:gridCol w:w="793"/>
              <w:gridCol w:w="729"/>
              <w:gridCol w:w="729"/>
              <w:gridCol w:w="729"/>
              <w:gridCol w:w="729"/>
              <w:gridCol w:w="729"/>
              <w:gridCol w:w="729"/>
              <w:gridCol w:w="729"/>
              <w:gridCol w:w="788"/>
            </w:tblGrid>
            <w:tr w:rsidR="00D2278B" w:rsidRPr="00EE1115" w14:paraId="40862E18" w14:textId="77777777" w:rsidTr="004757C8">
              <w:trPr>
                <w:trHeight w:val="290"/>
                <w:jc w:val="center"/>
              </w:trPr>
              <w:tc>
                <w:tcPr>
                  <w:tcW w:w="766"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15E4FC70" w14:textId="77777777" w:rsidR="00D2278B" w:rsidRPr="00DD284D" w:rsidRDefault="00D2278B" w:rsidP="00D2278B">
                  <w:pPr>
                    <w:spacing w:line="240" w:lineRule="auto"/>
                    <w:jc w:val="center"/>
                    <w:rPr>
                      <w:rFonts w:ascii="Times New Roman" w:eastAsia="Times New Roman" w:hAnsi="Times New Roman"/>
                      <w:b/>
                      <w:bCs/>
                      <w:color w:val="000000"/>
                      <w:sz w:val="18"/>
                      <w:szCs w:val="18"/>
                      <w:lang w:eastAsia="pl-PL"/>
                    </w:rPr>
                  </w:pPr>
                  <w:r w:rsidRPr="00DD284D">
                    <w:rPr>
                      <w:rFonts w:ascii="Times New Roman" w:eastAsia="Times New Roman" w:hAnsi="Times New Roman"/>
                      <w:b/>
                      <w:bCs/>
                      <w:color w:val="000000"/>
                      <w:sz w:val="18"/>
                      <w:szCs w:val="18"/>
                      <w:lang w:eastAsia="pl-PL"/>
                    </w:rPr>
                    <w:t>Pozycja</w:t>
                  </w:r>
                </w:p>
              </w:tc>
              <w:tc>
                <w:tcPr>
                  <w:tcW w:w="1018" w:type="dxa"/>
                  <w:tcBorders>
                    <w:top w:val="single" w:sz="4" w:space="0" w:color="auto"/>
                    <w:left w:val="nil"/>
                    <w:bottom w:val="single" w:sz="4" w:space="0" w:color="auto"/>
                    <w:right w:val="single" w:sz="4" w:space="0" w:color="auto"/>
                  </w:tcBorders>
                  <w:shd w:val="clear" w:color="000000" w:fill="AEAAAA"/>
                  <w:noWrap/>
                  <w:vAlign w:val="bottom"/>
                  <w:hideMark/>
                </w:tcPr>
                <w:p w14:paraId="0CB50CD0"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6</w:t>
                  </w:r>
                </w:p>
              </w:tc>
              <w:tc>
                <w:tcPr>
                  <w:tcW w:w="793" w:type="dxa"/>
                  <w:tcBorders>
                    <w:top w:val="single" w:sz="4" w:space="0" w:color="auto"/>
                    <w:left w:val="nil"/>
                    <w:bottom w:val="single" w:sz="4" w:space="0" w:color="auto"/>
                    <w:right w:val="single" w:sz="4" w:space="0" w:color="auto"/>
                  </w:tcBorders>
                  <w:shd w:val="clear" w:color="000000" w:fill="AEAAAA"/>
                  <w:noWrap/>
                  <w:vAlign w:val="bottom"/>
                  <w:hideMark/>
                </w:tcPr>
                <w:p w14:paraId="18B93CEA"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7</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15629D13"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8</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0330A0FF"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202</w:t>
                  </w:r>
                  <w:r>
                    <w:rPr>
                      <w:rFonts w:ascii="Times New Roman" w:eastAsia="Times New Roman" w:hAnsi="Times New Roman"/>
                      <w:color w:val="000000"/>
                      <w:sz w:val="18"/>
                      <w:szCs w:val="18"/>
                      <w:lang w:eastAsia="pl-PL"/>
                    </w:rPr>
                    <w:t>9</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7B9D07DC"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w:t>
                  </w:r>
                  <w:r>
                    <w:rPr>
                      <w:rFonts w:ascii="Times New Roman" w:eastAsia="Times New Roman" w:hAnsi="Times New Roman"/>
                      <w:color w:val="000000"/>
                      <w:sz w:val="18"/>
                      <w:szCs w:val="18"/>
                      <w:lang w:eastAsia="pl-PL"/>
                    </w:rPr>
                    <w:t>30</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52439017"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1</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04FB9501"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2</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42900840"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3</w:t>
                  </w:r>
                </w:p>
              </w:tc>
              <w:tc>
                <w:tcPr>
                  <w:tcW w:w="729" w:type="dxa"/>
                  <w:tcBorders>
                    <w:top w:val="single" w:sz="4" w:space="0" w:color="auto"/>
                    <w:left w:val="nil"/>
                    <w:bottom w:val="single" w:sz="4" w:space="0" w:color="auto"/>
                    <w:right w:val="single" w:sz="4" w:space="0" w:color="auto"/>
                  </w:tcBorders>
                  <w:shd w:val="clear" w:color="000000" w:fill="AEAAAA"/>
                  <w:noWrap/>
                  <w:vAlign w:val="bottom"/>
                  <w:hideMark/>
                </w:tcPr>
                <w:p w14:paraId="2A9964A1"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4</w:t>
                  </w:r>
                </w:p>
              </w:tc>
              <w:tc>
                <w:tcPr>
                  <w:tcW w:w="788" w:type="dxa"/>
                  <w:tcBorders>
                    <w:top w:val="single" w:sz="4" w:space="0" w:color="auto"/>
                    <w:left w:val="nil"/>
                    <w:bottom w:val="single" w:sz="4" w:space="0" w:color="auto"/>
                    <w:right w:val="single" w:sz="4" w:space="0" w:color="auto"/>
                  </w:tcBorders>
                  <w:shd w:val="clear" w:color="000000" w:fill="AEAAAA"/>
                  <w:noWrap/>
                  <w:vAlign w:val="bottom"/>
                  <w:hideMark/>
                </w:tcPr>
                <w:p w14:paraId="59B6451C"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203</w:t>
                  </w:r>
                  <w:r>
                    <w:rPr>
                      <w:rFonts w:ascii="Times New Roman" w:eastAsia="Times New Roman" w:hAnsi="Times New Roman"/>
                      <w:color w:val="000000"/>
                      <w:sz w:val="18"/>
                      <w:szCs w:val="18"/>
                      <w:lang w:eastAsia="pl-PL"/>
                    </w:rPr>
                    <w:t>5</w:t>
                  </w:r>
                </w:p>
              </w:tc>
            </w:tr>
            <w:tr w:rsidR="00D2278B" w:rsidRPr="00EE1115" w14:paraId="5CE692F7" w14:textId="77777777" w:rsidTr="004757C8">
              <w:trPr>
                <w:trHeight w:val="290"/>
                <w:jc w:val="center"/>
              </w:trPr>
              <w:tc>
                <w:tcPr>
                  <w:tcW w:w="766" w:type="dxa"/>
                  <w:tcBorders>
                    <w:top w:val="nil"/>
                    <w:left w:val="single" w:sz="4" w:space="0" w:color="auto"/>
                    <w:bottom w:val="single" w:sz="4" w:space="0" w:color="auto"/>
                    <w:right w:val="single" w:sz="4" w:space="0" w:color="auto"/>
                  </w:tcBorders>
                  <w:shd w:val="clear" w:color="000000" w:fill="AEAAAA"/>
                  <w:noWrap/>
                  <w:vAlign w:val="bottom"/>
                  <w:hideMark/>
                </w:tcPr>
                <w:p w14:paraId="76A33046" w14:textId="77777777" w:rsidR="00D2278B" w:rsidRPr="00EE1115" w:rsidRDefault="00D2278B" w:rsidP="00D2278B">
                  <w:pPr>
                    <w:spacing w:line="240" w:lineRule="auto"/>
                    <w:jc w:val="center"/>
                    <w:rPr>
                      <w:rFonts w:ascii="Times New Roman" w:eastAsia="Times New Roman" w:hAnsi="Times New Roman"/>
                      <w:color w:val="000000"/>
                      <w:sz w:val="18"/>
                      <w:szCs w:val="18"/>
                      <w:lang w:eastAsia="pl-PL"/>
                    </w:rPr>
                  </w:pPr>
                </w:p>
              </w:tc>
              <w:tc>
                <w:tcPr>
                  <w:tcW w:w="7702" w:type="dxa"/>
                  <w:gridSpan w:val="10"/>
                  <w:tcBorders>
                    <w:top w:val="single" w:sz="4" w:space="0" w:color="auto"/>
                    <w:left w:val="nil"/>
                    <w:bottom w:val="single" w:sz="4" w:space="0" w:color="auto"/>
                    <w:right w:val="single" w:sz="4" w:space="0" w:color="000000"/>
                  </w:tcBorders>
                  <w:shd w:val="clear" w:color="000000" w:fill="AEAAAA"/>
                  <w:noWrap/>
                  <w:vAlign w:val="bottom"/>
                  <w:hideMark/>
                </w:tcPr>
                <w:p w14:paraId="6D7FDA4C" w14:textId="77777777" w:rsidR="00D2278B" w:rsidRPr="00DD284D" w:rsidRDefault="00D2278B" w:rsidP="00D2278B">
                  <w:pPr>
                    <w:spacing w:line="240" w:lineRule="auto"/>
                    <w:jc w:val="center"/>
                    <w:rPr>
                      <w:rFonts w:ascii="Times New Roman" w:eastAsia="Times New Roman" w:hAnsi="Times New Roman"/>
                      <w:sz w:val="18"/>
                      <w:szCs w:val="18"/>
                      <w:lang w:eastAsia="pl-PL"/>
                    </w:rPr>
                  </w:pPr>
                  <w:r w:rsidRPr="00DD284D">
                    <w:rPr>
                      <w:rFonts w:ascii="Times New Roman" w:eastAsia="Times New Roman" w:hAnsi="Times New Roman"/>
                      <w:sz w:val="18"/>
                      <w:szCs w:val="18"/>
                      <w:lang w:eastAsia="pl-PL"/>
                    </w:rPr>
                    <w:t>Koszty w zł</w:t>
                  </w:r>
                </w:p>
              </w:tc>
            </w:tr>
            <w:tr w:rsidR="00D2278B" w:rsidRPr="00EE1115" w14:paraId="6630A7C5" w14:textId="77777777" w:rsidTr="004757C8">
              <w:trPr>
                <w:trHeight w:val="29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4A0E33A" w14:textId="77777777" w:rsidR="00D2278B" w:rsidRPr="00DD284D" w:rsidRDefault="00D2278B" w:rsidP="00D2278B">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Pozycja 1</w:t>
                  </w:r>
                </w:p>
              </w:tc>
              <w:tc>
                <w:tcPr>
                  <w:tcW w:w="1018" w:type="dxa"/>
                  <w:tcBorders>
                    <w:top w:val="nil"/>
                    <w:left w:val="nil"/>
                    <w:bottom w:val="single" w:sz="4" w:space="0" w:color="auto"/>
                    <w:right w:val="single" w:sz="4" w:space="0" w:color="auto"/>
                  </w:tcBorders>
                  <w:shd w:val="clear" w:color="000000" w:fill="FFFFFF"/>
                  <w:noWrap/>
                  <w:vAlign w:val="bottom"/>
                </w:tcPr>
                <w:p w14:paraId="7B39E535" w14:textId="77777777" w:rsidR="00D2278B" w:rsidRPr="00DD284D" w:rsidRDefault="00D2278B" w:rsidP="00D2278B">
                  <w:pPr>
                    <w:spacing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600 000,00</w:t>
                  </w:r>
                </w:p>
              </w:tc>
              <w:tc>
                <w:tcPr>
                  <w:tcW w:w="793" w:type="dxa"/>
                  <w:tcBorders>
                    <w:top w:val="nil"/>
                    <w:left w:val="nil"/>
                    <w:bottom w:val="single" w:sz="4" w:space="0" w:color="auto"/>
                    <w:right w:val="single" w:sz="4" w:space="0" w:color="auto"/>
                  </w:tcBorders>
                  <w:shd w:val="clear" w:color="000000" w:fill="FFFFFF"/>
                  <w:noWrap/>
                  <w:vAlign w:val="bottom"/>
                </w:tcPr>
                <w:p w14:paraId="771B2AD8"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6847A5C4"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1FAF2F70"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1EBBB05C"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216976A4"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65F9346A"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245CA13F"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29" w:type="dxa"/>
                  <w:tcBorders>
                    <w:top w:val="nil"/>
                    <w:left w:val="nil"/>
                    <w:bottom w:val="single" w:sz="4" w:space="0" w:color="auto"/>
                    <w:right w:val="single" w:sz="4" w:space="0" w:color="auto"/>
                  </w:tcBorders>
                  <w:shd w:val="clear" w:color="000000" w:fill="FFFFFF"/>
                  <w:noWrap/>
                  <w:vAlign w:val="bottom"/>
                </w:tcPr>
                <w:p w14:paraId="10A2C675"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c>
                <w:tcPr>
                  <w:tcW w:w="788" w:type="dxa"/>
                  <w:tcBorders>
                    <w:top w:val="nil"/>
                    <w:left w:val="nil"/>
                    <w:bottom w:val="single" w:sz="4" w:space="0" w:color="auto"/>
                    <w:right w:val="single" w:sz="4" w:space="0" w:color="auto"/>
                  </w:tcBorders>
                  <w:shd w:val="clear" w:color="000000" w:fill="FFFFFF"/>
                  <w:noWrap/>
                  <w:vAlign w:val="bottom"/>
                </w:tcPr>
                <w:p w14:paraId="4FA41E71" w14:textId="77777777" w:rsidR="00D2278B" w:rsidRPr="00DD284D" w:rsidRDefault="00D2278B" w:rsidP="00D2278B">
                  <w:pPr>
                    <w:spacing w:line="36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r>
            <w:tr w:rsidR="00483E26" w:rsidRPr="00803064" w14:paraId="5F3E6B5D" w14:textId="77777777" w:rsidTr="004757C8">
              <w:trPr>
                <w:trHeight w:val="29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3A11EC8" w14:textId="77777777" w:rsidR="00483E26" w:rsidRPr="00DD284D" w:rsidRDefault="00483E26" w:rsidP="00483E26">
                  <w:pPr>
                    <w:spacing w:line="240" w:lineRule="auto"/>
                    <w:jc w:val="center"/>
                    <w:rPr>
                      <w:rFonts w:ascii="Times New Roman" w:eastAsia="Times New Roman" w:hAnsi="Times New Roman"/>
                      <w:color w:val="000000"/>
                      <w:sz w:val="18"/>
                      <w:szCs w:val="18"/>
                      <w:lang w:eastAsia="pl-PL"/>
                    </w:rPr>
                  </w:pPr>
                  <w:r w:rsidRPr="00DD284D">
                    <w:rPr>
                      <w:rFonts w:ascii="Times New Roman" w:eastAsia="Times New Roman" w:hAnsi="Times New Roman"/>
                      <w:color w:val="000000"/>
                      <w:sz w:val="18"/>
                      <w:szCs w:val="18"/>
                      <w:lang w:eastAsia="pl-PL"/>
                    </w:rPr>
                    <w:t>Pozycja 2</w:t>
                  </w:r>
                </w:p>
              </w:tc>
              <w:tc>
                <w:tcPr>
                  <w:tcW w:w="1018" w:type="dxa"/>
                  <w:tcBorders>
                    <w:top w:val="nil"/>
                    <w:left w:val="nil"/>
                    <w:bottom w:val="single" w:sz="4" w:space="0" w:color="auto"/>
                    <w:right w:val="single" w:sz="4" w:space="0" w:color="auto"/>
                  </w:tcBorders>
                  <w:shd w:val="clear" w:color="000000" w:fill="FFFFFF"/>
                  <w:noWrap/>
                  <w:hideMark/>
                </w:tcPr>
                <w:p w14:paraId="0726E648" w14:textId="6412BAE4" w:rsidR="00483E26" w:rsidRPr="008A6112" w:rsidRDefault="00483E26" w:rsidP="00483E26">
                  <w:pPr>
                    <w:spacing w:line="240" w:lineRule="auto"/>
                    <w:jc w:val="center"/>
                    <w:rPr>
                      <w:rFonts w:ascii="Times New Roman" w:eastAsia="Times New Roman" w:hAnsi="Times New Roman"/>
                      <w:color w:val="000000"/>
                      <w:sz w:val="18"/>
                      <w:szCs w:val="18"/>
                      <w:lang w:eastAsia="pl-PL"/>
                    </w:rPr>
                  </w:pPr>
                  <w:r w:rsidRPr="008A6112">
                    <w:rPr>
                      <w:rFonts w:ascii="Times New Roman" w:hAnsi="Times New Roman"/>
                      <w:sz w:val="18"/>
                      <w:szCs w:val="18"/>
                    </w:rPr>
                    <w:t xml:space="preserve">4 </w:t>
                  </w:r>
                  <w:r>
                    <w:rPr>
                      <w:rFonts w:ascii="Times New Roman" w:hAnsi="Times New Roman"/>
                      <w:sz w:val="18"/>
                      <w:szCs w:val="18"/>
                    </w:rPr>
                    <w:t>3</w:t>
                  </w:r>
                  <w:r w:rsidRPr="008A6112">
                    <w:rPr>
                      <w:rFonts w:ascii="Times New Roman" w:hAnsi="Times New Roman"/>
                      <w:sz w:val="18"/>
                      <w:szCs w:val="18"/>
                    </w:rPr>
                    <w:t xml:space="preserve">13 261,66 </w:t>
                  </w:r>
                </w:p>
              </w:tc>
              <w:tc>
                <w:tcPr>
                  <w:tcW w:w="793" w:type="dxa"/>
                  <w:tcBorders>
                    <w:top w:val="nil"/>
                    <w:left w:val="nil"/>
                    <w:bottom w:val="single" w:sz="4" w:space="0" w:color="auto"/>
                    <w:right w:val="single" w:sz="4" w:space="0" w:color="auto"/>
                  </w:tcBorders>
                  <w:shd w:val="clear" w:color="000000" w:fill="FFFFFF"/>
                  <w:noWrap/>
                  <w:hideMark/>
                </w:tcPr>
                <w:p w14:paraId="7A5D02F0" w14:textId="0B7B6C81" w:rsidR="00483E26" w:rsidRPr="00D2278B"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4 941 593,83 </w:t>
                  </w:r>
                </w:p>
              </w:tc>
              <w:tc>
                <w:tcPr>
                  <w:tcW w:w="729" w:type="dxa"/>
                  <w:tcBorders>
                    <w:top w:val="nil"/>
                    <w:left w:val="nil"/>
                    <w:bottom w:val="single" w:sz="4" w:space="0" w:color="auto"/>
                    <w:right w:val="single" w:sz="4" w:space="0" w:color="auto"/>
                  </w:tcBorders>
                  <w:shd w:val="clear" w:color="000000" w:fill="FFFFFF"/>
                  <w:noWrap/>
                  <w:hideMark/>
                </w:tcPr>
                <w:p w14:paraId="5D46A686" w14:textId="183F252A"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5 203 498,31 </w:t>
                  </w:r>
                </w:p>
              </w:tc>
              <w:tc>
                <w:tcPr>
                  <w:tcW w:w="729" w:type="dxa"/>
                  <w:tcBorders>
                    <w:top w:val="nil"/>
                    <w:left w:val="nil"/>
                    <w:bottom w:val="single" w:sz="4" w:space="0" w:color="auto"/>
                    <w:right w:val="single" w:sz="4" w:space="0" w:color="auto"/>
                  </w:tcBorders>
                  <w:shd w:val="clear" w:color="000000" w:fill="FFFFFF"/>
                  <w:noWrap/>
                  <w:hideMark/>
                </w:tcPr>
                <w:p w14:paraId="7A6F4DE6" w14:textId="092EE85D"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5 479 283,72 </w:t>
                  </w:r>
                </w:p>
              </w:tc>
              <w:tc>
                <w:tcPr>
                  <w:tcW w:w="729" w:type="dxa"/>
                  <w:tcBorders>
                    <w:top w:val="nil"/>
                    <w:left w:val="nil"/>
                    <w:bottom w:val="single" w:sz="4" w:space="0" w:color="auto"/>
                    <w:right w:val="single" w:sz="4" w:space="0" w:color="auto"/>
                  </w:tcBorders>
                  <w:shd w:val="clear" w:color="000000" w:fill="FFFFFF"/>
                  <w:noWrap/>
                  <w:hideMark/>
                </w:tcPr>
                <w:p w14:paraId="1B0C6DFD" w14:textId="588DA9F1"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5 769 558,85 </w:t>
                  </w:r>
                </w:p>
              </w:tc>
              <w:tc>
                <w:tcPr>
                  <w:tcW w:w="729" w:type="dxa"/>
                  <w:tcBorders>
                    <w:top w:val="nil"/>
                    <w:left w:val="nil"/>
                    <w:bottom w:val="single" w:sz="4" w:space="0" w:color="auto"/>
                    <w:right w:val="single" w:sz="4" w:space="0" w:color="auto"/>
                  </w:tcBorders>
                  <w:shd w:val="clear" w:color="000000" w:fill="FFFFFF"/>
                  <w:noWrap/>
                  <w:hideMark/>
                </w:tcPr>
                <w:p w14:paraId="46E43915" w14:textId="737486AC"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6 075 211,96 </w:t>
                  </w:r>
                </w:p>
              </w:tc>
              <w:tc>
                <w:tcPr>
                  <w:tcW w:w="729" w:type="dxa"/>
                  <w:tcBorders>
                    <w:top w:val="nil"/>
                    <w:left w:val="nil"/>
                    <w:bottom w:val="single" w:sz="4" w:space="0" w:color="auto"/>
                    <w:right w:val="single" w:sz="4" w:space="0" w:color="auto"/>
                  </w:tcBorders>
                  <w:shd w:val="clear" w:color="000000" w:fill="FFFFFF"/>
                  <w:noWrap/>
                  <w:hideMark/>
                </w:tcPr>
                <w:p w14:paraId="3C6EC0FB" w14:textId="5E4375C1"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6 396 917,29 </w:t>
                  </w:r>
                </w:p>
              </w:tc>
              <w:tc>
                <w:tcPr>
                  <w:tcW w:w="729" w:type="dxa"/>
                  <w:tcBorders>
                    <w:top w:val="nil"/>
                    <w:left w:val="nil"/>
                    <w:bottom w:val="single" w:sz="4" w:space="0" w:color="auto"/>
                    <w:right w:val="single" w:sz="4" w:space="0" w:color="auto"/>
                  </w:tcBorders>
                  <w:shd w:val="clear" w:color="000000" w:fill="FFFFFF"/>
                  <w:noWrap/>
                  <w:hideMark/>
                </w:tcPr>
                <w:p w14:paraId="7FEE3BAA" w14:textId="4C9CBAA4"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6 735 511,07 </w:t>
                  </w:r>
                </w:p>
              </w:tc>
              <w:tc>
                <w:tcPr>
                  <w:tcW w:w="729" w:type="dxa"/>
                  <w:tcBorders>
                    <w:top w:val="nil"/>
                    <w:left w:val="nil"/>
                    <w:bottom w:val="single" w:sz="4" w:space="0" w:color="auto"/>
                    <w:right w:val="single" w:sz="4" w:space="0" w:color="auto"/>
                  </w:tcBorders>
                  <w:shd w:val="clear" w:color="000000" w:fill="FFFFFF"/>
                  <w:noWrap/>
                  <w:hideMark/>
                </w:tcPr>
                <w:p w14:paraId="7173EAD5" w14:textId="2A9C4284"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7 092 028,18 </w:t>
                  </w:r>
                </w:p>
              </w:tc>
              <w:tc>
                <w:tcPr>
                  <w:tcW w:w="788" w:type="dxa"/>
                  <w:tcBorders>
                    <w:top w:val="nil"/>
                    <w:left w:val="nil"/>
                    <w:bottom w:val="single" w:sz="4" w:space="0" w:color="auto"/>
                    <w:right w:val="single" w:sz="4" w:space="0" w:color="auto"/>
                  </w:tcBorders>
                  <w:shd w:val="clear" w:color="000000" w:fill="FFFFFF"/>
                  <w:noWrap/>
                  <w:hideMark/>
                </w:tcPr>
                <w:p w14:paraId="0704D3CF" w14:textId="5AAC4B11" w:rsidR="00483E26" w:rsidRPr="00483E26" w:rsidRDefault="00483E26" w:rsidP="00483E26">
                  <w:pPr>
                    <w:spacing w:line="240" w:lineRule="auto"/>
                    <w:jc w:val="center"/>
                    <w:rPr>
                      <w:rFonts w:ascii="Times New Roman" w:eastAsia="Times New Roman" w:hAnsi="Times New Roman"/>
                      <w:color w:val="000000"/>
                      <w:sz w:val="18"/>
                      <w:szCs w:val="18"/>
                      <w:lang w:eastAsia="pl-PL"/>
                    </w:rPr>
                  </w:pPr>
                  <w:r w:rsidRPr="007B2A24">
                    <w:rPr>
                      <w:rFonts w:ascii="Times New Roman" w:hAnsi="Times New Roman"/>
                      <w:sz w:val="18"/>
                      <w:szCs w:val="18"/>
                    </w:rPr>
                    <w:t xml:space="preserve">7 467 417,44 </w:t>
                  </w:r>
                </w:p>
              </w:tc>
            </w:tr>
            <w:tr w:rsidR="00483E26" w:rsidRPr="00EE1115" w14:paraId="6AA261AE" w14:textId="77777777" w:rsidTr="004757C8">
              <w:trPr>
                <w:trHeight w:val="290"/>
                <w:jc w:val="center"/>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8A9AD57" w14:textId="77777777" w:rsidR="00483E26" w:rsidRPr="00DD284D" w:rsidRDefault="00483E26" w:rsidP="00483E26">
                  <w:pPr>
                    <w:spacing w:line="240" w:lineRule="auto"/>
                    <w:jc w:val="center"/>
                    <w:rPr>
                      <w:rFonts w:ascii="Times New Roman" w:eastAsia="Times New Roman" w:hAnsi="Times New Roman"/>
                      <w:b/>
                      <w:bCs/>
                      <w:color w:val="000000"/>
                      <w:sz w:val="18"/>
                      <w:szCs w:val="18"/>
                      <w:lang w:eastAsia="pl-PL"/>
                    </w:rPr>
                  </w:pPr>
                  <w:r w:rsidRPr="00DD284D">
                    <w:rPr>
                      <w:rFonts w:ascii="Times New Roman" w:eastAsia="Times New Roman" w:hAnsi="Times New Roman"/>
                      <w:b/>
                      <w:bCs/>
                      <w:color w:val="000000"/>
                      <w:sz w:val="18"/>
                      <w:szCs w:val="18"/>
                      <w:lang w:eastAsia="pl-PL"/>
                    </w:rPr>
                    <w:t>SUMA</w:t>
                  </w:r>
                </w:p>
              </w:tc>
              <w:tc>
                <w:tcPr>
                  <w:tcW w:w="1018" w:type="dxa"/>
                  <w:tcBorders>
                    <w:top w:val="nil"/>
                    <w:left w:val="nil"/>
                    <w:bottom w:val="single" w:sz="4" w:space="0" w:color="auto"/>
                    <w:right w:val="single" w:sz="4" w:space="0" w:color="auto"/>
                  </w:tcBorders>
                  <w:shd w:val="clear" w:color="auto" w:fill="auto"/>
                  <w:noWrap/>
                  <w:hideMark/>
                </w:tcPr>
                <w:p w14:paraId="206BEBA7" w14:textId="7B872DDC" w:rsidR="00483E26" w:rsidRPr="00DF268B" w:rsidRDefault="00483E26" w:rsidP="00483E26">
                  <w:pPr>
                    <w:spacing w:line="240" w:lineRule="auto"/>
                    <w:jc w:val="center"/>
                    <w:rPr>
                      <w:rFonts w:ascii="Times New Roman" w:eastAsia="Times New Roman" w:hAnsi="Times New Roman"/>
                      <w:b/>
                      <w:bCs/>
                      <w:color w:val="000000"/>
                      <w:sz w:val="18"/>
                      <w:szCs w:val="18"/>
                      <w:lang w:eastAsia="pl-PL"/>
                    </w:rPr>
                  </w:pPr>
                  <w:r>
                    <w:rPr>
                      <w:rFonts w:ascii="Times New Roman" w:hAnsi="Times New Roman"/>
                      <w:b/>
                      <w:bCs/>
                      <w:sz w:val="18"/>
                      <w:szCs w:val="18"/>
                    </w:rPr>
                    <w:t>4 913 261,66</w:t>
                  </w:r>
                </w:p>
              </w:tc>
              <w:tc>
                <w:tcPr>
                  <w:tcW w:w="793" w:type="dxa"/>
                  <w:tcBorders>
                    <w:top w:val="nil"/>
                    <w:left w:val="nil"/>
                    <w:bottom w:val="single" w:sz="4" w:space="0" w:color="auto"/>
                    <w:right w:val="single" w:sz="4" w:space="0" w:color="auto"/>
                  </w:tcBorders>
                  <w:shd w:val="clear" w:color="auto" w:fill="auto"/>
                  <w:noWrap/>
                  <w:hideMark/>
                </w:tcPr>
                <w:p w14:paraId="673C21AF" w14:textId="0EAC722C" w:rsidR="00483E26" w:rsidRPr="00D2278B"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4 941 593,83 </w:t>
                  </w:r>
                </w:p>
              </w:tc>
              <w:tc>
                <w:tcPr>
                  <w:tcW w:w="729" w:type="dxa"/>
                  <w:tcBorders>
                    <w:top w:val="nil"/>
                    <w:left w:val="nil"/>
                    <w:bottom w:val="single" w:sz="4" w:space="0" w:color="auto"/>
                    <w:right w:val="single" w:sz="4" w:space="0" w:color="auto"/>
                  </w:tcBorders>
                  <w:shd w:val="clear" w:color="auto" w:fill="auto"/>
                  <w:noWrap/>
                  <w:hideMark/>
                </w:tcPr>
                <w:p w14:paraId="08E52360" w14:textId="6770FC22"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5 203 498,31 </w:t>
                  </w:r>
                </w:p>
              </w:tc>
              <w:tc>
                <w:tcPr>
                  <w:tcW w:w="729" w:type="dxa"/>
                  <w:tcBorders>
                    <w:top w:val="nil"/>
                    <w:left w:val="nil"/>
                    <w:bottom w:val="single" w:sz="4" w:space="0" w:color="auto"/>
                    <w:right w:val="single" w:sz="4" w:space="0" w:color="auto"/>
                  </w:tcBorders>
                  <w:shd w:val="clear" w:color="auto" w:fill="auto"/>
                  <w:noWrap/>
                  <w:hideMark/>
                </w:tcPr>
                <w:p w14:paraId="598AC375" w14:textId="4183213F"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5 479 283,72 </w:t>
                  </w:r>
                </w:p>
              </w:tc>
              <w:tc>
                <w:tcPr>
                  <w:tcW w:w="729" w:type="dxa"/>
                  <w:tcBorders>
                    <w:top w:val="nil"/>
                    <w:left w:val="nil"/>
                    <w:bottom w:val="single" w:sz="4" w:space="0" w:color="auto"/>
                    <w:right w:val="single" w:sz="4" w:space="0" w:color="auto"/>
                  </w:tcBorders>
                  <w:shd w:val="clear" w:color="auto" w:fill="auto"/>
                  <w:noWrap/>
                  <w:hideMark/>
                </w:tcPr>
                <w:p w14:paraId="3B795870" w14:textId="208C70DD"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5 769 558,85 </w:t>
                  </w:r>
                </w:p>
              </w:tc>
              <w:tc>
                <w:tcPr>
                  <w:tcW w:w="729" w:type="dxa"/>
                  <w:tcBorders>
                    <w:top w:val="nil"/>
                    <w:left w:val="nil"/>
                    <w:bottom w:val="single" w:sz="4" w:space="0" w:color="auto"/>
                    <w:right w:val="single" w:sz="4" w:space="0" w:color="auto"/>
                  </w:tcBorders>
                  <w:shd w:val="clear" w:color="auto" w:fill="auto"/>
                  <w:noWrap/>
                  <w:hideMark/>
                </w:tcPr>
                <w:p w14:paraId="3942A0F9" w14:textId="17DC8414"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6 075 211,96 </w:t>
                  </w:r>
                </w:p>
              </w:tc>
              <w:tc>
                <w:tcPr>
                  <w:tcW w:w="729" w:type="dxa"/>
                  <w:tcBorders>
                    <w:top w:val="nil"/>
                    <w:left w:val="nil"/>
                    <w:bottom w:val="single" w:sz="4" w:space="0" w:color="auto"/>
                    <w:right w:val="single" w:sz="4" w:space="0" w:color="auto"/>
                  </w:tcBorders>
                  <w:shd w:val="clear" w:color="auto" w:fill="auto"/>
                  <w:noWrap/>
                  <w:hideMark/>
                </w:tcPr>
                <w:p w14:paraId="4C263398" w14:textId="4D10F3F7"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6 396 917,29 </w:t>
                  </w:r>
                </w:p>
              </w:tc>
              <w:tc>
                <w:tcPr>
                  <w:tcW w:w="729" w:type="dxa"/>
                  <w:tcBorders>
                    <w:top w:val="nil"/>
                    <w:left w:val="nil"/>
                    <w:bottom w:val="single" w:sz="4" w:space="0" w:color="auto"/>
                    <w:right w:val="single" w:sz="4" w:space="0" w:color="auto"/>
                  </w:tcBorders>
                  <w:shd w:val="clear" w:color="auto" w:fill="auto"/>
                  <w:noWrap/>
                  <w:hideMark/>
                </w:tcPr>
                <w:p w14:paraId="70961E77" w14:textId="3886FDE7"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6 735 511,07 </w:t>
                  </w:r>
                </w:p>
              </w:tc>
              <w:tc>
                <w:tcPr>
                  <w:tcW w:w="729" w:type="dxa"/>
                  <w:tcBorders>
                    <w:top w:val="nil"/>
                    <w:left w:val="nil"/>
                    <w:bottom w:val="single" w:sz="4" w:space="0" w:color="auto"/>
                    <w:right w:val="single" w:sz="4" w:space="0" w:color="auto"/>
                  </w:tcBorders>
                  <w:shd w:val="clear" w:color="auto" w:fill="auto"/>
                  <w:noWrap/>
                  <w:hideMark/>
                </w:tcPr>
                <w:p w14:paraId="4A1BA9AD" w14:textId="50F810C4"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7 092 028,18 </w:t>
                  </w:r>
                </w:p>
              </w:tc>
              <w:tc>
                <w:tcPr>
                  <w:tcW w:w="788" w:type="dxa"/>
                  <w:tcBorders>
                    <w:top w:val="nil"/>
                    <w:left w:val="nil"/>
                    <w:bottom w:val="single" w:sz="4" w:space="0" w:color="auto"/>
                    <w:right w:val="single" w:sz="4" w:space="0" w:color="auto"/>
                  </w:tcBorders>
                  <w:shd w:val="clear" w:color="auto" w:fill="auto"/>
                  <w:noWrap/>
                  <w:hideMark/>
                </w:tcPr>
                <w:p w14:paraId="224921CC" w14:textId="64B7996F" w:rsidR="00483E26" w:rsidRPr="00483E26" w:rsidRDefault="00483E26" w:rsidP="00483E26">
                  <w:pPr>
                    <w:spacing w:line="240" w:lineRule="auto"/>
                    <w:jc w:val="center"/>
                    <w:rPr>
                      <w:rFonts w:ascii="Times New Roman" w:eastAsia="Times New Roman" w:hAnsi="Times New Roman"/>
                      <w:b/>
                      <w:bCs/>
                      <w:color w:val="000000"/>
                      <w:sz w:val="18"/>
                      <w:szCs w:val="18"/>
                      <w:lang w:eastAsia="pl-PL"/>
                    </w:rPr>
                  </w:pPr>
                  <w:r w:rsidRPr="007B2A24">
                    <w:rPr>
                      <w:rFonts w:ascii="Times New Roman" w:hAnsi="Times New Roman"/>
                      <w:b/>
                      <w:bCs/>
                      <w:sz w:val="18"/>
                      <w:szCs w:val="18"/>
                    </w:rPr>
                    <w:t xml:space="preserve">7 467 417,44 </w:t>
                  </w:r>
                </w:p>
              </w:tc>
            </w:tr>
          </w:tbl>
          <w:p w14:paraId="6C31B498" w14:textId="19F71516" w:rsidR="00B61598" w:rsidRPr="00810222" w:rsidRDefault="00B61598" w:rsidP="00B61598">
            <w:pPr>
              <w:suppressAutoHyphens/>
              <w:spacing w:after="120" w:line="240" w:lineRule="auto"/>
              <w:jc w:val="both"/>
              <w:rPr>
                <w:rFonts w:ascii="Times New Roman" w:hAnsi="Times New Roman"/>
                <w:b/>
                <w:bCs/>
                <w:color w:val="000000"/>
              </w:rPr>
            </w:pPr>
            <w:r w:rsidRPr="00810222">
              <w:rPr>
                <w:rFonts w:ascii="Times New Roman" w:hAnsi="Times New Roman"/>
                <w:b/>
                <w:bCs/>
                <w:color w:val="000000"/>
              </w:rPr>
              <w:t xml:space="preserve">Łączne koszty samorządów wojewódzkich oraz GDOŚ i RDOŚ </w:t>
            </w:r>
            <w:r w:rsidRPr="00810222">
              <w:rPr>
                <w:rFonts w:ascii="Times New Roman" w:hAnsi="Times New Roman"/>
                <w:color w:val="000000"/>
              </w:rPr>
              <w:t>w latach 202</w:t>
            </w:r>
            <w:r w:rsidR="00A05C9E">
              <w:rPr>
                <w:rFonts w:ascii="Times New Roman" w:hAnsi="Times New Roman"/>
                <w:color w:val="000000"/>
              </w:rPr>
              <w:t>6</w:t>
            </w:r>
            <w:r w:rsidRPr="00810222">
              <w:rPr>
                <w:rFonts w:ascii="Times New Roman" w:hAnsi="Times New Roman"/>
                <w:color w:val="000000"/>
              </w:rPr>
              <w:t>-203</w:t>
            </w:r>
            <w:r w:rsidR="00A05C9E">
              <w:rPr>
                <w:rFonts w:ascii="Times New Roman" w:hAnsi="Times New Roman"/>
                <w:color w:val="000000"/>
              </w:rPr>
              <w:t>5</w:t>
            </w:r>
            <w:r>
              <w:rPr>
                <w:rFonts w:ascii="Times New Roman" w:hAnsi="Times New Roman"/>
                <w:b/>
                <w:bCs/>
                <w:color w:val="000000"/>
              </w:rPr>
              <w:t xml:space="preserve">: </w:t>
            </w:r>
            <w:r w:rsidR="00483E26" w:rsidRPr="00483E26">
              <w:rPr>
                <w:rFonts w:ascii="Times New Roman" w:hAnsi="Times New Roman"/>
                <w:b/>
                <w:bCs/>
                <w:color w:val="000000"/>
              </w:rPr>
              <w:t xml:space="preserve">60 074 282,32 </w:t>
            </w:r>
            <w:r w:rsidRPr="00810222">
              <w:rPr>
                <w:rFonts w:ascii="Times New Roman" w:hAnsi="Times New Roman"/>
                <w:b/>
                <w:bCs/>
                <w:color w:val="000000"/>
              </w:rPr>
              <w:t>zł.</w:t>
            </w:r>
          </w:p>
          <w:p w14:paraId="49EA28A6" w14:textId="6146F224" w:rsidR="00B61598" w:rsidRDefault="00B61598" w:rsidP="00B61598">
            <w:pPr>
              <w:suppressAutoHyphens/>
              <w:spacing w:after="120" w:line="240" w:lineRule="auto"/>
              <w:jc w:val="both"/>
              <w:rPr>
                <w:rFonts w:ascii="Times New Roman" w:hAnsi="Times New Roman"/>
                <w:color w:val="000000"/>
              </w:rPr>
            </w:pPr>
            <w:r w:rsidRPr="00810222">
              <w:rPr>
                <w:rFonts w:ascii="Times New Roman" w:hAnsi="Times New Roman"/>
                <w:color w:val="000000"/>
              </w:rPr>
              <w:t xml:space="preserve">Do wyliczenia kosztów wynikających z uruchomienia nowych etatów w </w:t>
            </w:r>
            <w:r>
              <w:rPr>
                <w:rFonts w:ascii="Times New Roman" w:hAnsi="Times New Roman"/>
                <w:color w:val="000000"/>
              </w:rPr>
              <w:t xml:space="preserve">samorządach wojewódzkich </w:t>
            </w:r>
            <w:r w:rsidRPr="00810222">
              <w:rPr>
                <w:rFonts w:ascii="Times New Roman" w:hAnsi="Times New Roman"/>
                <w:color w:val="000000"/>
              </w:rPr>
              <w:t xml:space="preserve">przyjęto </w:t>
            </w:r>
            <w:r>
              <w:rPr>
                <w:rFonts w:ascii="Times New Roman" w:hAnsi="Times New Roman"/>
                <w:color w:val="000000"/>
              </w:rPr>
              <w:t>w</w:t>
            </w:r>
            <w:r w:rsidRPr="00026E14">
              <w:rPr>
                <w:rFonts w:ascii="Times New Roman" w:hAnsi="Times New Roman"/>
                <w:color w:val="000000"/>
              </w:rPr>
              <w:t>ysokość mnożnika</w:t>
            </w:r>
            <w:r>
              <w:rPr>
                <w:rFonts w:ascii="Times New Roman" w:hAnsi="Times New Roman"/>
                <w:color w:val="000000"/>
              </w:rPr>
              <w:t>, który</w:t>
            </w:r>
            <w:r w:rsidRPr="00026E14">
              <w:rPr>
                <w:rFonts w:ascii="Times New Roman" w:hAnsi="Times New Roman"/>
                <w:color w:val="000000"/>
              </w:rPr>
              <w:t xml:space="preserve"> oszacowano z uwzględnieniem przeciętnego wynagrodzenia w sektorze przedsiębiorstw w poszczególnych województwach. Mnożnik został ustalony na poziomie od 2,2 do 3,0 w zależności od województwa</w:t>
            </w:r>
            <w:r w:rsidRPr="00810222">
              <w:rPr>
                <w:rFonts w:ascii="Times New Roman" w:hAnsi="Times New Roman"/>
                <w:color w:val="000000"/>
              </w:rPr>
              <w:t>. Do kosztów wynagrodzenia dodano także pochodne od wynagrodzeń, a od 202</w:t>
            </w:r>
            <w:r w:rsidR="00C26AE0">
              <w:rPr>
                <w:rFonts w:ascii="Times New Roman" w:hAnsi="Times New Roman"/>
                <w:color w:val="000000"/>
              </w:rPr>
              <w:t>7</w:t>
            </w:r>
            <w:r w:rsidRPr="00810222">
              <w:rPr>
                <w:rFonts w:ascii="Times New Roman" w:hAnsi="Times New Roman"/>
                <w:color w:val="000000"/>
              </w:rPr>
              <w:t xml:space="preserve"> r</w:t>
            </w:r>
            <w:r>
              <w:rPr>
                <w:rFonts w:ascii="Times New Roman" w:hAnsi="Times New Roman"/>
                <w:color w:val="000000"/>
              </w:rPr>
              <w:t>.</w:t>
            </w:r>
            <w:r w:rsidRPr="00810222">
              <w:rPr>
                <w:rFonts w:ascii="Times New Roman" w:hAnsi="Times New Roman"/>
                <w:color w:val="000000"/>
              </w:rPr>
              <w:t xml:space="preserve"> także dodatkowe wynagrodzenie roczne (DWR) wraz z waloryzacją. W pierwszym roku uwzględniono kwotę 1</w:t>
            </w:r>
            <w:r>
              <w:rPr>
                <w:rFonts w:ascii="Times New Roman" w:hAnsi="Times New Roman"/>
                <w:color w:val="000000"/>
              </w:rPr>
              <w:t>5</w:t>
            </w:r>
            <w:r w:rsidRPr="00810222">
              <w:rPr>
                <w:rFonts w:ascii="Times New Roman" w:hAnsi="Times New Roman"/>
                <w:color w:val="000000"/>
              </w:rPr>
              <w:t xml:space="preserve"> tys. zł na koszty związane z wyposażeniem nowoutworzonego stanowiska</w:t>
            </w:r>
            <w:r>
              <w:rPr>
                <w:rFonts w:ascii="Times New Roman" w:hAnsi="Times New Roman"/>
                <w:color w:val="000000"/>
              </w:rPr>
              <w:t xml:space="preserve"> oraz założono, że zatrudnienie powinno nastąpić od 202</w:t>
            </w:r>
            <w:r w:rsidR="00C26AE0">
              <w:rPr>
                <w:rFonts w:ascii="Times New Roman" w:hAnsi="Times New Roman"/>
                <w:color w:val="000000"/>
              </w:rPr>
              <w:t>6</w:t>
            </w:r>
            <w:r>
              <w:rPr>
                <w:rFonts w:ascii="Times New Roman" w:hAnsi="Times New Roman"/>
                <w:color w:val="000000"/>
              </w:rPr>
              <w:t xml:space="preserve"> r.</w:t>
            </w:r>
          </w:p>
          <w:p w14:paraId="3F5B41E3" w14:textId="0A7B21CE" w:rsidR="00216EBD" w:rsidRDefault="00B61598" w:rsidP="00DD284D">
            <w:pPr>
              <w:spacing w:line="240" w:lineRule="auto"/>
              <w:jc w:val="both"/>
              <w:rPr>
                <w:rFonts w:ascii="Times New Roman" w:hAnsi="Times New Roman"/>
                <w:color w:val="000000"/>
              </w:rPr>
            </w:pPr>
            <w:r w:rsidRPr="00810222">
              <w:rPr>
                <w:rFonts w:ascii="Times New Roman" w:hAnsi="Times New Roman"/>
                <w:color w:val="000000"/>
              </w:rPr>
              <w:t xml:space="preserve">W </w:t>
            </w:r>
            <w:r>
              <w:rPr>
                <w:rFonts w:ascii="Times New Roman" w:hAnsi="Times New Roman"/>
                <w:color w:val="000000"/>
              </w:rPr>
              <w:t>przypadku 2</w:t>
            </w:r>
            <w:r w:rsidR="00C26AE0">
              <w:rPr>
                <w:rFonts w:ascii="Times New Roman" w:hAnsi="Times New Roman"/>
                <w:color w:val="000000"/>
              </w:rPr>
              <w:t>4</w:t>
            </w:r>
            <w:r>
              <w:rPr>
                <w:rFonts w:ascii="Times New Roman" w:hAnsi="Times New Roman"/>
                <w:color w:val="000000"/>
              </w:rPr>
              <w:t xml:space="preserve"> nowych etatów w GDOŚ i RDOŚ w </w:t>
            </w:r>
            <w:r w:rsidRPr="00810222">
              <w:rPr>
                <w:rFonts w:ascii="Times New Roman" w:hAnsi="Times New Roman"/>
                <w:color w:val="000000"/>
              </w:rPr>
              <w:t xml:space="preserve">obliczeniach </w:t>
            </w:r>
            <w:r>
              <w:rPr>
                <w:rFonts w:ascii="Times New Roman" w:hAnsi="Times New Roman"/>
                <w:color w:val="000000"/>
              </w:rPr>
              <w:t xml:space="preserve">również </w:t>
            </w:r>
            <w:r w:rsidRPr="00810222">
              <w:rPr>
                <w:rFonts w:ascii="Times New Roman" w:hAnsi="Times New Roman"/>
                <w:color w:val="000000"/>
              </w:rPr>
              <w:t xml:space="preserve">przyjęto założenie, że </w:t>
            </w:r>
            <w:r>
              <w:rPr>
                <w:rFonts w:ascii="Times New Roman" w:hAnsi="Times New Roman"/>
                <w:color w:val="000000"/>
              </w:rPr>
              <w:t>powinny one zostać uruchomione</w:t>
            </w:r>
            <w:r w:rsidRPr="00810222">
              <w:rPr>
                <w:rFonts w:ascii="Times New Roman" w:hAnsi="Times New Roman"/>
                <w:color w:val="000000"/>
              </w:rPr>
              <w:t xml:space="preserve"> od 202</w:t>
            </w:r>
            <w:r w:rsidR="00C26AE0">
              <w:rPr>
                <w:rFonts w:ascii="Times New Roman" w:hAnsi="Times New Roman"/>
                <w:color w:val="000000"/>
              </w:rPr>
              <w:t>6</w:t>
            </w:r>
            <w:r w:rsidRPr="00810222">
              <w:rPr>
                <w:rFonts w:ascii="Times New Roman" w:hAnsi="Times New Roman"/>
                <w:color w:val="000000"/>
              </w:rPr>
              <w:t xml:space="preserve"> r. </w:t>
            </w:r>
            <w:r>
              <w:rPr>
                <w:rFonts w:ascii="Times New Roman" w:hAnsi="Times New Roman"/>
                <w:color w:val="000000"/>
              </w:rPr>
              <w:t>(</w:t>
            </w:r>
            <w:r w:rsidRPr="00810222">
              <w:rPr>
                <w:rFonts w:ascii="Times New Roman" w:hAnsi="Times New Roman"/>
                <w:color w:val="000000"/>
              </w:rPr>
              <w:t xml:space="preserve">w </w:t>
            </w:r>
            <w:r>
              <w:rPr>
                <w:rFonts w:ascii="Times New Roman" w:hAnsi="Times New Roman"/>
                <w:color w:val="000000"/>
              </w:rPr>
              <w:t>RDOŚ</w:t>
            </w:r>
            <w:r w:rsidRPr="00810222">
              <w:rPr>
                <w:rFonts w:ascii="Times New Roman" w:hAnsi="Times New Roman"/>
                <w:color w:val="000000"/>
              </w:rPr>
              <w:t xml:space="preserve"> 21 etatów i </w:t>
            </w:r>
            <w:r>
              <w:rPr>
                <w:rFonts w:ascii="Times New Roman" w:hAnsi="Times New Roman"/>
                <w:color w:val="000000"/>
              </w:rPr>
              <w:t xml:space="preserve">w GDOŚ </w:t>
            </w:r>
            <w:r w:rsidR="00C26AE0">
              <w:rPr>
                <w:rFonts w:ascii="Times New Roman" w:hAnsi="Times New Roman"/>
                <w:color w:val="000000"/>
              </w:rPr>
              <w:t>3</w:t>
            </w:r>
            <w:r w:rsidRPr="00810222">
              <w:rPr>
                <w:rFonts w:ascii="Times New Roman" w:hAnsi="Times New Roman"/>
                <w:color w:val="000000"/>
              </w:rPr>
              <w:t xml:space="preserve"> etat</w:t>
            </w:r>
            <w:r w:rsidR="00C26AE0">
              <w:rPr>
                <w:rFonts w:ascii="Times New Roman" w:hAnsi="Times New Roman"/>
                <w:color w:val="000000"/>
              </w:rPr>
              <w:t>y</w:t>
            </w:r>
            <w:r>
              <w:rPr>
                <w:rFonts w:ascii="Times New Roman" w:hAnsi="Times New Roman"/>
                <w:color w:val="000000"/>
              </w:rPr>
              <w:t xml:space="preserve">, </w:t>
            </w:r>
            <w:r w:rsidR="00C26AE0">
              <w:rPr>
                <w:rFonts w:ascii="Times New Roman" w:hAnsi="Times New Roman"/>
                <w:color w:val="000000"/>
              </w:rPr>
              <w:t>w tym</w:t>
            </w:r>
            <w:r w:rsidRPr="00810222">
              <w:rPr>
                <w:rFonts w:ascii="Times New Roman" w:hAnsi="Times New Roman"/>
                <w:color w:val="000000"/>
              </w:rPr>
              <w:t xml:space="preserve"> dwa e</w:t>
            </w:r>
            <w:r>
              <w:rPr>
                <w:rFonts w:ascii="Times New Roman" w:hAnsi="Times New Roman"/>
                <w:color w:val="000000"/>
              </w:rPr>
              <w:t>t</w:t>
            </w:r>
            <w:r w:rsidRPr="00810222">
              <w:rPr>
                <w:rFonts w:ascii="Times New Roman" w:hAnsi="Times New Roman"/>
                <w:color w:val="000000"/>
              </w:rPr>
              <w:t>aty dla GDOŚ jako organu odwoławczego</w:t>
            </w:r>
            <w:r w:rsidR="00C26AE0">
              <w:rPr>
                <w:rFonts w:ascii="Times New Roman" w:hAnsi="Times New Roman"/>
                <w:color w:val="000000"/>
              </w:rPr>
              <w:t>).</w:t>
            </w:r>
            <w:r w:rsidRPr="00810222">
              <w:rPr>
                <w:rFonts w:ascii="Times New Roman" w:hAnsi="Times New Roman"/>
                <w:color w:val="000000"/>
              </w:rPr>
              <w:t xml:space="preserve"> Stanowiska przewidziane do utworzenia to stanowiska starszych specjalistów. Wysokość mnożnika oszacowano z uwzględnieniem przeciętnego wynagrodzenia w sektorze przedsiębiorstw w poszczególnych województwach. Mnożnik został ustalony na poziomie od 2,2 do 3,0 w zależności od województwa</w:t>
            </w:r>
            <w:r>
              <w:rPr>
                <w:rFonts w:ascii="Times New Roman" w:hAnsi="Times New Roman"/>
                <w:color w:val="000000"/>
              </w:rPr>
              <w:t xml:space="preserve">. </w:t>
            </w:r>
            <w:r w:rsidRPr="00026E14">
              <w:rPr>
                <w:rFonts w:ascii="Times New Roman" w:hAnsi="Times New Roman"/>
                <w:color w:val="000000"/>
              </w:rPr>
              <w:t>Do kosztów wynagrodzenia dodano także pochodne od wynagrodzeń</w:t>
            </w:r>
            <w:r>
              <w:rPr>
                <w:rFonts w:ascii="Times New Roman" w:hAnsi="Times New Roman"/>
                <w:color w:val="000000"/>
              </w:rPr>
              <w:t xml:space="preserve"> oraz </w:t>
            </w:r>
            <w:r w:rsidRPr="00026E14">
              <w:rPr>
                <w:rFonts w:ascii="Times New Roman" w:hAnsi="Times New Roman"/>
                <w:color w:val="000000"/>
              </w:rPr>
              <w:t>dodatkowe wynagrodzenie roczne (DWR) wraz z waloryzacją. W pierwszym roku uwzględniono kwotę 15 tys. zł</w:t>
            </w:r>
            <w:r>
              <w:rPr>
                <w:rFonts w:ascii="Times New Roman" w:hAnsi="Times New Roman"/>
                <w:color w:val="000000"/>
              </w:rPr>
              <w:t>/etat</w:t>
            </w:r>
            <w:r w:rsidRPr="00026E14">
              <w:rPr>
                <w:rFonts w:ascii="Times New Roman" w:hAnsi="Times New Roman"/>
                <w:color w:val="000000"/>
              </w:rPr>
              <w:t xml:space="preserve"> na koszty związane z wyposażeniem</w:t>
            </w:r>
            <w:r>
              <w:rPr>
                <w:rFonts w:ascii="Times New Roman" w:hAnsi="Times New Roman"/>
                <w:color w:val="000000"/>
              </w:rPr>
              <w:t xml:space="preserve"> </w:t>
            </w:r>
            <w:r w:rsidRPr="00026E14">
              <w:rPr>
                <w:rFonts w:ascii="Times New Roman" w:hAnsi="Times New Roman"/>
                <w:color w:val="000000"/>
              </w:rPr>
              <w:t>nowoutworzon</w:t>
            </w:r>
            <w:r>
              <w:rPr>
                <w:rFonts w:ascii="Times New Roman" w:hAnsi="Times New Roman"/>
                <w:color w:val="000000"/>
              </w:rPr>
              <w:t>ych</w:t>
            </w:r>
            <w:r w:rsidRPr="00026E14">
              <w:rPr>
                <w:rFonts w:ascii="Times New Roman" w:hAnsi="Times New Roman"/>
                <w:color w:val="000000"/>
              </w:rPr>
              <w:t xml:space="preserve"> stanowisk</w:t>
            </w:r>
            <w:r>
              <w:rPr>
                <w:rFonts w:ascii="Times New Roman" w:hAnsi="Times New Roman"/>
                <w:color w:val="000000"/>
              </w:rPr>
              <w:t>.</w:t>
            </w:r>
          </w:p>
          <w:p w14:paraId="1AC337D8" w14:textId="1D5A34F4" w:rsidR="00A41BE2" w:rsidRPr="00A41BE2" w:rsidRDefault="00A41BE2" w:rsidP="00A41BE2">
            <w:pPr>
              <w:spacing w:before="120" w:line="240" w:lineRule="auto"/>
              <w:jc w:val="both"/>
              <w:rPr>
                <w:rFonts w:ascii="Times New Roman" w:hAnsi="Times New Roman"/>
                <w:color w:val="000000"/>
                <w:u w:val="single"/>
              </w:rPr>
            </w:pPr>
            <w:r w:rsidRPr="00A41BE2">
              <w:rPr>
                <w:rFonts w:ascii="Times New Roman" w:hAnsi="Times New Roman"/>
                <w:color w:val="000000"/>
                <w:u w:val="single"/>
              </w:rPr>
              <w:t>Szczegółowe przedstawienie ww. kosztów (dla</w:t>
            </w:r>
            <w:r>
              <w:rPr>
                <w:rFonts w:ascii="Times New Roman" w:hAnsi="Times New Roman"/>
                <w:color w:val="000000"/>
                <w:u w:val="single"/>
              </w:rPr>
              <w:t xml:space="preserve"> GDOŚ/RDOŚ oraz samorządów wojewódzkich</w:t>
            </w:r>
            <w:r w:rsidRPr="00A41BE2">
              <w:rPr>
                <w:rFonts w:ascii="Times New Roman" w:hAnsi="Times New Roman"/>
                <w:color w:val="000000"/>
                <w:u w:val="single"/>
              </w:rPr>
              <w:t>):</w:t>
            </w:r>
          </w:p>
          <w:p w14:paraId="4E422C6A" w14:textId="5C1E6B0E" w:rsidR="00A41BE2" w:rsidRPr="00A41BE2" w:rsidRDefault="00A41BE2" w:rsidP="00DD284D">
            <w:pPr>
              <w:spacing w:before="120" w:line="240" w:lineRule="auto"/>
              <w:jc w:val="both"/>
              <w:rPr>
                <w:rFonts w:ascii="Times New Roman" w:hAnsi="Times New Roman"/>
                <w:color w:val="000000"/>
              </w:rPr>
            </w:pPr>
            <w:r>
              <w:rPr>
                <w:rFonts w:ascii="Times New Roman" w:hAnsi="Times New Roman"/>
                <w:color w:val="000000"/>
              </w:rPr>
              <w:t>K</w:t>
            </w:r>
            <w:r w:rsidRPr="00A41BE2">
              <w:rPr>
                <w:rFonts w:ascii="Times New Roman" w:hAnsi="Times New Roman"/>
                <w:color w:val="000000"/>
              </w:rPr>
              <w:t xml:space="preserve">alkulacja </w:t>
            </w:r>
            <w:r w:rsidR="002D7995">
              <w:rPr>
                <w:rFonts w:ascii="Times New Roman" w:hAnsi="Times New Roman"/>
                <w:color w:val="000000"/>
              </w:rPr>
              <w:t>u</w:t>
            </w:r>
            <w:r>
              <w:rPr>
                <w:rFonts w:ascii="Times New Roman" w:hAnsi="Times New Roman"/>
                <w:color w:val="000000"/>
              </w:rPr>
              <w:t>średni</w:t>
            </w:r>
            <w:r w:rsidR="002D7995">
              <w:rPr>
                <w:rFonts w:ascii="Times New Roman" w:hAnsi="Times New Roman"/>
                <w:color w:val="000000"/>
              </w:rPr>
              <w:t>onych</w:t>
            </w:r>
            <w:r>
              <w:rPr>
                <w:rFonts w:ascii="Times New Roman" w:hAnsi="Times New Roman"/>
                <w:color w:val="000000"/>
              </w:rPr>
              <w:t xml:space="preserve"> </w:t>
            </w:r>
            <w:r w:rsidRPr="00A41BE2">
              <w:rPr>
                <w:rFonts w:ascii="Times New Roman" w:hAnsi="Times New Roman"/>
                <w:color w:val="000000"/>
              </w:rPr>
              <w:t xml:space="preserve">wynagrodzeń wraz z pochodnymi dla </w:t>
            </w:r>
            <w:r w:rsidRPr="00A41BE2">
              <w:rPr>
                <w:rFonts w:ascii="Times New Roman" w:hAnsi="Times New Roman"/>
                <w:b/>
                <w:bCs/>
                <w:color w:val="000000"/>
              </w:rPr>
              <w:t>jednego (1) etatu</w:t>
            </w:r>
            <w:r w:rsidRPr="00A41BE2">
              <w:rPr>
                <w:rFonts w:ascii="Times New Roman" w:hAnsi="Times New Roman"/>
                <w:color w:val="000000"/>
              </w:rPr>
              <w:t xml:space="preserve"> w korpusie służby cywilnej w skali pierwszych 12 m-cy funkcjonowania etatu: </w:t>
            </w:r>
          </w:p>
          <w:p w14:paraId="5BAEBB45" w14:textId="4A14D893" w:rsidR="00A41BE2" w:rsidRPr="00A41BE2" w:rsidRDefault="00A41BE2" w:rsidP="00A41BE2">
            <w:pPr>
              <w:numPr>
                <w:ilvl w:val="0"/>
                <w:numId w:val="106"/>
              </w:numPr>
              <w:spacing w:after="120" w:line="240" w:lineRule="auto"/>
              <w:contextualSpacing/>
              <w:jc w:val="both"/>
              <w:rPr>
                <w:rFonts w:ascii="Times New Roman" w:hAnsi="Times New Roman"/>
                <w:color w:val="000000"/>
              </w:rPr>
            </w:pPr>
            <w:r w:rsidRPr="00A41BE2">
              <w:rPr>
                <w:rFonts w:ascii="Times New Roman" w:hAnsi="Times New Roman"/>
                <w:color w:val="000000"/>
              </w:rPr>
              <w:t xml:space="preserve">wynagrodzenia osobowe dla 1 etatu korpusu służby cywilnej = </w:t>
            </w:r>
            <w:r w:rsidR="001E264E" w:rsidRPr="001E264E">
              <w:rPr>
                <w:rFonts w:ascii="Times New Roman" w:hAnsi="Times New Roman"/>
                <w:color w:val="000000"/>
              </w:rPr>
              <w:t>8</w:t>
            </w:r>
            <w:r w:rsidR="001E264E">
              <w:rPr>
                <w:rFonts w:ascii="Times New Roman" w:hAnsi="Times New Roman"/>
                <w:color w:val="000000"/>
              </w:rPr>
              <w:t xml:space="preserve"> </w:t>
            </w:r>
            <w:r w:rsidR="001E264E" w:rsidRPr="001E264E">
              <w:rPr>
                <w:rFonts w:ascii="Times New Roman" w:hAnsi="Times New Roman"/>
                <w:color w:val="000000"/>
              </w:rPr>
              <w:t>631,12</w:t>
            </w:r>
            <w:r w:rsidR="001E264E">
              <w:rPr>
                <w:rFonts w:ascii="Times New Roman" w:hAnsi="Times New Roman"/>
                <w:color w:val="000000"/>
              </w:rPr>
              <w:t xml:space="preserve"> </w:t>
            </w:r>
            <w:r w:rsidRPr="00A41BE2">
              <w:rPr>
                <w:rFonts w:ascii="Times New Roman" w:hAnsi="Times New Roman"/>
                <w:color w:val="000000"/>
              </w:rPr>
              <w:t xml:space="preserve">zł x 1 etat x 12 m-cy = </w:t>
            </w:r>
            <w:r w:rsidR="00E01144" w:rsidRPr="00E01144">
              <w:rPr>
                <w:rFonts w:ascii="Times New Roman" w:hAnsi="Times New Roman"/>
                <w:color w:val="000000"/>
              </w:rPr>
              <w:t>10</w:t>
            </w:r>
            <w:r w:rsidR="001E264E">
              <w:rPr>
                <w:rFonts w:ascii="Times New Roman" w:hAnsi="Times New Roman"/>
                <w:color w:val="000000"/>
              </w:rPr>
              <w:t>3 573,</w:t>
            </w:r>
            <w:r w:rsidR="00992E2E">
              <w:rPr>
                <w:rFonts w:ascii="Times New Roman" w:hAnsi="Times New Roman"/>
                <w:color w:val="000000"/>
              </w:rPr>
              <w:t>44</w:t>
            </w:r>
            <w:r w:rsidR="00E01144">
              <w:rPr>
                <w:rFonts w:ascii="Times New Roman" w:hAnsi="Times New Roman"/>
                <w:color w:val="000000"/>
              </w:rPr>
              <w:t xml:space="preserve"> </w:t>
            </w:r>
            <w:r w:rsidRPr="00A41BE2">
              <w:rPr>
                <w:rFonts w:ascii="Times New Roman" w:hAnsi="Times New Roman"/>
                <w:color w:val="000000"/>
              </w:rPr>
              <w:t>zł brutto</w:t>
            </w:r>
            <w:r w:rsidR="0035145A">
              <w:rPr>
                <w:rFonts w:ascii="Times New Roman" w:hAnsi="Times New Roman"/>
                <w:color w:val="000000"/>
              </w:rPr>
              <w:t>, w tym:</w:t>
            </w:r>
          </w:p>
          <w:p w14:paraId="59531AF5" w14:textId="7ADE33B4" w:rsidR="00A41BE2" w:rsidRPr="007B2A24" w:rsidRDefault="00A41BE2" w:rsidP="007B2A24">
            <w:pPr>
              <w:pStyle w:val="Akapitzlist"/>
              <w:numPr>
                <w:ilvl w:val="0"/>
                <w:numId w:val="126"/>
              </w:numPr>
              <w:spacing w:before="120" w:after="120" w:line="240" w:lineRule="auto"/>
              <w:jc w:val="both"/>
              <w:rPr>
                <w:rFonts w:ascii="Times New Roman" w:hAnsi="Times New Roman"/>
                <w:color w:val="000000"/>
              </w:rPr>
            </w:pPr>
            <w:r w:rsidRPr="007B2A24">
              <w:rPr>
                <w:rFonts w:ascii="Times New Roman" w:hAnsi="Times New Roman"/>
                <w:color w:val="000000"/>
              </w:rPr>
              <w:t>składki na ubezpieczenie społeczne finansowane przez pracodawcę (1</w:t>
            </w:r>
            <w:r w:rsidR="00E01144" w:rsidRPr="007B2A24">
              <w:rPr>
                <w:rFonts w:ascii="Times New Roman" w:hAnsi="Times New Roman"/>
                <w:color w:val="000000"/>
              </w:rPr>
              <w:t>6,</w:t>
            </w:r>
            <w:r w:rsidR="00075DDC" w:rsidRPr="007B2A24">
              <w:rPr>
                <w:rFonts w:ascii="Times New Roman" w:hAnsi="Times New Roman"/>
                <w:color w:val="000000"/>
              </w:rPr>
              <w:t>9</w:t>
            </w:r>
            <w:r w:rsidR="00E01144" w:rsidRPr="007B2A24">
              <w:rPr>
                <w:rFonts w:ascii="Times New Roman" w:hAnsi="Times New Roman"/>
                <w:color w:val="000000"/>
              </w:rPr>
              <w:t>3</w:t>
            </w:r>
            <w:r w:rsidRPr="007B2A24">
              <w:rPr>
                <w:rFonts w:ascii="Times New Roman" w:hAnsi="Times New Roman"/>
                <w:color w:val="000000"/>
              </w:rPr>
              <w:t xml:space="preserve">%) = </w:t>
            </w:r>
            <w:r w:rsidR="001E264E" w:rsidRPr="007B2A24">
              <w:rPr>
                <w:rFonts w:ascii="Times New Roman" w:hAnsi="Times New Roman"/>
                <w:color w:val="000000"/>
              </w:rPr>
              <w:t>103 573,</w:t>
            </w:r>
            <w:r w:rsidR="00992E2E" w:rsidRPr="007B2A24">
              <w:rPr>
                <w:rFonts w:ascii="Times New Roman" w:hAnsi="Times New Roman"/>
                <w:color w:val="000000"/>
              </w:rPr>
              <w:t>44</w:t>
            </w:r>
            <w:r w:rsidR="001E264E" w:rsidRPr="007B2A24">
              <w:rPr>
                <w:rFonts w:ascii="Times New Roman" w:hAnsi="Times New Roman"/>
                <w:color w:val="000000"/>
              </w:rPr>
              <w:t xml:space="preserve"> </w:t>
            </w:r>
            <w:r w:rsidR="00E01144" w:rsidRPr="007B2A24">
              <w:rPr>
                <w:rFonts w:ascii="Times New Roman" w:hAnsi="Times New Roman"/>
                <w:color w:val="000000"/>
              </w:rPr>
              <w:t xml:space="preserve"> </w:t>
            </w:r>
            <w:r w:rsidRPr="007B2A24">
              <w:rPr>
                <w:rFonts w:ascii="Times New Roman" w:hAnsi="Times New Roman"/>
                <w:color w:val="000000"/>
              </w:rPr>
              <w:t>zł x 1</w:t>
            </w:r>
            <w:r w:rsidR="00E01144" w:rsidRPr="007B2A24">
              <w:rPr>
                <w:rFonts w:ascii="Times New Roman" w:hAnsi="Times New Roman"/>
                <w:color w:val="000000"/>
              </w:rPr>
              <w:t>6,</w:t>
            </w:r>
            <w:r w:rsidR="00075DDC" w:rsidRPr="007B2A24">
              <w:rPr>
                <w:rFonts w:ascii="Times New Roman" w:hAnsi="Times New Roman"/>
                <w:color w:val="000000"/>
              </w:rPr>
              <w:t>9</w:t>
            </w:r>
            <w:r w:rsidR="00E01144" w:rsidRPr="007B2A24">
              <w:rPr>
                <w:rFonts w:ascii="Times New Roman" w:hAnsi="Times New Roman"/>
                <w:color w:val="000000"/>
              </w:rPr>
              <w:t>3</w:t>
            </w:r>
            <w:r w:rsidRPr="007B2A24">
              <w:rPr>
                <w:rFonts w:ascii="Times New Roman" w:hAnsi="Times New Roman"/>
                <w:color w:val="000000"/>
              </w:rPr>
              <w:t xml:space="preserve">% = </w:t>
            </w:r>
            <w:r w:rsidR="001E264E" w:rsidRPr="007B2A24">
              <w:rPr>
                <w:rFonts w:ascii="Times New Roman" w:hAnsi="Times New Roman"/>
                <w:color w:val="000000"/>
              </w:rPr>
              <w:t>17</w:t>
            </w:r>
            <w:r w:rsidR="00C52F65" w:rsidRPr="007B2A24">
              <w:rPr>
                <w:rFonts w:ascii="Times New Roman" w:hAnsi="Times New Roman"/>
                <w:color w:val="000000"/>
              </w:rPr>
              <w:t> 534,9</w:t>
            </w:r>
            <w:r w:rsidR="00992E2E" w:rsidRPr="007B2A24">
              <w:rPr>
                <w:rFonts w:ascii="Times New Roman" w:hAnsi="Times New Roman"/>
                <w:color w:val="000000"/>
              </w:rPr>
              <w:t>8</w:t>
            </w:r>
            <w:r w:rsidR="001E264E" w:rsidRPr="007B2A24">
              <w:rPr>
                <w:rFonts w:ascii="Times New Roman" w:hAnsi="Times New Roman"/>
                <w:color w:val="000000"/>
              </w:rPr>
              <w:t xml:space="preserve"> </w:t>
            </w:r>
            <w:r w:rsidRPr="007B2A24">
              <w:rPr>
                <w:rFonts w:ascii="Times New Roman" w:hAnsi="Times New Roman"/>
                <w:color w:val="000000"/>
              </w:rPr>
              <w:t>zł brutto</w:t>
            </w:r>
            <w:r w:rsidR="0035145A">
              <w:rPr>
                <w:rFonts w:ascii="Times New Roman" w:hAnsi="Times New Roman"/>
                <w:color w:val="000000"/>
              </w:rPr>
              <w:t>,</w:t>
            </w:r>
          </w:p>
          <w:p w14:paraId="643E217D" w14:textId="39727521" w:rsidR="00A41BE2" w:rsidRPr="007B2A24" w:rsidRDefault="00A41BE2" w:rsidP="007B2A24">
            <w:pPr>
              <w:pStyle w:val="Akapitzlist"/>
              <w:numPr>
                <w:ilvl w:val="0"/>
                <w:numId w:val="126"/>
              </w:numPr>
              <w:spacing w:before="120" w:after="120" w:line="240" w:lineRule="auto"/>
              <w:jc w:val="both"/>
              <w:rPr>
                <w:rFonts w:ascii="Times New Roman" w:hAnsi="Times New Roman"/>
                <w:color w:val="000000"/>
              </w:rPr>
            </w:pPr>
            <w:r w:rsidRPr="007B2A24">
              <w:rPr>
                <w:rFonts w:ascii="Times New Roman" w:hAnsi="Times New Roman"/>
                <w:color w:val="000000"/>
              </w:rPr>
              <w:t xml:space="preserve">składki na Fundusz Pracy (2,45%) = </w:t>
            </w:r>
            <w:r w:rsidR="001E264E" w:rsidRPr="007B2A24">
              <w:rPr>
                <w:rFonts w:ascii="Times New Roman" w:hAnsi="Times New Roman"/>
                <w:color w:val="000000"/>
              </w:rPr>
              <w:t>103 573,</w:t>
            </w:r>
            <w:r w:rsidR="00992E2E" w:rsidRPr="007B2A24">
              <w:rPr>
                <w:rFonts w:ascii="Times New Roman" w:hAnsi="Times New Roman"/>
                <w:color w:val="000000"/>
              </w:rPr>
              <w:t>44</w:t>
            </w:r>
            <w:r w:rsidR="001E264E" w:rsidRPr="007B2A24">
              <w:rPr>
                <w:rFonts w:ascii="Times New Roman" w:hAnsi="Times New Roman"/>
                <w:color w:val="000000"/>
              </w:rPr>
              <w:t xml:space="preserve"> </w:t>
            </w:r>
            <w:r w:rsidRPr="007B2A24">
              <w:rPr>
                <w:rFonts w:ascii="Times New Roman" w:hAnsi="Times New Roman"/>
                <w:color w:val="000000"/>
              </w:rPr>
              <w:t xml:space="preserve">zł x 2,45% = </w:t>
            </w:r>
            <w:r w:rsidR="001E264E" w:rsidRPr="007B2A24">
              <w:rPr>
                <w:rFonts w:ascii="Times New Roman" w:hAnsi="Times New Roman"/>
                <w:color w:val="000000"/>
              </w:rPr>
              <w:t xml:space="preserve">2 537,55 </w:t>
            </w:r>
            <w:r w:rsidRPr="007B2A24">
              <w:rPr>
                <w:rFonts w:ascii="Times New Roman" w:hAnsi="Times New Roman"/>
                <w:color w:val="000000"/>
              </w:rPr>
              <w:t>zł brutto;</w:t>
            </w:r>
          </w:p>
          <w:p w14:paraId="5676ABFF" w14:textId="77044CD3" w:rsidR="002D7995" w:rsidRDefault="002D7995" w:rsidP="00A41BE2">
            <w:pPr>
              <w:numPr>
                <w:ilvl w:val="0"/>
                <w:numId w:val="106"/>
              </w:numPr>
              <w:spacing w:before="120" w:after="120" w:line="240" w:lineRule="auto"/>
              <w:contextualSpacing/>
              <w:jc w:val="both"/>
              <w:rPr>
                <w:rFonts w:ascii="Times New Roman" w:hAnsi="Times New Roman"/>
                <w:color w:val="000000"/>
              </w:rPr>
            </w:pPr>
            <w:r>
              <w:rPr>
                <w:rFonts w:ascii="Times New Roman" w:hAnsi="Times New Roman"/>
                <w:color w:val="000000"/>
              </w:rPr>
              <w:t xml:space="preserve">składka na Pracownicze Plany Kapitałowe – PPK (1,5%) = </w:t>
            </w:r>
            <w:r w:rsidR="001E264E" w:rsidRPr="001E264E">
              <w:rPr>
                <w:rFonts w:ascii="Times New Roman" w:hAnsi="Times New Roman"/>
                <w:color w:val="000000"/>
              </w:rPr>
              <w:t>103 573,</w:t>
            </w:r>
            <w:r w:rsidR="00992E2E">
              <w:rPr>
                <w:rFonts w:ascii="Times New Roman" w:hAnsi="Times New Roman"/>
                <w:color w:val="000000"/>
              </w:rPr>
              <w:t>44</w:t>
            </w:r>
            <w:r w:rsidR="001E264E">
              <w:rPr>
                <w:rFonts w:ascii="Times New Roman" w:hAnsi="Times New Roman"/>
                <w:color w:val="000000"/>
              </w:rPr>
              <w:t xml:space="preserve"> </w:t>
            </w:r>
            <w:r>
              <w:rPr>
                <w:rFonts w:ascii="Times New Roman" w:hAnsi="Times New Roman"/>
                <w:color w:val="000000"/>
              </w:rPr>
              <w:t xml:space="preserve">x 1,5% = </w:t>
            </w:r>
            <w:r w:rsidR="001E264E" w:rsidRPr="001E264E">
              <w:rPr>
                <w:rFonts w:ascii="Times New Roman" w:hAnsi="Times New Roman"/>
                <w:color w:val="000000"/>
              </w:rPr>
              <w:t>1</w:t>
            </w:r>
            <w:r w:rsidR="001E264E">
              <w:rPr>
                <w:rFonts w:ascii="Times New Roman" w:hAnsi="Times New Roman"/>
                <w:color w:val="000000"/>
              </w:rPr>
              <w:t xml:space="preserve"> </w:t>
            </w:r>
            <w:r w:rsidR="001E264E" w:rsidRPr="001E264E">
              <w:rPr>
                <w:rFonts w:ascii="Times New Roman" w:hAnsi="Times New Roman"/>
                <w:color w:val="000000"/>
              </w:rPr>
              <w:t>553,60</w:t>
            </w:r>
            <w:r>
              <w:rPr>
                <w:rFonts w:ascii="Times New Roman" w:hAnsi="Times New Roman"/>
                <w:color w:val="000000"/>
              </w:rPr>
              <w:t xml:space="preserve"> zł brutto;</w:t>
            </w:r>
          </w:p>
          <w:p w14:paraId="01B92FCF" w14:textId="3E5D7679" w:rsidR="002D7995" w:rsidRPr="00A41BE2" w:rsidRDefault="002D7995" w:rsidP="00A41BE2">
            <w:pPr>
              <w:numPr>
                <w:ilvl w:val="0"/>
                <w:numId w:val="106"/>
              </w:numPr>
              <w:spacing w:before="120" w:after="120" w:line="240" w:lineRule="auto"/>
              <w:contextualSpacing/>
              <w:jc w:val="both"/>
              <w:rPr>
                <w:rFonts w:ascii="Times New Roman" w:hAnsi="Times New Roman"/>
                <w:color w:val="000000"/>
              </w:rPr>
            </w:pPr>
            <w:r>
              <w:rPr>
                <w:rFonts w:ascii="Times New Roman" w:hAnsi="Times New Roman"/>
                <w:color w:val="000000"/>
              </w:rPr>
              <w:t xml:space="preserve">środki z tytułu </w:t>
            </w:r>
            <w:r w:rsidRPr="002D7995">
              <w:rPr>
                <w:rFonts w:ascii="Times New Roman" w:hAnsi="Times New Roman"/>
                <w:color w:val="000000"/>
              </w:rPr>
              <w:t>Zakładow</w:t>
            </w:r>
            <w:r>
              <w:rPr>
                <w:rFonts w:ascii="Times New Roman" w:hAnsi="Times New Roman"/>
                <w:color w:val="000000"/>
              </w:rPr>
              <w:t xml:space="preserve">ego </w:t>
            </w:r>
            <w:r w:rsidRPr="002D7995">
              <w:rPr>
                <w:rFonts w:ascii="Times New Roman" w:hAnsi="Times New Roman"/>
                <w:color w:val="000000"/>
              </w:rPr>
              <w:t>fundusz</w:t>
            </w:r>
            <w:r>
              <w:rPr>
                <w:rFonts w:ascii="Times New Roman" w:hAnsi="Times New Roman"/>
                <w:color w:val="000000"/>
              </w:rPr>
              <w:t>u</w:t>
            </w:r>
            <w:r w:rsidRPr="002D7995">
              <w:rPr>
                <w:rFonts w:ascii="Times New Roman" w:hAnsi="Times New Roman"/>
                <w:color w:val="000000"/>
              </w:rPr>
              <w:t xml:space="preserve"> świadczeń socjalnych </w:t>
            </w:r>
            <w:r>
              <w:rPr>
                <w:rFonts w:ascii="Times New Roman" w:hAnsi="Times New Roman"/>
                <w:color w:val="000000"/>
              </w:rPr>
              <w:t xml:space="preserve">– </w:t>
            </w:r>
            <w:r w:rsidRPr="002D7995">
              <w:rPr>
                <w:rFonts w:ascii="Times New Roman" w:hAnsi="Times New Roman"/>
                <w:color w:val="000000"/>
              </w:rPr>
              <w:t>ZFŚS</w:t>
            </w:r>
            <w:r>
              <w:rPr>
                <w:rFonts w:ascii="Times New Roman" w:hAnsi="Times New Roman"/>
                <w:color w:val="000000"/>
              </w:rPr>
              <w:t xml:space="preserve"> = </w:t>
            </w:r>
            <w:r w:rsidRPr="002D7995">
              <w:rPr>
                <w:rFonts w:ascii="Times New Roman" w:hAnsi="Times New Roman"/>
                <w:color w:val="000000"/>
              </w:rPr>
              <w:t>37,5% przeciętnego miesięcznego wynagrodzenia w gospodarce narodowej</w:t>
            </w:r>
            <w:r>
              <w:rPr>
                <w:rFonts w:ascii="Times New Roman" w:hAnsi="Times New Roman"/>
                <w:color w:val="000000"/>
              </w:rPr>
              <w:t xml:space="preserve"> = </w:t>
            </w:r>
            <w:r w:rsidR="00625162" w:rsidRPr="00625162">
              <w:rPr>
                <w:rFonts w:ascii="Times New Roman" w:hAnsi="Times New Roman"/>
                <w:color w:val="000000"/>
              </w:rPr>
              <w:t>0,375 x 7</w:t>
            </w:r>
            <w:r w:rsidR="00625162">
              <w:rPr>
                <w:rFonts w:ascii="Times New Roman" w:hAnsi="Times New Roman"/>
                <w:color w:val="000000"/>
              </w:rPr>
              <w:t xml:space="preserve"> </w:t>
            </w:r>
            <w:r w:rsidR="00625162" w:rsidRPr="00625162">
              <w:rPr>
                <w:rFonts w:ascii="Times New Roman" w:hAnsi="Times New Roman"/>
                <w:color w:val="000000"/>
              </w:rPr>
              <w:t xml:space="preserve">212 </w:t>
            </w:r>
            <w:r w:rsidR="00625162">
              <w:rPr>
                <w:rFonts w:ascii="Times New Roman" w:hAnsi="Times New Roman"/>
                <w:color w:val="000000"/>
              </w:rPr>
              <w:t xml:space="preserve">zł </w:t>
            </w:r>
            <w:r w:rsidR="00625162" w:rsidRPr="00625162">
              <w:rPr>
                <w:rFonts w:ascii="Times New Roman" w:hAnsi="Times New Roman"/>
                <w:color w:val="000000"/>
              </w:rPr>
              <w:t>= 2 704,5</w:t>
            </w:r>
            <w:r>
              <w:rPr>
                <w:rFonts w:ascii="Times New Roman" w:hAnsi="Times New Roman"/>
                <w:color w:val="000000"/>
              </w:rPr>
              <w:t xml:space="preserve"> zł brutto;</w:t>
            </w:r>
          </w:p>
          <w:p w14:paraId="3E97953F" w14:textId="00964B28" w:rsidR="00A41BE2" w:rsidRPr="00A41BE2" w:rsidRDefault="00A41BE2" w:rsidP="00DD284D">
            <w:pPr>
              <w:numPr>
                <w:ilvl w:val="0"/>
                <w:numId w:val="106"/>
              </w:numPr>
              <w:spacing w:before="120" w:line="240" w:lineRule="auto"/>
              <w:jc w:val="both"/>
              <w:rPr>
                <w:rFonts w:ascii="Times New Roman" w:hAnsi="Times New Roman"/>
                <w:color w:val="000000"/>
              </w:rPr>
            </w:pPr>
            <w:r w:rsidRPr="00A41BE2">
              <w:rPr>
                <w:rFonts w:ascii="Times New Roman" w:hAnsi="Times New Roman"/>
                <w:color w:val="000000"/>
              </w:rPr>
              <w:t>dodatkowe środki na wyposażenie stanowiska pracy (roczne) 1</w:t>
            </w:r>
            <w:r>
              <w:rPr>
                <w:rFonts w:ascii="Times New Roman" w:hAnsi="Times New Roman"/>
                <w:color w:val="000000"/>
              </w:rPr>
              <w:t>5</w:t>
            </w:r>
            <w:r w:rsidRPr="00A41BE2">
              <w:rPr>
                <w:rFonts w:ascii="Times New Roman" w:hAnsi="Times New Roman"/>
                <w:color w:val="000000"/>
              </w:rPr>
              <w:t xml:space="preserve"> 000 zł na 1 etat</w:t>
            </w:r>
            <w:r w:rsidR="002D7995">
              <w:rPr>
                <w:rFonts w:ascii="Times New Roman" w:hAnsi="Times New Roman"/>
                <w:color w:val="000000"/>
              </w:rPr>
              <w:t>.</w:t>
            </w:r>
          </w:p>
          <w:p w14:paraId="58456DBF" w14:textId="0F769057" w:rsidR="00A41BE2" w:rsidRPr="00A41BE2" w:rsidRDefault="00A41BE2" w:rsidP="00DD284D">
            <w:pPr>
              <w:spacing w:before="120" w:line="240" w:lineRule="auto"/>
              <w:jc w:val="both"/>
              <w:rPr>
                <w:rFonts w:ascii="Times New Roman" w:hAnsi="Times New Roman"/>
                <w:color w:val="000000"/>
              </w:rPr>
            </w:pPr>
            <w:r w:rsidRPr="00A41BE2">
              <w:rPr>
                <w:rFonts w:ascii="Times New Roman" w:hAnsi="Times New Roman"/>
                <w:color w:val="000000"/>
              </w:rPr>
              <w:t xml:space="preserve">Ogółem skutki uruchomienia nowego </w:t>
            </w:r>
            <w:r w:rsidRPr="00A41BE2">
              <w:rPr>
                <w:rFonts w:ascii="Times New Roman" w:hAnsi="Times New Roman"/>
                <w:b/>
                <w:bCs/>
                <w:color w:val="000000"/>
              </w:rPr>
              <w:t>jednego</w:t>
            </w:r>
            <w:r w:rsidRPr="00A41BE2">
              <w:rPr>
                <w:rFonts w:ascii="Times New Roman" w:hAnsi="Times New Roman"/>
                <w:color w:val="000000"/>
              </w:rPr>
              <w:t xml:space="preserve"> </w:t>
            </w:r>
            <w:r w:rsidRPr="00A41BE2">
              <w:rPr>
                <w:rFonts w:ascii="Times New Roman" w:hAnsi="Times New Roman"/>
                <w:b/>
                <w:bCs/>
                <w:color w:val="000000"/>
              </w:rPr>
              <w:t>(1) etatu</w:t>
            </w:r>
            <w:r w:rsidRPr="00A41BE2">
              <w:rPr>
                <w:rFonts w:ascii="Times New Roman" w:hAnsi="Times New Roman"/>
                <w:color w:val="000000"/>
              </w:rPr>
              <w:t xml:space="preserve"> w korpusie służby cywilnej w okresie pierwszych 12 m-cy, tj. wynagrodzenie i pochodne = </w:t>
            </w:r>
            <w:r w:rsidR="0035145A">
              <w:rPr>
                <w:rFonts w:ascii="Times New Roman" w:hAnsi="Times New Roman"/>
                <w:color w:val="000000"/>
              </w:rPr>
              <w:t>107 831,54</w:t>
            </w:r>
            <w:r w:rsidR="00E01144">
              <w:rPr>
                <w:rFonts w:ascii="Times New Roman" w:hAnsi="Times New Roman"/>
                <w:color w:val="000000"/>
              </w:rPr>
              <w:t xml:space="preserve"> </w:t>
            </w:r>
            <w:r w:rsidRPr="00A41BE2">
              <w:rPr>
                <w:rFonts w:ascii="Times New Roman" w:hAnsi="Times New Roman"/>
                <w:color w:val="000000"/>
              </w:rPr>
              <w:t>zł brutto + 1</w:t>
            </w:r>
            <w:r w:rsidR="00E01144">
              <w:rPr>
                <w:rFonts w:ascii="Times New Roman" w:hAnsi="Times New Roman"/>
                <w:color w:val="000000"/>
              </w:rPr>
              <w:t>5</w:t>
            </w:r>
            <w:r w:rsidRPr="00A41BE2">
              <w:rPr>
                <w:rFonts w:ascii="Times New Roman" w:hAnsi="Times New Roman"/>
                <w:color w:val="000000"/>
              </w:rPr>
              <w:t xml:space="preserve"> 000 zł wyposażenie stanowiska pracy = </w:t>
            </w:r>
            <w:r w:rsidR="0035145A">
              <w:rPr>
                <w:rFonts w:ascii="Times New Roman" w:hAnsi="Times New Roman"/>
                <w:color w:val="000000"/>
              </w:rPr>
              <w:t>122 831,54</w:t>
            </w:r>
            <w:r w:rsidR="00E01144">
              <w:rPr>
                <w:rFonts w:ascii="Times New Roman" w:hAnsi="Times New Roman"/>
                <w:color w:val="000000"/>
              </w:rPr>
              <w:t xml:space="preserve"> </w:t>
            </w:r>
            <w:r w:rsidRPr="00A41BE2">
              <w:rPr>
                <w:rFonts w:ascii="Times New Roman" w:hAnsi="Times New Roman"/>
                <w:color w:val="000000"/>
              </w:rPr>
              <w:t xml:space="preserve">zł brutto. </w:t>
            </w:r>
          </w:p>
          <w:p w14:paraId="7A902CBF" w14:textId="77777777" w:rsidR="00A41BE2" w:rsidRPr="00A41BE2" w:rsidRDefault="00A41BE2" w:rsidP="00A41BE2">
            <w:pPr>
              <w:spacing w:before="120" w:line="240" w:lineRule="auto"/>
              <w:jc w:val="both"/>
              <w:rPr>
                <w:rFonts w:ascii="Times New Roman" w:hAnsi="Times New Roman"/>
                <w:color w:val="000000"/>
              </w:rPr>
            </w:pPr>
            <w:r w:rsidRPr="00A41BE2">
              <w:rPr>
                <w:rFonts w:ascii="Times New Roman" w:hAnsi="Times New Roman"/>
                <w:color w:val="000000"/>
              </w:rPr>
              <w:lastRenderedPageBreak/>
              <w:t>Kolejny rok i następne lata funkcjonowania etatu:</w:t>
            </w:r>
          </w:p>
          <w:p w14:paraId="08119EF7" w14:textId="4E8C95AA" w:rsidR="00A41BE2" w:rsidRPr="00A41BE2" w:rsidRDefault="00A41BE2" w:rsidP="00A41BE2">
            <w:pPr>
              <w:numPr>
                <w:ilvl w:val="0"/>
                <w:numId w:val="107"/>
              </w:numPr>
              <w:spacing w:after="120" w:line="240" w:lineRule="auto"/>
              <w:contextualSpacing/>
              <w:jc w:val="both"/>
              <w:rPr>
                <w:rFonts w:ascii="Times New Roman" w:hAnsi="Times New Roman"/>
                <w:color w:val="000000"/>
              </w:rPr>
            </w:pPr>
            <w:r w:rsidRPr="00A41BE2">
              <w:rPr>
                <w:rFonts w:ascii="Times New Roman" w:hAnsi="Times New Roman"/>
                <w:color w:val="000000"/>
              </w:rPr>
              <w:t xml:space="preserve">wynagrodzenia osobowe dla 1 etatu korpusu służby cywilnej = </w:t>
            </w:r>
            <w:r w:rsidR="001E264E" w:rsidRPr="001E264E">
              <w:rPr>
                <w:rFonts w:ascii="Times New Roman" w:hAnsi="Times New Roman"/>
                <w:color w:val="000000"/>
              </w:rPr>
              <w:t xml:space="preserve">8 631,12 </w:t>
            </w:r>
            <w:r w:rsidR="00E01144" w:rsidRPr="00E01144">
              <w:rPr>
                <w:rFonts w:ascii="Times New Roman" w:hAnsi="Times New Roman"/>
                <w:color w:val="000000"/>
              </w:rPr>
              <w:t xml:space="preserve">zł x 1 etat x 12 m-cy </w:t>
            </w:r>
            <w:r w:rsidR="009E3172">
              <w:rPr>
                <w:rFonts w:ascii="Times New Roman" w:hAnsi="Times New Roman"/>
                <w:color w:val="000000"/>
              </w:rPr>
              <w:t xml:space="preserve">+ </w:t>
            </w:r>
            <w:r w:rsidR="009E3172" w:rsidRPr="009E3172">
              <w:rPr>
                <w:rFonts w:ascii="Times New Roman" w:hAnsi="Times New Roman"/>
                <w:color w:val="000000"/>
              </w:rPr>
              <w:t xml:space="preserve">dodatkowe wynagrodzenie roczne (8,5%) </w:t>
            </w:r>
            <w:r w:rsidR="00E01144" w:rsidRPr="00E01144">
              <w:rPr>
                <w:rFonts w:ascii="Times New Roman" w:hAnsi="Times New Roman"/>
                <w:color w:val="000000"/>
              </w:rPr>
              <w:t xml:space="preserve">= </w:t>
            </w:r>
            <w:r w:rsidR="009E3172">
              <w:rPr>
                <w:rFonts w:ascii="Times New Roman" w:hAnsi="Times New Roman"/>
                <w:color w:val="000000"/>
              </w:rPr>
              <w:t>112 377,18</w:t>
            </w:r>
            <w:r w:rsidR="001E264E">
              <w:rPr>
                <w:rFonts w:ascii="Times New Roman" w:hAnsi="Times New Roman"/>
                <w:color w:val="000000"/>
              </w:rPr>
              <w:t xml:space="preserve"> </w:t>
            </w:r>
            <w:r w:rsidR="00E01144" w:rsidRPr="00E01144">
              <w:rPr>
                <w:rFonts w:ascii="Times New Roman" w:hAnsi="Times New Roman"/>
                <w:color w:val="000000"/>
              </w:rPr>
              <w:t>zł brutt</w:t>
            </w:r>
            <w:r w:rsidR="00E01144">
              <w:rPr>
                <w:rFonts w:ascii="Times New Roman" w:hAnsi="Times New Roman"/>
                <w:color w:val="000000"/>
              </w:rPr>
              <w:t>o</w:t>
            </w:r>
            <w:r w:rsidR="0035145A">
              <w:rPr>
                <w:rFonts w:ascii="Times New Roman" w:hAnsi="Times New Roman"/>
                <w:color w:val="000000"/>
              </w:rPr>
              <w:t>, w tym:</w:t>
            </w:r>
          </w:p>
          <w:p w14:paraId="168FCE84" w14:textId="78365B0A" w:rsidR="00A41BE2" w:rsidRPr="007B2A24" w:rsidRDefault="00A41BE2" w:rsidP="007B2A24">
            <w:pPr>
              <w:pStyle w:val="Akapitzlist"/>
              <w:numPr>
                <w:ilvl w:val="0"/>
                <w:numId w:val="127"/>
              </w:numPr>
              <w:spacing w:before="120" w:after="120" w:line="240" w:lineRule="auto"/>
              <w:jc w:val="both"/>
              <w:rPr>
                <w:rFonts w:ascii="Times New Roman" w:hAnsi="Times New Roman"/>
                <w:color w:val="000000"/>
              </w:rPr>
            </w:pPr>
            <w:r w:rsidRPr="007B2A24">
              <w:rPr>
                <w:rFonts w:ascii="Times New Roman" w:hAnsi="Times New Roman"/>
                <w:color w:val="000000"/>
              </w:rPr>
              <w:t>składki na ubezpieczenie społeczne finansowane przez pracodawcę (1</w:t>
            </w:r>
            <w:r w:rsidR="00E01144" w:rsidRPr="007B2A24">
              <w:rPr>
                <w:rFonts w:ascii="Times New Roman" w:hAnsi="Times New Roman"/>
                <w:color w:val="000000"/>
              </w:rPr>
              <w:t>6,</w:t>
            </w:r>
            <w:r w:rsidR="00075DDC" w:rsidRPr="007B2A24">
              <w:rPr>
                <w:rFonts w:ascii="Times New Roman" w:hAnsi="Times New Roman"/>
                <w:color w:val="000000"/>
              </w:rPr>
              <w:t>9</w:t>
            </w:r>
            <w:r w:rsidR="00E01144" w:rsidRPr="007B2A24">
              <w:rPr>
                <w:rFonts w:ascii="Times New Roman" w:hAnsi="Times New Roman"/>
                <w:color w:val="000000"/>
              </w:rPr>
              <w:t>3</w:t>
            </w:r>
            <w:r w:rsidRPr="007B2A24">
              <w:rPr>
                <w:rFonts w:ascii="Times New Roman" w:hAnsi="Times New Roman"/>
                <w:color w:val="000000"/>
              </w:rPr>
              <w:t xml:space="preserve">%) = </w:t>
            </w:r>
            <w:r w:rsidR="009E3172">
              <w:rPr>
                <w:rFonts w:ascii="Times New Roman" w:hAnsi="Times New Roman"/>
                <w:color w:val="000000"/>
              </w:rPr>
              <w:t>112 377,18 zł</w:t>
            </w:r>
            <w:r w:rsidRPr="007B2A24">
              <w:rPr>
                <w:rFonts w:ascii="Times New Roman" w:hAnsi="Times New Roman"/>
                <w:color w:val="000000"/>
              </w:rPr>
              <w:t xml:space="preserve"> x 1</w:t>
            </w:r>
            <w:r w:rsidR="00E01144" w:rsidRPr="007B2A24">
              <w:rPr>
                <w:rFonts w:ascii="Times New Roman" w:hAnsi="Times New Roman"/>
                <w:color w:val="000000"/>
              </w:rPr>
              <w:t>6,</w:t>
            </w:r>
            <w:r w:rsidR="00075DDC" w:rsidRPr="007B2A24">
              <w:rPr>
                <w:rFonts w:ascii="Times New Roman" w:hAnsi="Times New Roman"/>
                <w:color w:val="000000"/>
              </w:rPr>
              <w:t>9</w:t>
            </w:r>
            <w:r w:rsidR="00E01144" w:rsidRPr="007B2A24">
              <w:rPr>
                <w:rFonts w:ascii="Times New Roman" w:hAnsi="Times New Roman"/>
                <w:color w:val="000000"/>
              </w:rPr>
              <w:t>3</w:t>
            </w:r>
            <w:r w:rsidRPr="007B2A24">
              <w:rPr>
                <w:rFonts w:ascii="Times New Roman" w:hAnsi="Times New Roman"/>
                <w:color w:val="000000"/>
              </w:rPr>
              <w:t xml:space="preserve">% = </w:t>
            </w:r>
            <w:r w:rsidR="00C416C6" w:rsidRPr="007B2A24">
              <w:rPr>
                <w:rFonts w:ascii="Times New Roman" w:hAnsi="Times New Roman"/>
                <w:color w:val="000000"/>
              </w:rPr>
              <w:t>1</w:t>
            </w:r>
            <w:r w:rsidR="00C52F65" w:rsidRPr="007B2A24">
              <w:rPr>
                <w:rFonts w:ascii="Times New Roman" w:hAnsi="Times New Roman"/>
                <w:color w:val="000000"/>
              </w:rPr>
              <w:t>9 025,4</w:t>
            </w:r>
            <w:r w:rsidR="00C67176" w:rsidRPr="007B2A24">
              <w:rPr>
                <w:rFonts w:ascii="Times New Roman" w:hAnsi="Times New Roman"/>
                <w:color w:val="000000"/>
              </w:rPr>
              <w:t>6</w:t>
            </w:r>
            <w:r w:rsidR="00C416C6" w:rsidRPr="007B2A24">
              <w:rPr>
                <w:rFonts w:ascii="Times New Roman" w:hAnsi="Times New Roman"/>
                <w:color w:val="000000"/>
              </w:rPr>
              <w:t xml:space="preserve"> </w:t>
            </w:r>
            <w:r w:rsidRPr="007B2A24">
              <w:rPr>
                <w:rFonts w:ascii="Times New Roman" w:hAnsi="Times New Roman"/>
                <w:color w:val="000000"/>
              </w:rPr>
              <w:t>zł brutto</w:t>
            </w:r>
            <w:r w:rsidR="0035145A">
              <w:rPr>
                <w:rFonts w:ascii="Times New Roman" w:hAnsi="Times New Roman"/>
                <w:color w:val="000000"/>
              </w:rPr>
              <w:t>,</w:t>
            </w:r>
          </w:p>
          <w:p w14:paraId="25F256AD" w14:textId="2F6A2C9C" w:rsidR="00A41BE2" w:rsidRPr="007B2A24" w:rsidRDefault="00A41BE2" w:rsidP="007B2A24">
            <w:pPr>
              <w:pStyle w:val="Akapitzlist"/>
              <w:numPr>
                <w:ilvl w:val="0"/>
                <w:numId w:val="127"/>
              </w:numPr>
              <w:spacing w:before="120" w:after="120" w:line="240" w:lineRule="auto"/>
              <w:jc w:val="both"/>
              <w:rPr>
                <w:rFonts w:ascii="Times New Roman" w:hAnsi="Times New Roman"/>
                <w:color w:val="000000"/>
              </w:rPr>
            </w:pPr>
            <w:r w:rsidRPr="007B2A24">
              <w:rPr>
                <w:rFonts w:ascii="Times New Roman" w:hAnsi="Times New Roman"/>
                <w:color w:val="000000"/>
              </w:rPr>
              <w:t xml:space="preserve">składki na Fundusz Pracy (2,45%) = </w:t>
            </w:r>
            <w:r w:rsidR="009E3172">
              <w:rPr>
                <w:rFonts w:ascii="Times New Roman" w:hAnsi="Times New Roman"/>
                <w:color w:val="000000"/>
              </w:rPr>
              <w:t>112 377,18 zł</w:t>
            </w:r>
            <w:r w:rsidRPr="007B2A24">
              <w:rPr>
                <w:rFonts w:ascii="Times New Roman" w:hAnsi="Times New Roman"/>
                <w:color w:val="000000"/>
              </w:rPr>
              <w:t xml:space="preserve"> x 2,45% = </w:t>
            </w:r>
            <w:r w:rsidR="00C416C6" w:rsidRPr="007B2A24">
              <w:rPr>
                <w:rFonts w:ascii="Times New Roman" w:hAnsi="Times New Roman"/>
                <w:color w:val="000000"/>
              </w:rPr>
              <w:t xml:space="preserve">2 753,24 </w:t>
            </w:r>
            <w:r w:rsidRPr="007B2A24">
              <w:rPr>
                <w:rFonts w:ascii="Times New Roman" w:hAnsi="Times New Roman"/>
                <w:color w:val="000000"/>
              </w:rPr>
              <w:t>zł brutto</w:t>
            </w:r>
            <w:r w:rsidR="002D7995" w:rsidRPr="007B2A24">
              <w:rPr>
                <w:rFonts w:ascii="Times New Roman" w:hAnsi="Times New Roman"/>
                <w:color w:val="000000"/>
              </w:rPr>
              <w:t>;</w:t>
            </w:r>
          </w:p>
          <w:p w14:paraId="7CB40FFB" w14:textId="0FF4EBFF" w:rsidR="0009747E" w:rsidRPr="0009747E" w:rsidRDefault="002D7995" w:rsidP="0009747E">
            <w:pPr>
              <w:numPr>
                <w:ilvl w:val="0"/>
                <w:numId w:val="107"/>
              </w:numPr>
              <w:spacing w:before="120" w:after="120" w:line="240" w:lineRule="auto"/>
              <w:contextualSpacing/>
              <w:jc w:val="both"/>
              <w:rPr>
                <w:rFonts w:ascii="Times New Roman" w:hAnsi="Times New Roman"/>
                <w:color w:val="000000"/>
              </w:rPr>
            </w:pPr>
            <w:r w:rsidRPr="002D7995">
              <w:rPr>
                <w:rFonts w:ascii="Times New Roman" w:hAnsi="Times New Roman"/>
                <w:color w:val="000000"/>
              </w:rPr>
              <w:t xml:space="preserve">składka na Pracownicze Plany Kapitałowe – PPK (1,5%) = </w:t>
            </w:r>
            <w:r w:rsidR="009E3172">
              <w:rPr>
                <w:rFonts w:ascii="Times New Roman" w:hAnsi="Times New Roman"/>
                <w:color w:val="000000"/>
              </w:rPr>
              <w:t xml:space="preserve">112 377,18 zł </w:t>
            </w:r>
            <w:r w:rsidR="001E264E">
              <w:rPr>
                <w:rFonts w:ascii="Times New Roman" w:hAnsi="Times New Roman"/>
                <w:color w:val="000000"/>
              </w:rPr>
              <w:t xml:space="preserve"> </w:t>
            </w:r>
            <w:r w:rsidRPr="002D7995">
              <w:rPr>
                <w:rFonts w:ascii="Times New Roman" w:hAnsi="Times New Roman"/>
                <w:color w:val="000000"/>
              </w:rPr>
              <w:t xml:space="preserve">x 1,5% = </w:t>
            </w:r>
            <w:r w:rsidR="00C416C6" w:rsidRPr="00C416C6">
              <w:rPr>
                <w:rFonts w:ascii="Times New Roman" w:hAnsi="Times New Roman"/>
                <w:color w:val="000000"/>
              </w:rPr>
              <w:t>1</w:t>
            </w:r>
            <w:r w:rsidR="00C416C6">
              <w:rPr>
                <w:rFonts w:ascii="Times New Roman" w:hAnsi="Times New Roman"/>
                <w:color w:val="000000"/>
              </w:rPr>
              <w:t xml:space="preserve"> </w:t>
            </w:r>
            <w:r w:rsidR="00C416C6" w:rsidRPr="00C416C6">
              <w:rPr>
                <w:rFonts w:ascii="Times New Roman" w:hAnsi="Times New Roman"/>
                <w:color w:val="000000"/>
              </w:rPr>
              <w:t>685,6</w:t>
            </w:r>
            <w:r w:rsidR="00C416C6">
              <w:rPr>
                <w:rFonts w:ascii="Times New Roman" w:hAnsi="Times New Roman"/>
                <w:color w:val="000000"/>
              </w:rPr>
              <w:t xml:space="preserve">6 </w:t>
            </w:r>
            <w:r w:rsidRPr="002D7995">
              <w:rPr>
                <w:rFonts w:ascii="Times New Roman" w:hAnsi="Times New Roman"/>
                <w:color w:val="000000"/>
              </w:rPr>
              <w:t>zł brutto;</w:t>
            </w:r>
          </w:p>
          <w:p w14:paraId="38C1F2ED" w14:textId="391C0DAB" w:rsidR="002D7995" w:rsidRDefault="002D7995" w:rsidP="00017C52">
            <w:pPr>
              <w:numPr>
                <w:ilvl w:val="0"/>
                <w:numId w:val="107"/>
              </w:numPr>
              <w:spacing w:line="240" w:lineRule="auto"/>
              <w:ind w:left="714" w:hanging="357"/>
              <w:jc w:val="both"/>
              <w:rPr>
                <w:rFonts w:ascii="Times New Roman" w:hAnsi="Times New Roman"/>
                <w:color w:val="000000"/>
              </w:rPr>
            </w:pPr>
            <w:r w:rsidRPr="002D7995">
              <w:rPr>
                <w:rFonts w:ascii="Times New Roman" w:hAnsi="Times New Roman"/>
                <w:color w:val="000000"/>
              </w:rPr>
              <w:t xml:space="preserve">środki z tytułu Zakładowego funduszu świadczeń socjalnych – ZFŚS = 37,5% przeciętnego miesięcznego wynagrodzenia w gospodarce narodowej = </w:t>
            </w:r>
            <w:r w:rsidR="00625162" w:rsidRPr="00625162">
              <w:rPr>
                <w:rFonts w:ascii="Times New Roman" w:hAnsi="Times New Roman"/>
                <w:color w:val="000000"/>
              </w:rPr>
              <w:t>0,375 x 7 212 zł = 2 704,5</w:t>
            </w:r>
            <w:r w:rsidRPr="002D7995">
              <w:rPr>
                <w:rFonts w:ascii="Times New Roman" w:hAnsi="Times New Roman"/>
                <w:color w:val="000000"/>
              </w:rPr>
              <w:t xml:space="preserve"> zł brutto</w:t>
            </w:r>
            <w:r w:rsidR="009113CE">
              <w:rPr>
                <w:rFonts w:ascii="Times New Roman" w:hAnsi="Times New Roman"/>
                <w:color w:val="000000"/>
              </w:rPr>
              <w:t>;</w:t>
            </w:r>
          </w:p>
          <w:p w14:paraId="55D6E0A8" w14:textId="32D1C5DE" w:rsidR="009113CE" w:rsidRPr="00017C52" w:rsidRDefault="009113CE" w:rsidP="00017C52">
            <w:pPr>
              <w:pStyle w:val="Akapitzlist"/>
              <w:numPr>
                <w:ilvl w:val="0"/>
                <w:numId w:val="107"/>
              </w:numPr>
              <w:jc w:val="both"/>
              <w:rPr>
                <w:rFonts w:ascii="Times New Roman" w:hAnsi="Times New Roman"/>
                <w:color w:val="000000"/>
              </w:rPr>
            </w:pPr>
            <w:r w:rsidRPr="009113CE">
              <w:rPr>
                <w:rFonts w:ascii="Times New Roman" w:hAnsi="Times New Roman"/>
                <w:color w:val="000000"/>
              </w:rPr>
              <w:t xml:space="preserve">wskaźnik waloryzacji wynagrodzeń został ustalony </w:t>
            </w:r>
            <w:r w:rsidR="00075DDC">
              <w:rPr>
                <w:rFonts w:ascii="Times New Roman" w:hAnsi="Times New Roman"/>
                <w:color w:val="000000"/>
              </w:rPr>
              <w:t xml:space="preserve">w oparciu o dane dotyczące nominalnej dynamiki płac, </w:t>
            </w:r>
            <w:r>
              <w:rPr>
                <w:rFonts w:ascii="Times New Roman" w:hAnsi="Times New Roman"/>
                <w:color w:val="000000"/>
              </w:rPr>
              <w:t>zgodne</w:t>
            </w:r>
            <w:r w:rsidR="00075DDC">
              <w:rPr>
                <w:rFonts w:ascii="Times New Roman" w:hAnsi="Times New Roman"/>
                <w:color w:val="000000"/>
              </w:rPr>
              <w:t>j</w:t>
            </w:r>
            <w:r>
              <w:rPr>
                <w:rFonts w:ascii="Times New Roman" w:hAnsi="Times New Roman"/>
                <w:color w:val="000000"/>
              </w:rPr>
              <w:t xml:space="preserve"> z w</w:t>
            </w:r>
            <w:r w:rsidRPr="009113CE">
              <w:rPr>
                <w:rFonts w:ascii="Times New Roman" w:hAnsi="Times New Roman"/>
                <w:color w:val="000000"/>
              </w:rPr>
              <w:t>ytyczn</w:t>
            </w:r>
            <w:r>
              <w:rPr>
                <w:rFonts w:ascii="Times New Roman" w:hAnsi="Times New Roman"/>
                <w:color w:val="000000"/>
              </w:rPr>
              <w:t>ymi Ministerstwa Finansów</w:t>
            </w:r>
            <w:r w:rsidRPr="009113CE">
              <w:rPr>
                <w:rFonts w:ascii="Times New Roman" w:hAnsi="Times New Roman"/>
                <w:color w:val="000000"/>
              </w:rPr>
              <w:t xml:space="preserve"> dotycząc</w:t>
            </w:r>
            <w:r>
              <w:rPr>
                <w:rFonts w:ascii="Times New Roman" w:hAnsi="Times New Roman"/>
                <w:color w:val="000000"/>
              </w:rPr>
              <w:t>ymi</w:t>
            </w:r>
            <w:r w:rsidRPr="009113CE">
              <w:rPr>
                <w:rFonts w:ascii="Times New Roman" w:hAnsi="Times New Roman"/>
                <w:color w:val="000000"/>
              </w:rPr>
              <w:t xml:space="preserve"> wskaźników makroekonomicznych</w:t>
            </w:r>
            <w:r w:rsidR="00075DDC">
              <w:rPr>
                <w:rFonts w:ascii="Times New Roman" w:hAnsi="Times New Roman"/>
                <w:color w:val="000000"/>
              </w:rPr>
              <w:t>,</w:t>
            </w:r>
            <w:r>
              <w:rPr>
                <w:rFonts w:ascii="Times New Roman" w:hAnsi="Times New Roman"/>
                <w:color w:val="000000"/>
              </w:rPr>
              <w:t xml:space="preserve"> </w:t>
            </w:r>
            <w:r w:rsidRPr="009113CE">
              <w:rPr>
                <w:rFonts w:ascii="Times New Roman" w:hAnsi="Times New Roman"/>
                <w:color w:val="000000"/>
              </w:rPr>
              <w:t>na poziomie: 1</w:t>
            </w:r>
            <w:r>
              <w:rPr>
                <w:rFonts w:ascii="Times New Roman" w:hAnsi="Times New Roman"/>
                <w:color w:val="000000"/>
              </w:rPr>
              <w:t>0</w:t>
            </w:r>
            <w:r w:rsidR="00075DDC">
              <w:rPr>
                <w:rFonts w:ascii="Times New Roman" w:hAnsi="Times New Roman"/>
                <w:color w:val="000000"/>
              </w:rPr>
              <w:t>5</w:t>
            </w:r>
            <w:r>
              <w:rPr>
                <w:rFonts w:ascii="Times New Roman" w:hAnsi="Times New Roman"/>
                <w:color w:val="000000"/>
              </w:rPr>
              <w:t>,</w:t>
            </w:r>
            <w:r w:rsidR="00075DDC">
              <w:rPr>
                <w:rFonts w:ascii="Times New Roman" w:hAnsi="Times New Roman"/>
                <w:color w:val="000000"/>
              </w:rPr>
              <w:t>8</w:t>
            </w:r>
            <w:r>
              <w:rPr>
                <w:rFonts w:ascii="Times New Roman" w:hAnsi="Times New Roman"/>
                <w:color w:val="000000"/>
              </w:rPr>
              <w:t>%</w:t>
            </w:r>
            <w:r w:rsidRPr="009113CE">
              <w:rPr>
                <w:rFonts w:ascii="Times New Roman" w:hAnsi="Times New Roman"/>
                <w:color w:val="000000"/>
              </w:rPr>
              <w:t xml:space="preserve"> – w 202</w:t>
            </w:r>
            <w:r>
              <w:rPr>
                <w:rFonts w:ascii="Times New Roman" w:hAnsi="Times New Roman"/>
                <w:color w:val="000000"/>
              </w:rPr>
              <w:t>7</w:t>
            </w:r>
            <w:r w:rsidRPr="009113CE">
              <w:rPr>
                <w:rFonts w:ascii="Times New Roman" w:hAnsi="Times New Roman"/>
                <w:color w:val="000000"/>
              </w:rPr>
              <w:t xml:space="preserve"> r., 1</w:t>
            </w:r>
            <w:r>
              <w:rPr>
                <w:rFonts w:ascii="Times New Roman" w:hAnsi="Times New Roman"/>
                <w:color w:val="000000"/>
              </w:rPr>
              <w:t>0</w:t>
            </w:r>
            <w:r w:rsidR="00075DDC">
              <w:rPr>
                <w:rFonts w:ascii="Times New Roman" w:hAnsi="Times New Roman"/>
                <w:color w:val="000000"/>
              </w:rPr>
              <w:t>5</w:t>
            </w:r>
            <w:r>
              <w:rPr>
                <w:rFonts w:ascii="Times New Roman" w:hAnsi="Times New Roman"/>
                <w:color w:val="000000"/>
              </w:rPr>
              <w:t>,</w:t>
            </w:r>
            <w:r w:rsidR="00075DDC">
              <w:rPr>
                <w:rFonts w:ascii="Times New Roman" w:hAnsi="Times New Roman"/>
                <w:color w:val="000000"/>
              </w:rPr>
              <w:t>3</w:t>
            </w:r>
            <w:r>
              <w:rPr>
                <w:rFonts w:ascii="Times New Roman" w:hAnsi="Times New Roman"/>
                <w:color w:val="000000"/>
              </w:rPr>
              <w:t>%</w:t>
            </w:r>
            <w:r w:rsidRPr="009113CE">
              <w:rPr>
                <w:rFonts w:ascii="Times New Roman" w:hAnsi="Times New Roman"/>
                <w:color w:val="000000"/>
              </w:rPr>
              <w:t xml:space="preserve"> – w </w:t>
            </w:r>
            <w:r w:rsidR="00075DDC">
              <w:rPr>
                <w:rFonts w:ascii="Times New Roman" w:hAnsi="Times New Roman"/>
                <w:color w:val="000000"/>
              </w:rPr>
              <w:t xml:space="preserve">latach </w:t>
            </w:r>
            <w:r w:rsidRPr="009113CE">
              <w:rPr>
                <w:rFonts w:ascii="Times New Roman" w:hAnsi="Times New Roman"/>
                <w:color w:val="000000"/>
              </w:rPr>
              <w:t>2028</w:t>
            </w:r>
            <w:r w:rsidR="00075DDC">
              <w:rPr>
                <w:rFonts w:ascii="Times New Roman" w:hAnsi="Times New Roman"/>
                <w:color w:val="000000"/>
              </w:rPr>
              <w:t>-</w:t>
            </w:r>
            <w:r w:rsidRPr="009113CE">
              <w:rPr>
                <w:rFonts w:ascii="Times New Roman" w:hAnsi="Times New Roman"/>
                <w:color w:val="000000"/>
              </w:rPr>
              <w:t>2029</w:t>
            </w:r>
            <w:r w:rsidR="00075DDC">
              <w:rPr>
                <w:rFonts w:ascii="Times New Roman" w:hAnsi="Times New Roman"/>
                <w:color w:val="000000"/>
              </w:rPr>
              <w:t xml:space="preserve">, 105,2% </w:t>
            </w:r>
            <w:r w:rsidR="00075DDC" w:rsidRPr="00075DDC">
              <w:rPr>
                <w:rFonts w:ascii="Times New Roman" w:hAnsi="Times New Roman"/>
                <w:color w:val="000000"/>
              </w:rPr>
              <w:t>–</w:t>
            </w:r>
            <w:r w:rsidR="00075DDC">
              <w:rPr>
                <w:rFonts w:ascii="Times New Roman" w:hAnsi="Times New Roman"/>
                <w:color w:val="000000"/>
              </w:rPr>
              <w:t xml:space="preserve"> w latach </w:t>
            </w:r>
            <w:r w:rsidRPr="009113CE">
              <w:rPr>
                <w:rFonts w:ascii="Times New Roman" w:hAnsi="Times New Roman"/>
                <w:color w:val="000000"/>
              </w:rPr>
              <w:t>2030</w:t>
            </w:r>
            <w:r w:rsidR="00075DDC">
              <w:rPr>
                <w:rFonts w:ascii="Times New Roman" w:hAnsi="Times New Roman"/>
                <w:color w:val="000000"/>
              </w:rPr>
              <w:t>-2031</w:t>
            </w:r>
            <w:r w:rsidRPr="009113CE">
              <w:rPr>
                <w:rFonts w:ascii="Times New Roman" w:hAnsi="Times New Roman"/>
                <w:color w:val="000000"/>
              </w:rPr>
              <w:t>,</w:t>
            </w:r>
            <w:r w:rsidR="00075DDC">
              <w:rPr>
                <w:rFonts w:ascii="Times New Roman" w:hAnsi="Times New Roman"/>
                <w:color w:val="000000"/>
              </w:rPr>
              <w:t xml:space="preserve"> </w:t>
            </w:r>
            <w:r w:rsidRPr="009113CE">
              <w:rPr>
                <w:rFonts w:ascii="Times New Roman" w:hAnsi="Times New Roman"/>
                <w:color w:val="000000"/>
              </w:rPr>
              <w:t>10</w:t>
            </w:r>
            <w:r w:rsidR="00075DDC">
              <w:rPr>
                <w:rFonts w:ascii="Times New Roman" w:hAnsi="Times New Roman"/>
                <w:color w:val="000000"/>
              </w:rPr>
              <w:t>5</w:t>
            </w:r>
            <w:r>
              <w:rPr>
                <w:rFonts w:ascii="Times New Roman" w:hAnsi="Times New Roman"/>
                <w:color w:val="000000"/>
              </w:rPr>
              <w:t>,</w:t>
            </w:r>
            <w:r w:rsidR="00075DDC">
              <w:rPr>
                <w:rFonts w:ascii="Times New Roman" w:hAnsi="Times New Roman"/>
                <w:color w:val="000000"/>
              </w:rPr>
              <w:t>1</w:t>
            </w:r>
            <w:r>
              <w:rPr>
                <w:rFonts w:ascii="Times New Roman" w:hAnsi="Times New Roman"/>
                <w:color w:val="000000"/>
              </w:rPr>
              <w:t>%</w:t>
            </w:r>
            <w:r w:rsidRPr="009113CE">
              <w:rPr>
                <w:rFonts w:ascii="Times New Roman" w:hAnsi="Times New Roman"/>
                <w:color w:val="000000"/>
              </w:rPr>
              <w:t xml:space="preserve"> – w 2032</w:t>
            </w:r>
            <w:r w:rsidR="00075DDC">
              <w:rPr>
                <w:rFonts w:ascii="Times New Roman" w:hAnsi="Times New Roman"/>
                <w:color w:val="000000"/>
              </w:rPr>
              <w:t xml:space="preserve"> r. oraz</w:t>
            </w:r>
            <w:r w:rsidRPr="009113CE">
              <w:rPr>
                <w:rFonts w:ascii="Times New Roman" w:hAnsi="Times New Roman"/>
                <w:color w:val="000000"/>
              </w:rPr>
              <w:t xml:space="preserve"> 1</w:t>
            </w:r>
            <w:r>
              <w:rPr>
                <w:rFonts w:ascii="Times New Roman" w:hAnsi="Times New Roman"/>
                <w:color w:val="000000"/>
              </w:rPr>
              <w:t>0</w:t>
            </w:r>
            <w:r w:rsidR="00075DDC">
              <w:rPr>
                <w:rFonts w:ascii="Times New Roman" w:hAnsi="Times New Roman"/>
                <w:color w:val="000000"/>
              </w:rPr>
              <w:t>5</w:t>
            </w:r>
            <w:r>
              <w:rPr>
                <w:rFonts w:ascii="Times New Roman" w:hAnsi="Times New Roman"/>
                <w:color w:val="000000"/>
              </w:rPr>
              <w:t>,</w:t>
            </w:r>
            <w:r w:rsidR="00075DDC">
              <w:rPr>
                <w:rFonts w:ascii="Times New Roman" w:hAnsi="Times New Roman"/>
                <w:color w:val="000000"/>
              </w:rPr>
              <w:t>0</w:t>
            </w:r>
            <w:r>
              <w:rPr>
                <w:rFonts w:ascii="Times New Roman" w:hAnsi="Times New Roman"/>
                <w:color w:val="000000"/>
              </w:rPr>
              <w:t>%</w:t>
            </w:r>
            <w:r w:rsidRPr="009113CE">
              <w:rPr>
                <w:rFonts w:ascii="Times New Roman" w:hAnsi="Times New Roman"/>
                <w:color w:val="000000"/>
              </w:rPr>
              <w:t xml:space="preserve"> – w </w:t>
            </w:r>
            <w:r>
              <w:rPr>
                <w:rFonts w:ascii="Times New Roman" w:hAnsi="Times New Roman"/>
                <w:color w:val="000000"/>
              </w:rPr>
              <w:t xml:space="preserve">latach </w:t>
            </w:r>
            <w:r w:rsidRPr="009113CE">
              <w:rPr>
                <w:rFonts w:ascii="Times New Roman" w:hAnsi="Times New Roman"/>
                <w:color w:val="000000"/>
              </w:rPr>
              <w:t>203</w:t>
            </w:r>
            <w:r w:rsidR="00075DDC">
              <w:rPr>
                <w:rFonts w:ascii="Times New Roman" w:hAnsi="Times New Roman"/>
                <w:color w:val="000000"/>
              </w:rPr>
              <w:t>3</w:t>
            </w:r>
            <w:r>
              <w:rPr>
                <w:rFonts w:ascii="Times New Roman" w:hAnsi="Times New Roman"/>
                <w:color w:val="000000"/>
              </w:rPr>
              <w:t>-2035</w:t>
            </w:r>
            <w:r w:rsidRPr="009113CE">
              <w:rPr>
                <w:rFonts w:ascii="Times New Roman" w:hAnsi="Times New Roman"/>
                <w:color w:val="000000"/>
              </w:rPr>
              <w:t>.</w:t>
            </w:r>
          </w:p>
          <w:p w14:paraId="22E6BA3E" w14:textId="77777777" w:rsidR="002D7995" w:rsidRPr="002D7995" w:rsidRDefault="002D7995" w:rsidP="00DD284D">
            <w:pPr>
              <w:spacing w:before="120" w:after="120" w:line="240" w:lineRule="auto"/>
              <w:ind w:left="720"/>
              <w:contextualSpacing/>
              <w:jc w:val="both"/>
              <w:rPr>
                <w:rFonts w:ascii="Times New Roman" w:hAnsi="Times New Roman"/>
                <w:color w:val="000000"/>
              </w:rPr>
            </w:pPr>
          </w:p>
          <w:p w14:paraId="267BD231" w14:textId="2B8DC559" w:rsidR="00A41BE2" w:rsidRDefault="00A41BE2" w:rsidP="00DD284D">
            <w:pPr>
              <w:spacing w:before="120" w:after="120" w:line="240" w:lineRule="auto"/>
              <w:jc w:val="both"/>
              <w:rPr>
                <w:rFonts w:ascii="Times New Roman" w:hAnsi="Times New Roman"/>
                <w:color w:val="000000"/>
              </w:rPr>
            </w:pPr>
            <w:r w:rsidRPr="00A41BE2">
              <w:rPr>
                <w:rFonts w:ascii="Times New Roman" w:hAnsi="Times New Roman"/>
                <w:color w:val="000000"/>
              </w:rPr>
              <w:t xml:space="preserve">Skutki uruchomienia nowego </w:t>
            </w:r>
            <w:r w:rsidRPr="00A41BE2">
              <w:rPr>
                <w:rFonts w:ascii="Times New Roman" w:hAnsi="Times New Roman"/>
                <w:b/>
                <w:bCs/>
                <w:color w:val="000000"/>
              </w:rPr>
              <w:t>jednego (1) etatu</w:t>
            </w:r>
            <w:r w:rsidRPr="00A41BE2">
              <w:rPr>
                <w:rFonts w:ascii="Times New Roman" w:hAnsi="Times New Roman"/>
                <w:color w:val="000000"/>
              </w:rPr>
              <w:t xml:space="preserve"> w korpusie służby cywilnej w okresie kolejnych 12 miesięcy = </w:t>
            </w:r>
            <w:r w:rsidR="009E3172" w:rsidRPr="009E3172">
              <w:rPr>
                <w:rFonts w:ascii="Times New Roman" w:hAnsi="Times New Roman"/>
                <w:color w:val="000000"/>
              </w:rPr>
              <w:t>116 767,34</w:t>
            </w:r>
            <w:r w:rsidR="009E3172">
              <w:rPr>
                <w:rFonts w:ascii="Times New Roman" w:hAnsi="Times New Roman"/>
                <w:color w:val="000000"/>
              </w:rPr>
              <w:t xml:space="preserve"> zł </w:t>
            </w:r>
            <w:r w:rsidRPr="00A41BE2">
              <w:rPr>
                <w:rFonts w:ascii="Times New Roman" w:hAnsi="Times New Roman"/>
                <w:color w:val="000000"/>
              </w:rPr>
              <w:t xml:space="preserve"> brutto + waloryzacja</w:t>
            </w:r>
            <w:r w:rsidR="002D7995">
              <w:rPr>
                <w:rFonts w:ascii="Times New Roman" w:hAnsi="Times New Roman"/>
                <w:color w:val="000000"/>
              </w:rPr>
              <w:t>.</w:t>
            </w:r>
          </w:p>
          <w:p w14:paraId="24B4C867" w14:textId="075CF2E2" w:rsidR="00444322" w:rsidRPr="00E72FB9" w:rsidRDefault="00444322" w:rsidP="00444322">
            <w:pPr>
              <w:spacing w:before="120" w:after="120" w:line="240" w:lineRule="auto"/>
              <w:jc w:val="both"/>
              <w:rPr>
                <w:rFonts w:ascii="Times New Roman" w:hAnsi="Times New Roman"/>
                <w:b/>
                <w:bCs/>
                <w:color w:val="000000"/>
              </w:rPr>
            </w:pPr>
            <w:r>
              <w:rPr>
                <w:rFonts w:ascii="Times New Roman" w:hAnsi="Times New Roman"/>
                <w:b/>
                <w:bCs/>
                <w:color w:val="000000"/>
              </w:rPr>
              <w:t>Z</w:t>
            </w:r>
            <w:r w:rsidRPr="00E72FB9">
              <w:rPr>
                <w:rFonts w:ascii="Times New Roman" w:hAnsi="Times New Roman"/>
                <w:b/>
                <w:bCs/>
                <w:color w:val="000000"/>
              </w:rPr>
              <w:t xml:space="preserve">wolnienie z opłaty rocznej za grunty pokryte wodami Skarbu Państwa stref ochronnych </w:t>
            </w:r>
            <w:r w:rsidR="00944BCE" w:rsidRPr="00E72FB9">
              <w:rPr>
                <w:rFonts w:ascii="Times New Roman" w:hAnsi="Times New Roman"/>
                <w:b/>
                <w:bCs/>
                <w:color w:val="000000"/>
              </w:rPr>
              <w:t>i</w:t>
            </w:r>
            <w:r w:rsidR="00944BCE">
              <w:rPr>
                <w:rFonts w:ascii="Times New Roman" w:hAnsi="Times New Roman"/>
                <w:b/>
                <w:bCs/>
                <w:color w:val="000000"/>
              </w:rPr>
              <w:t> </w:t>
            </w:r>
            <w:r w:rsidRPr="00E72FB9">
              <w:rPr>
                <w:rFonts w:ascii="Times New Roman" w:hAnsi="Times New Roman"/>
                <w:b/>
                <w:bCs/>
                <w:color w:val="000000"/>
              </w:rPr>
              <w:t>stref bezpieczeństwa dla kabli MFW</w:t>
            </w:r>
          </w:p>
          <w:p w14:paraId="7E485000" w14:textId="77777777" w:rsidR="00401DD9" w:rsidRDefault="00401DD9" w:rsidP="000B6FD6">
            <w:pPr>
              <w:spacing w:before="120" w:after="120" w:line="240" w:lineRule="auto"/>
              <w:jc w:val="both"/>
              <w:rPr>
                <w:rFonts w:ascii="Times New Roman" w:hAnsi="Times New Roman"/>
              </w:rPr>
            </w:pPr>
            <w:r>
              <w:rPr>
                <w:rFonts w:ascii="Times New Roman" w:hAnsi="Times New Roman"/>
                <w:color w:val="000000"/>
              </w:rPr>
              <w:t xml:space="preserve">Jednocześnie jak powyżej wskazano zwolnienie z opłaty rocznej </w:t>
            </w:r>
            <w:r w:rsidRPr="00401DD9">
              <w:rPr>
                <w:rFonts w:ascii="Times New Roman" w:hAnsi="Times New Roman"/>
                <w:color w:val="000000"/>
              </w:rPr>
              <w:t xml:space="preserve">za grunty pokryte wodami Skarbu Państwa stref ochronnych i stref bezpieczeństwa dla kabli MFW </w:t>
            </w:r>
            <w:r>
              <w:rPr>
                <w:rFonts w:ascii="Times New Roman" w:hAnsi="Times New Roman"/>
                <w:color w:val="000000"/>
              </w:rPr>
              <w:t xml:space="preserve">będzie dotyczyło </w:t>
            </w:r>
            <w:r w:rsidRPr="00E72FB9">
              <w:rPr>
                <w:rFonts w:ascii="Times New Roman" w:hAnsi="Times New Roman"/>
                <w:i/>
                <w:iCs/>
                <w:color w:val="000000"/>
              </w:rPr>
              <w:t xml:space="preserve">de facto </w:t>
            </w:r>
            <w:r>
              <w:rPr>
                <w:rFonts w:ascii="Times New Roman" w:hAnsi="Times New Roman"/>
                <w:color w:val="000000"/>
              </w:rPr>
              <w:t xml:space="preserve">obiektów zlokalizowanych w odległości </w:t>
            </w:r>
            <w:r w:rsidRPr="00401DD9">
              <w:rPr>
                <w:rFonts w:ascii="Times New Roman" w:hAnsi="Times New Roman"/>
                <w:color w:val="000000"/>
              </w:rPr>
              <w:t>22 224 m</w:t>
            </w:r>
            <w:r>
              <w:rPr>
                <w:rFonts w:ascii="Times New Roman" w:hAnsi="Times New Roman"/>
                <w:color w:val="000000"/>
              </w:rPr>
              <w:t xml:space="preserve"> od linii podstawowej. </w:t>
            </w:r>
            <w:r w:rsidRPr="00401DD9">
              <w:rPr>
                <w:rFonts w:ascii="Times New Roman" w:hAnsi="Times New Roman"/>
                <w:color w:val="000000"/>
              </w:rPr>
              <w:t xml:space="preserve">Zgodnie </w:t>
            </w:r>
            <w:r>
              <w:rPr>
                <w:rFonts w:ascii="Times New Roman" w:hAnsi="Times New Roman"/>
                <w:color w:val="000000"/>
              </w:rPr>
              <w:t xml:space="preserve">bowiem </w:t>
            </w:r>
            <w:r w:rsidRPr="00401DD9">
              <w:rPr>
                <w:rFonts w:ascii="Times New Roman" w:hAnsi="Times New Roman"/>
                <w:color w:val="000000"/>
              </w:rPr>
              <w:t>z § 2 ust. 1 pkt 6 lit. aa rozporządzenia</w:t>
            </w:r>
            <w:r>
              <w:t xml:space="preserve"> </w:t>
            </w:r>
            <w:r w:rsidRPr="00401DD9">
              <w:rPr>
                <w:rFonts w:ascii="Times New Roman" w:hAnsi="Times New Roman"/>
                <w:color w:val="000000"/>
              </w:rPr>
              <w:t xml:space="preserve">Rady Ministrów z dnia 28 grudnia 2017 r. w sprawie wysokości jednostkowych stawek opłaty rocznej za użytkowanie gruntów pokrytych wodami, </w:t>
            </w:r>
            <w:r w:rsidR="000B6FD6">
              <w:rPr>
                <w:rFonts w:ascii="Times New Roman" w:hAnsi="Times New Roman"/>
                <w:color w:val="000000"/>
              </w:rPr>
              <w:t xml:space="preserve">opłata dotyczy </w:t>
            </w:r>
            <w:r w:rsidRPr="00401DD9">
              <w:rPr>
                <w:rFonts w:ascii="Times New Roman" w:hAnsi="Times New Roman"/>
                <w:color w:val="000000"/>
              </w:rPr>
              <w:t>układani</w:t>
            </w:r>
            <w:r w:rsidR="000B6FD6">
              <w:rPr>
                <w:rFonts w:ascii="Times New Roman" w:hAnsi="Times New Roman"/>
                <w:color w:val="000000"/>
              </w:rPr>
              <w:t>a</w:t>
            </w:r>
            <w:r w:rsidRPr="00401DD9">
              <w:rPr>
                <w:rFonts w:ascii="Times New Roman" w:hAnsi="Times New Roman"/>
                <w:color w:val="000000"/>
              </w:rPr>
              <w:t xml:space="preserve"> i utrzymywani</w:t>
            </w:r>
            <w:r w:rsidR="000B6FD6">
              <w:rPr>
                <w:rFonts w:ascii="Times New Roman" w:hAnsi="Times New Roman"/>
                <w:color w:val="000000"/>
              </w:rPr>
              <w:t>a</w:t>
            </w:r>
            <w:r w:rsidRPr="00401DD9">
              <w:rPr>
                <w:rFonts w:ascii="Times New Roman" w:hAnsi="Times New Roman"/>
                <w:color w:val="000000"/>
              </w:rPr>
              <w:t xml:space="preserve"> kabli </w:t>
            </w:r>
            <w:r w:rsidR="000B6FD6">
              <w:rPr>
                <w:rFonts w:ascii="Times New Roman" w:hAnsi="Times New Roman"/>
                <w:color w:val="000000"/>
              </w:rPr>
              <w:t xml:space="preserve">jedynie </w:t>
            </w:r>
            <w:r w:rsidRPr="00401DD9">
              <w:rPr>
                <w:rFonts w:ascii="Times New Roman" w:hAnsi="Times New Roman"/>
                <w:color w:val="000000"/>
              </w:rPr>
              <w:t>na obszarach morskich wód wewnętrznych i morza terytorialnego</w:t>
            </w:r>
            <w:r w:rsidR="000B6FD6">
              <w:rPr>
                <w:rFonts w:ascii="Times New Roman" w:hAnsi="Times New Roman"/>
                <w:color w:val="000000"/>
              </w:rPr>
              <w:t xml:space="preserve">. Zwolnienie odnosi się do stref ochronnych oraz stref bezpieczeństwa ustanawianych na podstawie </w:t>
            </w:r>
            <w:r w:rsidR="000B6FD6" w:rsidRPr="000B6FD6">
              <w:rPr>
                <w:rFonts w:ascii="Times New Roman" w:hAnsi="Times New Roman"/>
                <w:color w:val="000000"/>
              </w:rPr>
              <w:t>art. 24 ustawy z dnia 21 marca 1991 r. o obszarach morskich Rzeczypospolitej Polskiej i administracji morskiej</w:t>
            </w:r>
            <w:r w:rsidR="000B6FD6">
              <w:t xml:space="preserve"> </w:t>
            </w:r>
            <w:r w:rsidR="000B6FD6" w:rsidRPr="000B6FD6">
              <w:rPr>
                <w:rFonts w:ascii="Times New Roman" w:hAnsi="Times New Roman"/>
                <w:color w:val="000000"/>
              </w:rPr>
              <w:t>przez dyrektora urzędu morskiego nie dalej niż 500 m od każdego punktu ich zewnętrznej krawędzi, chyba że inny zasięg strefy jest dozwolony przez powszechnie przyjęte standardy międzynarodowe lub zalecony przez właściwą organizację międzynarodową.</w:t>
            </w:r>
            <w:r w:rsidR="000B6FD6">
              <w:rPr>
                <w:rFonts w:ascii="Times New Roman" w:hAnsi="Times New Roman"/>
                <w:color w:val="000000"/>
              </w:rPr>
              <w:t xml:space="preserve"> Wyliczenie więc całościowego wpływu przedmiotowej regulacji na budżet państwa (wg stawki </w:t>
            </w:r>
            <w:r w:rsidR="000B6FD6" w:rsidRPr="000B6FD6">
              <w:rPr>
                <w:rFonts w:ascii="Times New Roman" w:hAnsi="Times New Roman"/>
                <w:color w:val="000000"/>
              </w:rPr>
              <w:t>0,02 zł za 1 m2</w:t>
            </w:r>
            <w:r w:rsidR="000B6FD6">
              <w:rPr>
                <w:rFonts w:ascii="Times New Roman" w:hAnsi="Times New Roman"/>
                <w:color w:val="000000"/>
              </w:rPr>
              <w:t>) wymaga określenia powierzchni tych obszarów</w:t>
            </w:r>
            <w:r w:rsidR="000B6FD6">
              <w:t xml:space="preserve">, </w:t>
            </w:r>
            <w:r w:rsidR="000B6FD6">
              <w:rPr>
                <w:rFonts w:ascii="Times New Roman" w:hAnsi="Times New Roman"/>
              </w:rPr>
              <w:t xml:space="preserve">co na chwilę obecną nie jest znane. </w:t>
            </w:r>
          </w:p>
          <w:p w14:paraId="371E4D33" w14:textId="7D2A84C9" w:rsidR="00444322" w:rsidRPr="00E72FB9" w:rsidRDefault="00444322" w:rsidP="000B6FD6">
            <w:pPr>
              <w:spacing w:before="120" w:after="120" w:line="240" w:lineRule="auto"/>
              <w:jc w:val="both"/>
              <w:rPr>
                <w:rFonts w:ascii="Times New Roman" w:hAnsi="Times New Roman"/>
                <w:b/>
                <w:bCs/>
              </w:rPr>
            </w:pPr>
            <w:r>
              <w:rPr>
                <w:rFonts w:ascii="Times New Roman" w:hAnsi="Times New Roman"/>
                <w:b/>
                <w:bCs/>
                <w:color w:val="000000"/>
              </w:rPr>
              <w:t>W</w:t>
            </w:r>
            <w:r w:rsidRPr="00E72FB9">
              <w:rPr>
                <w:rFonts w:ascii="Times New Roman" w:hAnsi="Times New Roman"/>
                <w:b/>
                <w:bCs/>
                <w:color w:val="000000"/>
              </w:rPr>
              <w:t>aloryzacj</w:t>
            </w:r>
            <w:r>
              <w:rPr>
                <w:rFonts w:ascii="Times New Roman" w:hAnsi="Times New Roman"/>
                <w:b/>
                <w:bCs/>
                <w:color w:val="000000"/>
              </w:rPr>
              <w:t>a</w:t>
            </w:r>
            <w:r w:rsidRPr="00E72FB9">
              <w:rPr>
                <w:rFonts w:ascii="Times New Roman" w:hAnsi="Times New Roman"/>
                <w:b/>
                <w:bCs/>
                <w:color w:val="000000"/>
              </w:rPr>
              <w:t xml:space="preserve"> wsparcia w przypadku przyznania prawa do pokrycia ujemnego salda na zasadach określonych w rozdziale 4</w:t>
            </w:r>
          </w:p>
          <w:p w14:paraId="3D5C4A0D" w14:textId="77777777" w:rsidR="00C026EB" w:rsidRDefault="00C026EB" w:rsidP="000B6FD6">
            <w:pPr>
              <w:spacing w:before="120" w:after="120" w:line="240" w:lineRule="auto"/>
              <w:jc w:val="both"/>
              <w:rPr>
                <w:rFonts w:ascii="Times New Roman" w:hAnsi="Times New Roman"/>
                <w:color w:val="000000"/>
              </w:rPr>
            </w:pPr>
            <w:r>
              <w:rPr>
                <w:rFonts w:ascii="Times New Roman" w:hAnsi="Times New Roman"/>
                <w:color w:val="000000"/>
              </w:rPr>
              <w:t xml:space="preserve">Jeżeli chodzi o zmianę sposobu </w:t>
            </w:r>
            <w:r w:rsidRPr="00C026EB">
              <w:rPr>
                <w:rFonts w:ascii="Times New Roman" w:hAnsi="Times New Roman"/>
                <w:color w:val="000000"/>
              </w:rPr>
              <w:t>waloryzacji wsparcia w przypadku przyznania prawa do pokrycia ujemnego salda na zasadach określonych w rozdziale 4 poprzez wprowadzenie rozwiązania polegającego na ustaleniu tunelu waloryzacyjnego ograniczonego od góry celem inflacyjnym przyjętym przez Radę Polityki Pieniężnej</w:t>
            </w:r>
            <w:r w:rsidR="001A2664">
              <w:rPr>
                <w:rFonts w:ascii="Times New Roman" w:hAnsi="Times New Roman"/>
                <w:color w:val="000000"/>
              </w:rPr>
              <w:t xml:space="preserve"> to na chwilę obecną trudno jest określić wpływ przedmiotowej regulacji na budżet państwa (jeżeli to takowym w ogóle może być mowa, gdyż zagadnienie to dotyczy c</w:t>
            </w:r>
            <w:r w:rsidR="001A2664" w:rsidRPr="001A2664">
              <w:rPr>
                <w:rFonts w:ascii="Times New Roman" w:hAnsi="Times New Roman"/>
                <w:color w:val="000000"/>
              </w:rPr>
              <w:t>en</w:t>
            </w:r>
            <w:r w:rsidR="001A2664">
              <w:rPr>
                <w:rFonts w:ascii="Times New Roman" w:hAnsi="Times New Roman"/>
                <w:color w:val="000000"/>
              </w:rPr>
              <w:t>y</w:t>
            </w:r>
            <w:r w:rsidR="001A2664" w:rsidRPr="001A2664">
              <w:rPr>
                <w:rFonts w:ascii="Times New Roman" w:hAnsi="Times New Roman"/>
                <w:color w:val="000000"/>
              </w:rPr>
              <w:t xml:space="preserve"> wskazan</w:t>
            </w:r>
            <w:r w:rsidR="001A2664">
              <w:rPr>
                <w:rFonts w:ascii="Times New Roman" w:hAnsi="Times New Roman"/>
                <w:color w:val="000000"/>
              </w:rPr>
              <w:t>ej</w:t>
            </w:r>
            <w:r w:rsidR="001A2664" w:rsidRPr="001A2664">
              <w:rPr>
                <w:rFonts w:ascii="Times New Roman" w:hAnsi="Times New Roman"/>
                <w:color w:val="000000"/>
              </w:rPr>
              <w:t xml:space="preserve"> w decyzji, o której mowa w art. 18 ust. 1, albo z decyzji zmieniającej tę decyzję na podstawie art. 20 ust. 5, albo wynikając</w:t>
            </w:r>
            <w:r w:rsidR="001A2664">
              <w:rPr>
                <w:rFonts w:ascii="Times New Roman" w:hAnsi="Times New Roman"/>
                <w:color w:val="000000"/>
              </w:rPr>
              <w:t>ej</w:t>
            </w:r>
            <w:r w:rsidR="001A2664" w:rsidRPr="001A2664">
              <w:rPr>
                <w:rFonts w:ascii="Times New Roman" w:hAnsi="Times New Roman"/>
                <w:color w:val="000000"/>
              </w:rPr>
              <w:t xml:space="preserve"> z oferty, o której mowa w art. 31 ust. 1, albo cen</w:t>
            </w:r>
            <w:r w:rsidR="001A2664">
              <w:rPr>
                <w:rFonts w:ascii="Times New Roman" w:hAnsi="Times New Roman"/>
                <w:color w:val="000000"/>
              </w:rPr>
              <w:t>y</w:t>
            </w:r>
            <w:r w:rsidR="001A2664" w:rsidRPr="001A2664">
              <w:rPr>
                <w:rFonts w:ascii="Times New Roman" w:hAnsi="Times New Roman"/>
                <w:color w:val="000000"/>
              </w:rPr>
              <w:t xml:space="preserve"> skorygowan</w:t>
            </w:r>
            <w:r w:rsidR="001A2664">
              <w:rPr>
                <w:rFonts w:ascii="Times New Roman" w:hAnsi="Times New Roman"/>
                <w:color w:val="000000"/>
              </w:rPr>
              <w:t>ej</w:t>
            </w:r>
            <w:r w:rsidR="001A2664" w:rsidRPr="001A2664">
              <w:rPr>
                <w:rFonts w:ascii="Times New Roman" w:hAnsi="Times New Roman"/>
                <w:color w:val="000000"/>
              </w:rPr>
              <w:t>, o której mowa w art. 11 ust. 3, a także cen</w:t>
            </w:r>
            <w:r w:rsidR="001A2664">
              <w:rPr>
                <w:rFonts w:ascii="Times New Roman" w:hAnsi="Times New Roman"/>
                <w:color w:val="000000"/>
              </w:rPr>
              <w:t>y</w:t>
            </w:r>
            <w:r w:rsidR="001A2664" w:rsidRPr="001A2664">
              <w:rPr>
                <w:rFonts w:ascii="Times New Roman" w:hAnsi="Times New Roman"/>
                <w:color w:val="000000"/>
              </w:rPr>
              <w:t xml:space="preserve"> skorygowan</w:t>
            </w:r>
            <w:r w:rsidR="001A2664">
              <w:rPr>
                <w:rFonts w:ascii="Times New Roman" w:hAnsi="Times New Roman"/>
                <w:color w:val="000000"/>
              </w:rPr>
              <w:t>ej</w:t>
            </w:r>
            <w:r w:rsidR="001A2664" w:rsidRPr="001A2664">
              <w:rPr>
                <w:rFonts w:ascii="Times New Roman" w:hAnsi="Times New Roman"/>
                <w:color w:val="000000"/>
              </w:rPr>
              <w:t>, o której mowa w art. 10 ust. 4 i 6</w:t>
            </w:r>
            <w:r w:rsidR="001A2664">
              <w:rPr>
                <w:rFonts w:ascii="Times New Roman" w:hAnsi="Times New Roman"/>
                <w:color w:val="000000"/>
              </w:rPr>
              <w:t xml:space="preserve"> ustawy offshore wind). Proponowana regulacja odnosi się bowiem do sytuacji, w której </w:t>
            </w:r>
            <w:r w:rsidR="001A2664" w:rsidRPr="001A2664">
              <w:rPr>
                <w:rFonts w:ascii="Times New Roman" w:hAnsi="Times New Roman"/>
                <w:color w:val="000000"/>
              </w:rPr>
              <w:t>wskaźnik cen towarów i usług konsumpcyjnych</w:t>
            </w:r>
            <w:r w:rsidR="001A2664">
              <w:rPr>
                <w:rFonts w:ascii="Times New Roman" w:hAnsi="Times New Roman"/>
                <w:color w:val="000000"/>
              </w:rPr>
              <w:t xml:space="preserve"> </w:t>
            </w:r>
            <w:r w:rsidR="001A2664" w:rsidRPr="00E72FB9">
              <w:rPr>
                <w:rFonts w:ascii="Times New Roman" w:hAnsi="Times New Roman"/>
                <w:b/>
                <w:bCs/>
                <w:color w:val="000000"/>
              </w:rPr>
              <w:t>z poprzedniego roku kalendarzowego</w:t>
            </w:r>
            <w:r w:rsidR="001A2664" w:rsidRPr="001A2664">
              <w:rPr>
                <w:rFonts w:ascii="Times New Roman" w:hAnsi="Times New Roman"/>
                <w:color w:val="000000"/>
              </w:rPr>
              <w:t xml:space="preserve"> przekracza wartość średniookresowego celu inflacyjnego określonego przez Radę Polityki Pieniężnej w założeniach polityki pieniężnej</w:t>
            </w:r>
            <w:r w:rsidR="001A2664">
              <w:rPr>
                <w:rFonts w:ascii="Times New Roman" w:hAnsi="Times New Roman"/>
                <w:color w:val="000000"/>
              </w:rPr>
              <w:t>.</w:t>
            </w:r>
          </w:p>
          <w:p w14:paraId="6C1DF9CF" w14:textId="1893A9AD" w:rsidR="00444322" w:rsidRPr="00E72FB9" w:rsidRDefault="00444322" w:rsidP="000B6FD6">
            <w:pPr>
              <w:spacing w:before="120" w:after="120" w:line="240" w:lineRule="auto"/>
              <w:jc w:val="both"/>
              <w:rPr>
                <w:rFonts w:ascii="Times New Roman" w:hAnsi="Times New Roman"/>
                <w:b/>
                <w:bCs/>
                <w:color w:val="000000"/>
              </w:rPr>
            </w:pPr>
            <w:r w:rsidRPr="00E72FB9">
              <w:rPr>
                <w:rFonts w:ascii="Times New Roman" w:hAnsi="Times New Roman"/>
                <w:b/>
                <w:bCs/>
                <w:color w:val="000000"/>
              </w:rPr>
              <w:t>Redysponowanie MFW</w:t>
            </w:r>
          </w:p>
          <w:p w14:paraId="56D3E99D" w14:textId="2ED68150" w:rsidR="001A2664" w:rsidRPr="00E72FB9" w:rsidRDefault="002369B7" w:rsidP="000B6FD6">
            <w:pPr>
              <w:spacing w:before="120" w:after="120" w:line="240" w:lineRule="auto"/>
              <w:jc w:val="both"/>
              <w:rPr>
                <w:rFonts w:ascii="Times New Roman" w:hAnsi="Times New Roman"/>
                <w:color w:val="000000"/>
              </w:rPr>
            </w:pPr>
            <w:r>
              <w:rPr>
                <w:rFonts w:ascii="Times New Roman" w:hAnsi="Times New Roman"/>
                <w:color w:val="000000"/>
              </w:rPr>
              <w:t>Podobnie przedstawia się sytuacja</w:t>
            </w:r>
            <w:r w:rsidRPr="002369B7">
              <w:rPr>
                <w:rFonts w:ascii="Times New Roman" w:hAnsi="Times New Roman"/>
                <w:color w:val="000000"/>
              </w:rPr>
              <w:t xml:space="preserve"> rynkowego redysponowania MFW w okresie, w którym operator systemu przesyłowego elektroenergetycznego nie gwarantuje pełnego wyprowadzenia mocy, </w:t>
            </w:r>
            <w:r>
              <w:rPr>
                <w:rFonts w:ascii="Times New Roman" w:hAnsi="Times New Roman"/>
                <w:color w:val="000000"/>
              </w:rPr>
              <w:t xml:space="preserve">dzięki czemu </w:t>
            </w:r>
            <w:r w:rsidRPr="002369B7">
              <w:rPr>
                <w:rFonts w:ascii="Times New Roman" w:hAnsi="Times New Roman"/>
                <w:color w:val="000000"/>
              </w:rPr>
              <w:t>wytwórca będzie miał możliwość uzyskania od Zarządcy Rozliczeń prawa do pokrycia ujemnego salda jako formy rekompensaty za ograniczenie produkcji w wyniku redysponowania.</w:t>
            </w:r>
            <w:r w:rsidR="00721501">
              <w:rPr>
                <w:rFonts w:ascii="Times New Roman" w:hAnsi="Times New Roman"/>
                <w:color w:val="000000"/>
              </w:rPr>
              <w:t xml:space="preserve"> Jest to utrzymanie intencji</w:t>
            </w:r>
            <w:r w:rsidR="00721501" w:rsidRPr="00721501">
              <w:rPr>
                <w:rFonts w:ascii="Times New Roman" w:hAnsi="Times New Roman"/>
                <w:color w:val="000000"/>
              </w:rPr>
              <w:t xml:space="preserve"> ustawodawc</w:t>
            </w:r>
            <w:r w:rsidR="00721501">
              <w:rPr>
                <w:rFonts w:ascii="Times New Roman" w:hAnsi="Times New Roman"/>
                <w:color w:val="000000"/>
              </w:rPr>
              <w:t>y</w:t>
            </w:r>
            <w:r w:rsidR="00721501" w:rsidRPr="00721501">
              <w:rPr>
                <w:rFonts w:ascii="Times New Roman" w:hAnsi="Times New Roman"/>
                <w:color w:val="000000"/>
              </w:rPr>
              <w:t xml:space="preserve"> dotycząc</w:t>
            </w:r>
            <w:r w:rsidR="00721501">
              <w:rPr>
                <w:rFonts w:ascii="Times New Roman" w:hAnsi="Times New Roman"/>
                <w:color w:val="000000"/>
              </w:rPr>
              <w:t>ej</w:t>
            </w:r>
            <w:r w:rsidR="00721501" w:rsidRPr="00721501">
              <w:rPr>
                <w:rFonts w:ascii="Times New Roman" w:hAnsi="Times New Roman"/>
                <w:color w:val="000000"/>
              </w:rPr>
              <w:t xml:space="preserve"> zagwarantowania MFW </w:t>
            </w:r>
            <w:r w:rsidR="00721501" w:rsidRPr="00721501">
              <w:rPr>
                <w:rFonts w:ascii="Times New Roman" w:hAnsi="Times New Roman"/>
                <w:color w:val="000000"/>
              </w:rPr>
              <w:lastRenderedPageBreak/>
              <w:t>formy rekompensaty (prawa do pokrycia ujemnego salda od Zarządcy Rozliczeń) z tytułu ograniczania produkcji MFW w wyniku redysponowania</w:t>
            </w:r>
            <w:r w:rsidR="00721501">
              <w:rPr>
                <w:rFonts w:ascii="Times New Roman" w:hAnsi="Times New Roman"/>
                <w:color w:val="000000"/>
              </w:rPr>
              <w:t xml:space="preserve"> rynkowego.</w:t>
            </w:r>
          </w:p>
        </w:tc>
      </w:tr>
      <w:tr w:rsidR="00830ACC" w:rsidRPr="00A87B3A" w14:paraId="77418C16" w14:textId="77777777" w:rsidTr="00676C8D">
        <w:trPr>
          <w:gridAfter w:val="1"/>
          <w:wAfter w:w="10" w:type="dxa"/>
          <w:trHeight w:val="345"/>
        </w:trPr>
        <w:tc>
          <w:tcPr>
            <w:tcW w:w="10937" w:type="dxa"/>
            <w:gridSpan w:val="27"/>
            <w:shd w:val="clear" w:color="auto" w:fill="99CCFF"/>
          </w:tcPr>
          <w:p w14:paraId="53657B8C" w14:textId="77777777" w:rsidR="00830ACC" w:rsidRPr="00A87B3A" w:rsidRDefault="00830ACC" w:rsidP="00830ACC">
            <w:pPr>
              <w:numPr>
                <w:ilvl w:val="0"/>
                <w:numId w:val="3"/>
              </w:numPr>
              <w:spacing w:line="240" w:lineRule="auto"/>
              <w:jc w:val="both"/>
              <w:rPr>
                <w:rFonts w:ascii="Times New Roman" w:hAnsi="Times New Roman"/>
                <w:b/>
                <w:color w:val="000000"/>
                <w:spacing w:val="-2"/>
              </w:rPr>
            </w:pPr>
            <w:r w:rsidRPr="00A87B3A">
              <w:rPr>
                <w:rFonts w:ascii="Times New Roman" w:hAnsi="Times New Roman"/>
                <w:b/>
                <w:color w:val="000000"/>
                <w:spacing w:val="-2"/>
              </w:rPr>
              <w:lastRenderedPageBreak/>
              <w:t xml:space="preserve">Wpływ na </w:t>
            </w:r>
            <w:r w:rsidRPr="00A87B3A">
              <w:rPr>
                <w:rFonts w:ascii="Times New Roman" w:hAnsi="Times New Roman"/>
                <w:b/>
                <w:color w:val="000000"/>
              </w:rPr>
              <w:t xml:space="preserve">konkurencyjność gospodarki i przedsiębiorczość, w tym funkcjonowanie przedsiębiorców oraz na rodzinę, obywateli i gospodarstwa domowe </w:t>
            </w:r>
          </w:p>
        </w:tc>
      </w:tr>
      <w:tr w:rsidR="00830ACC" w:rsidRPr="00A87B3A" w14:paraId="56DB6F52" w14:textId="77777777" w:rsidTr="00676C8D">
        <w:trPr>
          <w:gridAfter w:val="1"/>
          <w:wAfter w:w="10" w:type="dxa"/>
          <w:trHeight w:val="142"/>
        </w:trPr>
        <w:tc>
          <w:tcPr>
            <w:tcW w:w="10937" w:type="dxa"/>
            <w:gridSpan w:val="27"/>
            <w:shd w:val="clear" w:color="auto" w:fill="FFFFFF"/>
          </w:tcPr>
          <w:p w14:paraId="28A82D37" w14:textId="77777777" w:rsidR="00830ACC" w:rsidRPr="00A87B3A" w:rsidRDefault="00830ACC" w:rsidP="00830ACC">
            <w:pPr>
              <w:spacing w:line="240" w:lineRule="auto"/>
              <w:jc w:val="center"/>
              <w:rPr>
                <w:rFonts w:ascii="Times New Roman" w:hAnsi="Times New Roman"/>
                <w:color w:val="000000"/>
                <w:spacing w:val="-2"/>
              </w:rPr>
            </w:pPr>
            <w:r w:rsidRPr="00A87B3A">
              <w:rPr>
                <w:rFonts w:ascii="Times New Roman" w:hAnsi="Times New Roman"/>
                <w:color w:val="000000"/>
                <w:spacing w:val="-2"/>
              </w:rPr>
              <w:t>Skutki</w:t>
            </w:r>
          </w:p>
        </w:tc>
      </w:tr>
      <w:tr w:rsidR="00830ACC" w:rsidRPr="00A87B3A" w14:paraId="0C0C1E25" w14:textId="77777777" w:rsidTr="007B2A24">
        <w:trPr>
          <w:gridAfter w:val="1"/>
          <w:wAfter w:w="10" w:type="dxa"/>
          <w:trHeight w:val="142"/>
        </w:trPr>
        <w:tc>
          <w:tcPr>
            <w:tcW w:w="3889" w:type="dxa"/>
            <w:gridSpan w:val="7"/>
            <w:shd w:val="clear" w:color="auto" w:fill="FFFFFF"/>
          </w:tcPr>
          <w:p w14:paraId="3B4A7C8C"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t>Czas w latach od wejścia w życie zmian</w:t>
            </w:r>
          </w:p>
        </w:tc>
        <w:tc>
          <w:tcPr>
            <w:tcW w:w="960" w:type="dxa"/>
            <w:gridSpan w:val="2"/>
            <w:shd w:val="clear" w:color="auto" w:fill="FFFFFF"/>
          </w:tcPr>
          <w:p w14:paraId="3398E5F2"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0</w:t>
            </w:r>
          </w:p>
        </w:tc>
        <w:tc>
          <w:tcPr>
            <w:tcW w:w="915" w:type="dxa"/>
            <w:gridSpan w:val="4"/>
            <w:shd w:val="clear" w:color="auto" w:fill="FFFFFF"/>
          </w:tcPr>
          <w:p w14:paraId="0BBA3BA6"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1</w:t>
            </w:r>
          </w:p>
        </w:tc>
        <w:tc>
          <w:tcPr>
            <w:tcW w:w="938" w:type="dxa"/>
            <w:gridSpan w:val="4"/>
            <w:shd w:val="clear" w:color="auto" w:fill="FFFFFF"/>
          </w:tcPr>
          <w:p w14:paraId="028F14C4"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2</w:t>
            </w:r>
          </w:p>
        </w:tc>
        <w:tc>
          <w:tcPr>
            <w:tcW w:w="937" w:type="dxa"/>
            <w:gridSpan w:val="3"/>
            <w:shd w:val="clear" w:color="auto" w:fill="FFFFFF"/>
          </w:tcPr>
          <w:p w14:paraId="461C654A"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3</w:t>
            </w:r>
          </w:p>
        </w:tc>
        <w:tc>
          <w:tcPr>
            <w:tcW w:w="938" w:type="dxa"/>
            <w:gridSpan w:val="4"/>
            <w:shd w:val="clear" w:color="auto" w:fill="FFFFFF"/>
          </w:tcPr>
          <w:p w14:paraId="4A66A9AB"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5</w:t>
            </w:r>
          </w:p>
        </w:tc>
        <w:tc>
          <w:tcPr>
            <w:tcW w:w="1233" w:type="dxa"/>
            <w:gridSpan w:val="2"/>
            <w:shd w:val="clear" w:color="auto" w:fill="FFFFFF"/>
          </w:tcPr>
          <w:p w14:paraId="5F87D12C" w14:textId="77777777" w:rsidR="00830ACC" w:rsidRPr="00A87B3A" w:rsidRDefault="00830ACC" w:rsidP="00830ACC">
            <w:pPr>
              <w:spacing w:line="240" w:lineRule="auto"/>
              <w:jc w:val="center"/>
              <w:rPr>
                <w:rFonts w:ascii="Times New Roman" w:hAnsi="Times New Roman"/>
                <w:color w:val="000000"/>
              </w:rPr>
            </w:pPr>
            <w:r w:rsidRPr="00A87B3A">
              <w:rPr>
                <w:rFonts w:ascii="Times New Roman" w:hAnsi="Times New Roman"/>
                <w:color w:val="000000"/>
              </w:rPr>
              <w:t>10</w:t>
            </w:r>
          </w:p>
        </w:tc>
        <w:tc>
          <w:tcPr>
            <w:tcW w:w="1127" w:type="dxa"/>
            <w:shd w:val="clear" w:color="auto" w:fill="FFFFFF"/>
          </w:tcPr>
          <w:p w14:paraId="78706CD5" w14:textId="77777777" w:rsidR="00830ACC" w:rsidRPr="00A87B3A" w:rsidRDefault="00830ACC" w:rsidP="00830ACC">
            <w:pPr>
              <w:spacing w:line="240" w:lineRule="auto"/>
              <w:jc w:val="center"/>
              <w:rPr>
                <w:rFonts w:ascii="Times New Roman" w:hAnsi="Times New Roman"/>
                <w:i/>
                <w:color w:val="000000"/>
                <w:spacing w:val="-2"/>
              </w:rPr>
            </w:pPr>
            <w:r w:rsidRPr="00A87B3A">
              <w:rPr>
                <w:rFonts w:ascii="Times New Roman" w:hAnsi="Times New Roman"/>
                <w:i/>
                <w:color w:val="000000"/>
                <w:spacing w:val="-2"/>
              </w:rPr>
              <w:t>Łącznie</w:t>
            </w:r>
            <w:r w:rsidRPr="00A87B3A" w:rsidDel="0073273A">
              <w:rPr>
                <w:rFonts w:ascii="Times New Roman" w:hAnsi="Times New Roman"/>
                <w:i/>
                <w:color w:val="000000"/>
                <w:spacing w:val="-2"/>
              </w:rPr>
              <w:t xml:space="preserve"> </w:t>
            </w:r>
            <w:r w:rsidRPr="00A87B3A">
              <w:rPr>
                <w:rFonts w:ascii="Times New Roman" w:hAnsi="Times New Roman"/>
                <w:i/>
                <w:color w:val="000000"/>
                <w:spacing w:val="-2"/>
              </w:rPr>
              <w:t>(0-10)</w:t>
            </w:r>
          </w:p>
        </w:tc>
      </w:tr>
      <w:tr w:rsidR="00830ACC" w:rsidRPr="00A87B3A" w14:paraId="39BC1B40" w14:textId="77777777" w:rsidTr="007B2A24">
        <w:trPr>
          <w:gridAfter w:val="1"/>
          <w:wAfter w:w="10" w:type="dxa"/>
          <w:trHeight w:val="142"/>
        </w:trPr>
        <w:tc>
          <w:tcPr>
            <w:tcW w:w="1596" w:type="dxa"/>
            <w:vMerge w:val="restart"/>
            <w:shd w:val="clear" w:color="auto" w:fill="FFFFFF"/>
          </w:tcPr>
          <w:p w14:paraId="47ED212C"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t>W ujęciu pieniężnym</w:t>
            </w:r>
          </w:p>
          <w:p w14:paraId="6F1E6382" w14:textId="77777777" w:rsidR="00830ACC" w:rsidRPr="00A87B3A" w:rsidRDefault="00830ACC" w:rsidP="00830ACC">
            <w:pPr>
              <w:spacing w:line="240" w:lineRule="auto"/>
              <w:rPr>
                <w:rFonts w:ascii="Times New Roman" w:hAnsi="Times New Roman"/>
                <w:spacing w:val="-2"/>
              </w:rPr>
            </w:pPr>
            <w:r w:rsidRPr="00A87B3A">
              <w:rPr>
                <w:rFonts w:ascii="Times New Roman" w:hAnsi="Times New Roman"/>
                <w:spacing w:val="-2"/>
              </w:rPr>
              <w:t xml:space="preserve">(w mln zł, </w:t>
            </w:r>
          </w:p>
          <w:p w14:paraId="7BDC59D9" w14:textId="52D6CA41" w:rsidR="00830ACC" w:rsidRPr="00A87B3A" w:rsidRDefault="00830ACC" w:rsidP="00830ACC">
            <w:pPr>
              <w:spacing w:line="240" w:lineRule="auto"/>
              <w:rPr>
                <w:rFonts w:ascii="Times New Roman" w:hAnsi="Times New Roman"/>
                <w:color w:val="000000"/>
              </w:rPr>
            </w:pPr>
            <w:r w:rsidRPr="00A87B3A">
              <w:rPr>
                <w:rFonts w:ascii="Times New Roman" w:hAnsi="Times New Roman"/>
                <w:spacing w:val="-2"/>
              </w:rPr>
              <w:t>ceny stałe z …… r.)</w:t>
            </w:r>
          </w:p>
        </w:tc>
        <w:tc>
          <w:tcPr>
            <w:tcW w:w="2293" w:type="dxa"/>
            <w:gridSpan w:val="6"/>
            <w:shd w:val="clear" w:color="auto" w:fill="FFFFFF"/>
          </w:tcPr>
          <w:p w14:paraId="4F6FE220"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t>duże przedsiębiorstwa</w:t>
            </w:r>
          </w:p>
        </w:tc>
        <w:tc>
          <w:tcPr>
            <w:tcW w:w="960" w:type="dxa"/>
            <w:gridSpan w:val="2"/>
            <w:shd w:val="clear" w:color="auto" w:fill="FFFFFF"/>
          </w:tcPr>
          <w:p w14:paraId="1242CF0D" w14:textId="31EB5830"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15" w:type="dxa"/>
            <w:gridSpan w:val="4"/>
            <w:shd w:val="clear" w:color="auto" w:fill="FFFFFF"/>
          </w:tcPr>
          <w:p w14:paraId="280DEF01" w14:textId="79C14C25"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3996C591" w14:textId="25E78F4C"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7" w:type="dxa"/>
            <w:gridSpan w:val="3"/>
            <w:shd w:val="clear" w:color="auto" w:fill="FFFFFF"/>
          </w:tcPr>
          <w:p w14:paraId="68261B19" w14:textId="308714BC"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18EA7C9B" w14:textId="2F2C8A76"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233" w:type="dxa"/>
            <w:gridSpan w:val="2"/>
            <w:shd w:val="clear" w:color="auto" w:fill="FFFFFF"/>
          </w:tcPr>
          <w:p w14:paraId="76BAF6B6" w14:textId="128430B2"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127" w:type="dxa"/>
            <w:shd w:val="clear" w:color="auto" w:fill="FFFFFF"/>
          </w:tcPr>
          <w:p w14:paraId="7D978AFE" w14:textId="3828DA8B" w:rsidR="00830ACC" w:rsidRPr="00A87B3A" w:rsidRDefault="00830ACC" w:rsidP="00830ACC">
            <w:pPr>
              <w:spacing w:line="240" w:lineRule="auto"/>
              <w:rPr>
                <w:rFonts w:ascii="Times New Roman" w:hAnsi="Times New Roman"/>
                <w:color w:val="000000"/>
                <w:spacing w:val="-2"/>
              </w:rPr>
            </w:pPr>
            <w:r>
              <w:rPr>
                <w:rFonts w:ascii="Times New Roman" w:hAnsi="Times New Roman"/>
                <w:color w:val="000000"/>
                <w:spacing w:val="-2"/>
              </w:rPr>
              <w:t>0</w:t>
            </w:r>
          </w:p>
        </w:tc>
      </w:tr>
      <w:tr w:rsidR="00830ACC" w:rsidRPr="00A87B3A" w14:paraId="3199E7B4" w14:textId="77777777" w:rsidTr="007B2A24">
        <w:trPr>
          <w:gridAfter w:val="1"/>
          <w:wAfter w:w="10" w:type="dxa"/>
          <w:trHeight w:val="142"/>
        </w:trPr>
        <w:tc>
          <w:tcPr>
            <w:tcW w:w="1596" w:type="dxa"/>
            <w:vMerge/>
            <w:shd w:val="clear" w:color="auto" w:fill="FFFFFF"/>
          </w:tcPr>
          <w:p w14:paraId="006E2C2A" w14:textId="77777777" w:rsidR="00830ACC" w:rsidRPr="00A87B3A" w:rsidRDefault="00830ACC" w:rsidP="00830ACC">
            <w:pPr>
              <w:spacing w:line="240" w:lineRule="auto"/>
              <w:rPr>
                <w:rFonts w:ascii="Times New Roman" w:hAnsi="Times New Roman"/>
                <w:color w:val="000000"/>
              </w:rPr>
            </w:pPr>
          </w:p>
        </w:tc>
        <w:tc>
          <w:tcPr>
            <w:tcW w:w="2293" w:type="dxa"/>
            <w:gridSpan w:val="6"/>
            <w:shd w:val="clear" w:color="auto" w:fill="FFFFFF"/>
          </w:tcPr>
          <w:p w14:paraId="1DA0E66E"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t>sektor mikro-, małych i średnich przedsiębiorstw</w:t>
            </w:r>
          </w:p>
        </w:tc>
        <w:tc>
          <w:tcPr>
            <w:tcW w:w="960" w:type="dxa"/>
            <w:gridSpan w:val="2"/>
            <w:shd w:val="clear" w:color="auto" w:fill="FFFFFF"/>
          </w:tcPr>
          <w:p w14:paraId="40B4D304" w14:textId="7E4CEC8F"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15" w:type="dxa"/>
            <w:gridSpan w:val="4"/>
            <w:shd w:val="clear" w:color="auto" w:fill="FFFFFF"/>
          </w:tcPr>
          <w:p w14:paraId="7410299D" w14:textId="6F2F9914"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2B19566F" w14:textId="6D0912FD"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7" w:type="dxa"/>
            <w:gridSpan w:val="3"/>
            <w:shd w:val="clear" w:color="auto" w:fill="FFFFFF"/>
          </w:tcPr>
          <w:p w14:paraId="0615B778" w14:textId="6CCC377D"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0A2C3397" w14:textId="309FA485"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233" w:type="dxa"/>
            <w:gridSpan w:val="2"/>
            <w:shd w:val="clear" w:color="auto" w:fill="FFFFFF"/>
          </w:tcPr>
          <w:p w14:paraId="5CC3D5C9" w14:textId="5231875D"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127" w:type="dxa"/>
            <w:shd w:val="clear" w:color="auto" w:fill="FFFFFF"/>
          </w:tcPr>
          <w:p w14:paraId="5FED671F" w14:textId="7848BA58" w:rsidR="00830ACC" w:rsidRPr="00A87B3A" w:rsidRDefault="00830ACC" w:rsidP="00830ACC">
            <w:pPr>
              <w:spacing w:line="240" w:lineRule="auto"/>
              <w:rPr>
                <w:rFonts w:ascii="Times New Roman" w:hAnsi="Times New Roman"/>
                <w:color w:val="000000"/>
                <w:spacing w:val="-2"/>
              </w:rPr>
            </w:pPr>
            <w:r>
              <w:rPr>
                <w:rFonts w:ascii="Times New Roman" w:hAnsi="Times New Roman"/>
                <w:color w:val="000000"/>
                <w:spacing w:val="-2"/>
              </w:rPr>
              <w:t>0</w:t>
            </w:r>
          </w:p>
        </w:tc>
      </w:tr>
      <w:tr w:rsidR="00830ACC" w:rsidRPr="00A87B3A" w14:paraId="4EB06198" w14:textId="77777777" w:rsidTr="007B2A24">
        <w:trPr>
          <w:gridAfter w:val="1"/>
          <w:wAfter w:w="10" w:type="dxa"/>
          <w:trHeight w:val="142"/>
        </w:trPr>
        <w:tc>
          <w:tcPr>
            <w:tcW w:w="1596" w:type="dxa"/>
            <w:vMerge/>
            <w:shd w:val="clear" w:color="auto" w:fill="FFFFFF"/>
          </w:tcPr>
          <w:p w14:paraId="785ABD41" w14:textId="77777777" w:rsidR="00830ACC" w:rsidRPr="00A87B3A" w:rsidRDefault="00830ACC" w:rsidP="00830ACC">
            <w:pPr>
              <w:spacing w:line="240" w:lineRule="auto"/>
              <w:rPr>
                <w:rFonts w:ascii="Times New Roman" w:hAnsi="Times New Roman"/>
                <w:color w:val="000000"/>
              </w:rPr>
            </w:pPr>
          </w:p>
        </w:tc>
        <w:tc>
          <w:tcPr>
            <w:tcW w:w="2293" w:type="dxa"/>
            <w:gridSpan w:val="6"/>
            <w:shd w:val="clear" w:color="auto" w:fill="FFFFFF"/>
          </w:tcPr>
          <w:p w14:paraId="4C1B50C9"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rPr>
              <w:t>rodzina, obywatele oraz gospodarstwa domowe</w:t>
            </w:r>
          </w:p>
        </w:tc>
        <w:tc>
          <w:tcPr>
            <w:tcW w:w="960" w:type="dxa"/>
            <w:gridSpan w:val="2"/>
            <w:shd w:val="clear" w:color="auto" w:fill="FFFFFF"/>
          </w:tcPr>
          <w:p w14:paraId="4EF717B2" w14:textId="3B1BD11B"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15" w:type="dxa"/>
            <w:gridSpan w:val="4"/>
            <w:shd w:val="clear" w:color="auto" w:fill="FFFFFF"/>
          </w:tcPr>
          <w:p w14:paraId="7854D7FC" w14:textId="402745D5"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69EED3F5" w14:textId="74A79DDF"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7" w:type="dxa"/>
            <w:gridSpan w:val="3"/>
            <w:shd w:val="clear" w:color="auto" w:fill="FFFFFF"/>
          </w:tcPr>
          <w:p w14:paraId="0A465020" w14:textId="7BDE4DD5"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467C813D" w14:textId="10D877EE"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233" w:type="dxa"/>
            <w:gridSpan w:val="2"/>
            <w:shd w:val="clear" w:color="auto" w:fill="FFFFFF"/>
          </w:tcPr>
          <w:p w14:paraId="3176E20B" w14:textId="3DAB2370"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127" w:type="dxa"/>
            <w:shd w:val="clear" w:color="auto" w:fill="FFFFFF"/>
          </w:tcPr>
          <w:p w14:paraId="38CA9484" w14:textId="046B181D" w:rsidR="00830ACC" w:rsidRPr="00A87B3A" w:rsidRDefault="00830ACC" w:rsidP="00830ACC">
            <w:pPr>
              <w:spacing w:line="240" w:lineRule="auto"/>
              <w:rPr>
                <w:rFonts w:ascii="Times New Roman" w:hAnsi="Times New Roman"/>
                <w:color w:val="000000"/>
                <w:spacing w:val="-2"/>
              </w:rPr>
            </w:pPr>
            <w:r>
              <w:rPr>
                <w:rFonts w:ascii="Times New Roman" w:hAnsi="Times New Roman"/>
                <w:color w:val="000000"/>
                <w:spacing w:val="-2"/>
              </w:rPr>
              <w:t>0</w:t>
            </w:r>
          </w:p>
        </w:tc>
      </w:tr>
      <w:tr w:rsidR="00830ACC" w:rsidRPr="00A87B3A" w14:paraId="094EC534" w14:textId="77777777" w:rsidTr="007B2A24">
        <w:trPr>
          <w:gridAfter w:val="1"/>
          <w:wAfter w:w="10" w:type="dxa"/>
          <w:trHeight w:val="142"/>
        </w:trPr>
        <w:tc>
          <w:tcPr>
            <w:tcW w:w="1596" w:type="dxa"/>
            <w:vMerge/>
            <w:shd w:val="clear" w:color="auto" w:fill="FFFFFF"/>
          </w:tcPr>
          <w:p w14:paraId="411276E6" w14:textId="77777777" w:rsidR="00830ACC" w:rsidRPr="00A87B3A" w:rsidRDefault="00830ACC" w:rsidP="00830ACC">
            <w:pPr>
              <w:spacing w:line="240" w:lineRule="auto"/>
              <w:rPr>
                <w:rFonts w:ascii="Times New Roman" w:hAnsi="Times New Roman"/>
                <w:color w:val="000000"/>
              </w:rPr>
            </w:pPr>
          </w:p>
        </w:tc>
        <w:tc>
          <w:tcPr>
            <w:tcW w:w="2293" w:type="dxa"/>
            <w:gridSpan w:val="6"/>
            <w:shd w:val="clear" w:color="auto" w:fill="FFFFFF"/>
          </w:tcPr>
          <w:p w14:paraId="7C6824FA" w14:textId="7200214E" w:rsidR="00830ACC" w:rsidRPr="00A87B3A" w:rsidRDefault="00830ACC" w:rsidP="00830ACC">
            <w:pPr>
              <w:spacing w:line="240" w:lineRule="auto"/>
              <w:rPr>
                <w:rFonts w:ascii="Times New Roman" w:hAnsi="Times New Roman"/>
              </w:rPr>
            </w:pPr>
            <w:r w:rsidRPr="003453D3">
              <w:rPr>
                <w:rFonts w:ascii="Times New Roman" w:hAnsi="Times New Roman"/>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osoby niepełnosprawne oraz osoby starsze"/>
                    <w:maxLength w:val="1000"/>
                  </w:textInput>
                </w:ffData>
              </w:fldChar>
            </w:r>
            <w:r w:rsidRPr="003453D3">
              <w:rPr>
                <w:rFonts w:ascii="Times New Roman" w:hAnsi="Times New Roman"/>
              </w:rPr>
              <w:instrText xml:space="preserve"> FORMTEXT </w:instrText>
            </w:r>
            <w:r w:rsidRPr="003453D3">
              <w:rPr>
                <w:rFonts w:ascii="Times New Roman" w:hAnsi="Times New Roman"/>
              </w:rPr>
            </w:r>
            <w:r w:rsidRPr="003453D3">
              <w:rPr>
                <w:rFonts w:ascii="Times New Roman" w:hAnsi="Times New Roman"/>
              </w:rPr>
              <w:fldChar w:fldCharType="separate"/>
            </w:r>
            <w:r w:rsidRPr="003453D3">
              <w:rPr>
                <w:rFonts w:ascii="Times New Roman" w:hAnsi="Times New Roman"/>
              </w:rPr>
              <w:t>osoby niepełnosprawne oraz osoby starsze</w:t>
            </w:r>
            <w:r w:rsidRPr="003453D3">
              <w:rPr>
                <w:rFonts w:ascii="Times New Roman" w:hAnsi="Times New Roman"/>
              </w:rPr>
              <w:fldChar w:fldCharType="end"/>
            </w:r>
          </w:p>
        </w:tc>
        <w:tc>
          <w:tcPr>
            <w:tcW w:w="960" w:type="dxa"/>
            <w:gridSpan w:val="2"/>
            <w:shd w:val="clear" w:color="auto" w:fill="FFFFFF"/>
          </w:tcPr>
          <w:p w14:paraId="425F7957" w14:textId="1D6222DF"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15" w:type="dxa"/>
            <w:gridSpan w:val="4"/>
            <w:shd w:val="clear" w:color="auto" w:fill="FFFFFF"/>
          </w:tcPr>
          <w:p w14:paraId="63BED572" w14:textId="1AB55E18"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2B0F6443" w14:textId="0B3EB990"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7" w:type="dxa"/>
            <w:gridSpan w:val="3"/>
            <w:shd w:val="clear" w:color="auto" w:fill="FFFFFF"/>
          </w:tcPr>
          <w:p w14:paraId="08861CC2" w14:textId="7C5E19E6"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938" w:type="dxa"/>
            <w:gridSpan w:val="4"/>
            <w:shd w:val="clear" w:color="auto" w:fill="FFFFFF"/>
          </w:tcPr>
          <w:p w14:paraId="1C09FDB8" w14:textId="0318C1D8"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233" w:type="dxa"/>
            <w:gridSpan w:val="2"/>
            <w:shd w:val="clear" w:color="auto" w:fill="FFFFFF"/>
          </w:tcPr>
          <w:p w14:paraId="46573B02" w14:textId="4D2E1A97" w:rsidR="00830ACC" w:rsidRPr="00A87B3A" w:rsidRDefault="00830ACC" w:rsidP="00830ACC">
            <w:pPr>
              <w:spacing w:line="240" w:lineRule="auto"/>
              <w:rPr>
                <w:rFonts w:ascii="Times New Roman" w:hAnsi="Times New Roman"/>
                <w:color w:val="000000"/>
              </w:rPr>
            </w:pPr>
            <w:r>
              <w:rPr>
                <w:rFonts w:ascii="Times New Roman" w:hAnsi="Times New Roman"/>
                <w:color w:val="000000"/>
              </w:rPr>
              <w:t>0</w:t>
            </w:r>
          </w:p>
        </w:tc>
        <w:tc>
          <w:tcPr>
            <w:tcW w:w="1127" w:type="dxa"/>
            <w:shd w:val="clear" w:color="auto" w:fill="FFFFFF"/>
          </w:tcPr>
          <w:p w14:paraId="1B7F9A4A" w14:textId="60754AD1" w:rsidR="00830ACC" w:rsidRPr="00A87B3A" w:rsidRDefault="00830ACC" w:rsidP="00830ACC">
            <w:pPr>
              <w:spacing w:line="240" w:lineRule="auto"/>
              <w:rPr>
                <w:rFonts w:ascii="Times New Roman" w:hAnsi="Times New Roman"/>
                <w:color w:val="000000"/>
                <w:spacing w:val="-2"/>
              </w:rPr>
            </w:pPr>
            <w:r>
              <w:rPr>
                <w:rFonts w:ascii="Times New Roman" w:hAnsi="Times New Roman"/>
                <w:color w:val="000000"/>
                <w:spacing w:val="-2"/>
              </w:rPr>
              <w:t>0</w:t>
            </w:r>
          </w:p>
        </w:tc>
      </w:tr>
      <w:tr w:rsidR="00830ACC" w:rsidRPr="00A87B3A" w14:paraId="0DE943C2" w14:textId="77777777" w:rsidTr="007B2A24">
        <w:trPr>
          <w:gridAfter w:val="1"/>
          <w:wAfter w:w="10" w:type="dxa"/>
          <w:trHeight w:val="142"/>
        </w:trPr>
        <w:tc>
          <w:tcPr>
            <w:tcW w:w="1596" w:type="dxa"/>
            <w:vMerge/>
            <w:shd w:val="clear" w:color="auto" w:fill="FFFFFF"/>
          </w:tcPr>
          <w:p w14:paraId="5F9CF5A9" w14:textId="77777777" w:rsidR="00830ACC" w:rsidRPr="00A87B3A" w:rsidRDefault="00830ACC" w:rsidP="00830ACC">
            <w:pPr>
              <w:spacing w:line="240" w:lineRule="auto"/>
              <w:rPr>
                <w:rFonts w:ascii="Times New Roman" w:hAnsi="Times New Roman"/>
                <w:color w:val="000000"/>
              </w:rPr>
            </w:pPr>
          </w:p>
        </w:tc>
        <w:tc>
          <w:tcPr>
            <w:tcW w:w="2293" w:type="dxa"/>
            <w:gridSpan w:val="6"/>
            <w:shd w:val="clear" w:color="auto" w:fill="FFFFFF"/>
          </w:tcPr>
          <w:p w14:paraId="23892E63"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(dodaj/usuń)</w:t>
            </w:r>
            <w:r w:rsidRPr="00A87B3A">
              <w:rPr>
                <w:rFonts w:ascii="Times New Roman" w:hAnsi="Times New Roman"/>
                <w:color w:val="000000"/>
              </w:rPr>
              <w:fldChar w:fldCharType="end"/>
            </w:r>
          </w:p>
        </w:tc>
        <w:tc>
          <w:tcPr>
            <w:tcW w:w="960" w:type="dxa"/>
            <w:gridSpan w:val="2"/>
            <w:shd w:val="clear" w:color="auto" w:fill="FFFFFF"/>
          </w:tcPr>
          <w:p w14:paraId="60C54535" w14:textId="77777777" w:rsidR="00830ACC" w:rsidRPr="00A87B3A" w:rsidRDefault="00830ACC" w:rsidP="00830ACC">
            <w:pPr>
              <w:spacing w:line="240" w:lineRule="auto"/>
              <w:rPr>
                <w:rFonts w:ascii="Times New Roman" w:hAnsi="Times New Roman"/>
                <w:color w:val="000000"/>
              </w:rPr>
            </w:pPr>
          </w:p>
        </w:tc>
        <w:tc>
          <w:tcPr>
            <w:tcW w:w="915" w:type="dxa"/>
            <w:gridSpan w:val="4"/>
            <w:shd w:val="clear" w:color="auto" w:fill="FFFFFF"/>
          </w:tcPr>
          <w:p w14:paraId="0AFCF9C5" w14:textId="77777777" w:rsidR="00830ACC" w:rsidRPr="00A87B3A" w:rsidRDefault="00830ACC" w:rsidP="00830ACC">
            <w:pPr>
              <w:spacing w:line="240" w:lineRule="auto"/>
              <w:rPr>
                <w:rFonts w:ascii="Times New Roman" w:hAnsi="Times New Roman"/>
                <w:color w:val="000000"/>
              </w:rPr>
            </w:pPr>
          </w:p>
        </w:tc>
        <w:tc>
          <w:tcPr>
            <w:tcW w:w="938" w:type="dxa"/>
            <w:gridSpan w:val="4"/>
            <w:shd w:val="clear" w:color="auto" w:fill="FFFFFF"/>
          </w:tcPr>
          <w:p w14:paraId="2606A32E" w14:textId="77777777" w:rsidR="00830ACC" w:rsidRPr="00A87B3A" w:rsidRDefault="00830ACC" w:rsidP="00830ACC">
            <w:pPr>
              <w:spacing w:line="240" w:lineRule="auto"/>
              <w:rPr>
                <w:rFonts w:ascii="Times New Roman" w:hAnsi="Times New Roman"/>
                <w:color w:val="000000"/>
              </w:rPr>
            </w:pPr>
          </w:p>
        </w:tc>
        <w:tc>
          <w:tcPr>
            <w:tcW w:w="937" w:type="dxa"/>
            <w:gridSpan w:val="3"/>
            <w:shd w:val="clear" w:color="auto" w:fill="FFFFFF"/>
          </w:tcPr>
          <w:p w14:paraId="67AEE06B" w14:textId="77777777" w:rsidR="00830ACC" w:rsidRPr="00A87B3A" w:rsidRDefault="00830ACC" w:rsidP="00830ACC">
            <w:pPr>
              <w:spacing w:line="240" w:lineRule="auto"/>
              <w:rPr>
                <w:rFonts w:ascii="Times New Roman" w:hAnsi="Times New Roman"/>
                <w:color w:val="000000"/>
              </w:rPr>
            </w:pPr>
          </w:p>
        </w:tc>
        <w:tc>
          <w:tcPr>
            <w:tcW w:w="938" w:type="dxa"/>
            <w:gridSpan w:val="4"/>
            <w:shd w:val="clear" w:color="auto" w:fill="FFFFFF"/>
          </w:tcPr>
          <w:p w14:paraId="3AE4585D" w14:textId="77777777" w:rsidR="00830ACC" w:rsidRPr="00A87B3A" w:rsidRDefault="00830ACC" w:rsidP="00830ACC">
            <w:pPr>
              <w:spacing w:line="240" w:lineRule="auto"/>
              <w:rPr>
                <w:rFonts w:ascii="Times New Roman" w:hAnsi="Times New Roman"/>
                <w:color w:val="000000"/>
              </w:rPr>
            </w:pPr>
          </w:p>
        </w:tc>
        <w:tc>
          <w:tcPr>
            <w:tcW w:w="1233" w:type="dxa"/>
            <w:gridSpan w:val="2"/>
            <w:shd w:val="clear" w:color="auto" w:fill="FFFFFF"/>
          </w:tcPr>
          <w:p w14:paraId="651ECC69" w14:textId="77777777" w:rsidR="00830ACC" w:rsidRPr="00A87B3A" w:rsidRDefault="00830ACC" w:rsidP="00830ACC">
            <w:pPr>
              <w:spacing w:line="240" w:lineRule="auto"/>
              <w:rPr>
                <w:rFonts w:ascii="Times New Roman" w:hAnsi="Times New Roman"/>
                <w:color w:val="000000"/>
              </w:rPr>
            </w:pPr>
          </w:p>
        </w:tc>
        <w:tc>
          <w:tcPr>
            <w:tcW w:w="1127" w:type="dxa"/>
            <w:shd w:val="clear" w:color="auto" w:fill="FFFFFF"/>
          </w:tcPr>
          <w:p w14:paraId="6994D62C" w14:textId="77777777" w:rsidR="00830ACC" w:rsidRPr="00A87B3A" w:rsidRDefault="00830ACC" w:rsidP="00830ACC">
            <w:pPr>
              <w:spacing w:line="240" w:lineRule="auto"/>
              <w:rPr>
                <w:rFonts w:ascii="Times New Roman" w:hAnsi="Times New Roman"/>
                <w:color w:val="000000"/>
                <w:spacing w:val="-2"/>
              </w:rPr>
            </w:pPr>
          </w:p>
        </w:tc>
      </w:tr>
      <w:tr w:rsidR="00E7568C" w:rsidRPr="00A87B3A" w14:paraId="5CF2071C" w14:textId="77777777" w:rsidTr="00676C8D">
        <w:trPr>
          <w:gridAfter w:val="1"/>
          <w:wAfter w:w="10" w:type="dxa"/>
          <w:trHeight w:val="142"/>
        </w:trPr>
        <w:tc>
          <w:tcPr>
            <w:tcW w:w="1596" w:type="dxa"/>
            <w:vMerge w:val="restart"/>
            <w:shd w:val="clear" w:color="auto" w:fill="FFFFFF"/>
          </w:tcPr>
          <w:p w14:paraId="48D920EC" w14:textId="77777777" w:rsidR="00E7568C" w:rsidRPr="00A87B3A" w:rsidRDefault="00E7568C" w:rsidP="00830ACC">
            <w:pPr>
              <w:spacing w:before="120" w:after="120" w:line="240" w:lineRule="auto"/>
              <w:rPr>
                <w:rFonts w:ascii="Times New Roman" w:hAnsi="Times New Roman"/>
                <w:color w:val="000000"/>
              </w:rPr>
            </w:pPr>
            <w:r w:rsidRPr="00A87B3A">
              <w:rPr>
                <w:rFonts w:ascii="Times New Roman" w:hAnsi="Times New Roman"/>
                <w:color w:val="000000"/>
              </w:rPr>
              <w:t>W ujęciu niepieniężnym</w:t>
            </w:r>
          </w:p>
        </w:tc>
        <w:tc>
          <w:tcPr>
            <w:tcW w:w="2293" w:type="dxa"/>
            <w:gridSpan w:val="6"/>
            <w:shd w:val="clear" w:color="auto" w:fill="FFFFFF"/>
          </w:tcPr>
          <w:p w14:paraId="4CD0E775" w14:textId="77777777" w:rsidR="00E7568C" w:rsidRPr="00A87B3A" w:rsidRDefault="00E7568C" w:rsidP="00830ACC">
            <w:pPr>
              <w:spacing w:before="120" w:after="120" w:line="240" w:lineRule="auto"/>
              <w:rPr>
                <w:rFonts w:ascii="Times New Roman" w:hAnsi="Times New Roman"/>
                <w:color w:val="000000"/>
              </w:rPr>
            </w:pPr>
            <w:r w:rsidRPr="00A87B3A">
              <w:rPr>
                <w:rFonts w:ascii="Times New Roman" w:hAnsi="Times New Roman"/>
                <w:color w:val="000000"/>
              </w:rPr>
              <w:t>duże przedsiębiorstwa</w:t>
            </w:r>
          </w:p>
        </w:tc>
        <w:tc>
          <w:tcPr>
            <w:tcW w:w="7048" w:type="dxa"/>
            <w:gridSpan w:val="20"/>
            <w:vMerge w:val="restart"/>
            <w:shd w:val="clear" w:color="auto" w:fill="FFFFFF"/>
          </w:tcPr>
          <w:p w14:paraId="59CBC496" w14:textId="77777777" w:rsidR="00926C20" w:rsidRDefault="001E459F" w:rsidP="00ED521C">
            <w:pPr>
              <w:spacing w:before="120" w:after="120" w:line="240" w:lineRule="auto"/>
              <w:jc w:val="both"/>
              <w:rPr>
                <w:rFonts w:ascii="Times New Roman" w:hAnsi="Times New Roman"/>
                <w:color w:val="000000"/>
                <w:spacing w:val="-2"/>
              </w:rPr>
            </w:pPr>
            <w:r w:rsidRPr="001E459F">
              <w:rPr>
                <w:rFonts w:ascii="Times New Roman" w:hAnsi="Times New Roman"/>
                <w:color w:val="000000"/>
                <w:spacing w:val="-2"/>
              </w:rPr>
              <w:t xml:space="preserve">Szereg dokumentów o charakterze strategicznym jak również analiz </w:t>
            </w:r>
            <w:r>
              <w:rPr>
                <w:rFonts w:ascii="Times New Roman" w:hAnsi="Times New Roman"/>
                <w:color w:val="000000"/>
                <w:spacing w:val="-2"/>
              </w:rPr>
              <w:t xml:space="preserve">podkreśla korzyści płynące </w:t>
            </w:r>
            <w:r w:rsidR="00F27695">
              <w:rPr>
                <w:rFonts w:ascii="Times New Roman" w:hAnsi="Times New Roman"/>
                <w:color w:val="000000"/>
                <w:spacing w:val="-2"/>
              </w:rPr>
              <w:t xml:space="preserve">ze zwiększonej mocy zainstalowanej </w:t>
            </w:r>
            <w:r w:rsidR="00145F1C">
              <w:rPr>
                <w:rFonts w:ascii="Times New Roman" w:hAnsi="Times New Roman"/>
                <w:color w:val="000000"/>
                <w:spacing w:val="-2"/>
              </w:rPr>
              <w:t xml:space="preserve">w </w:t>
            </w:r>
            <w:r w:rsidR="00F27695">
              <w:rPr>
                <w:rFonts w:ascii="Times New Roman" w:hAnsi="Times New Roman"/>
                <w:color w:val="000000"/>
                <w:spacing w:val="-2"/>
              </w:rPr>
              <w:t xml:space="preserve">MEW. </w:t>
            </w:r>
          </w:p>
          <w:p w14:paraId="1F4773D6" w14:textId="5A937ECA" w:rsidR="00926C20" w:rsidRDefault="00762578" w:rsidP="00ED521C">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Przykładowo, w komunikacie Komisji do Parlamentu Europejskiego, Rady, Europejskiego Komitetu Ekonomiczno-Społecznego i Komitetu Regionów </w:t>
            </w:r>
            <w:r w:rsidR="00944BCE" w:rsidRPr="00145F1C">
              <w:rPr>
                <w:rFonts w:ascii="Times New Roman" w:hAnsi="Times New Roman"/>
                <w:color w:val="000000"/>
                <w:spacing w:val="-2"/>
              </w:rPr>
              <w:t>z</w:t>
            </w:r>
            <w:r w:rsidR="00944BCE">
              <w:rPr>
                <w:rFonts w:ascii="Times New Roman" w:hAnsi="Times New Roman"/>
                <w:color w:val="000000"/>
                <w:spacing w:val="-2"/>
              </w:rPr>
              <w:t> </w:t>
            </w:r>
            <w:r w:rsidR="00145F1C" w:rsidRPr="00145F1C">
              <w:rPr>
                <w:rFonts w:ascii="Times New Roman" w:hAnsi="Times New Roman"/>
                <w:color w:val="000000"/>
                <w:spacing w:val="-2"/>
              </w:rPr>
              <w:t xml:space="preserve">dnia 24 października 2023 r. </w:t>
            </w:r>
            <w:r>
              <w:rPr>
                <w:rFonts w:ascii="Times New Roman" w:hAnsi="Times New Roman"/>
                <w:color w:val="000000"/>
                <w:spacing w:val="-2"/>
              </w:rPr>
              <w:t>pt.</w:t>
            </w:r>
            <w:r>
              <w:t xml:space="preserve"> </w:t>
            </w:r>
            <w:r w:rsidRPr="00762578">
              <w:rPr>
                <w:rFonts w:ascii="Times New Roman" w:hAnsi="Times New Roman"/>
                <w:color w:val="000000"/>
                <w:spacing w:val="-2"/>
              </w:rPr>
              <w:t xml:space="preserve">Osiągnięcie ambitnych unijnych celów </w:t>
            </w:r>
            <w:r w:rsidR="00944BCE" w:rsidRPr="00762578">
              <w:rPr>
                <w:rFonts w:ascii="Times New Roman" w:hAnsi="Times New Roman"/>
                <w:color w:val="000000"/>
                <w:spacing w:val="-2"/>
              </w:rPr>
              <w:t>w</w:t>
            </w:r>
            <w:r w:rsidR="00944BCE">
              <w:rPr>
                <w:rFonts w:ascii="Times New Roman" w:hAnsi="Times New Roman"/>
                <w:color w:val="000000"/>
                <w:spacing w:val="-2"/>
              </w:rPr>
              <w:t> </w:t>
            </w:r>
            <w:r w:rsidRPr="00762578">
              <w:rPr>
                <w:rFonts w:ascii="Times New Roman" w:hAnsi="Times New Roman"/>
                <w:color w:val="000000"/>
                <w:spacing w:val="-2"/>
              </w:rPr>
              <w:t>zakresie energii z morskich źródeł</w:t>
            </w:r>
            <w:r>
              <w:rPr>
                <w:rFonts w:ascii="Times New Roman" w:hAnsi="Times New Roman"/>
                <w:color w:val="000000"/>
                <w:spacing w:val="-2"/>
              </w:rPr>
              <w:t xml:space="preserve"> </w:t>
            </w:r>
            <w:r w:rsidRPr="00762578">
              <w:rPr>
                <w:rFonts w:ascii="Times New Roman" w:hAnsi="Times New Roman"/>
                <w:color w:val="000000"/>
                <w:spacing w:val="-2"/>
              </w:rPr>
              <w:t>odnawialnych</w:t>
            </w:r>
            <w:r w:rsidR="00145F1C">
              <w:rPr>
                <w:rFonts w:ascii="Times New Roman" w:hAnsi="Times New Roman"/>
                <w:color w:val="000000"/>
                <w:spacing w:val="-2"/>
              </w:rPr>
              <w:t>,</w:t>
            </w:r>
            <w:r>
              <w:rPr>
                <w:rFonts w:ascii="Times New Roman" w:hAnsi="Times New Roman"/>
                <w:color w:val="000000"/>
                <w:spacing w:val="-2"/>
              </w:rPr>
              <w:t xml:space="preserve"> </w:t>
            </w:r>
            <w:r w:rsidR="00F56D9E">
              <w:rPr>
                <w:rFonts w:ascii="Times New Roman" w:hAnsi="Times New Roman"/>
                <w:color w:val="000000"/>
                <w:spacing w:val="-2"/>
              </w:rPr>
              <w:t xml:space="preserve">wskazuje się, że wykorzystanie MEW </w:t>
            </w:r>
            <w:r w:rsidR="00F56D9E" w:rsidRPr="00F56D9E">
              <w:rPr>
                <w:rFonts w:ascii="Times New Roman" w:hAnsi="Times New Roman"/>
                <w:color w:val="000000"/>
                <w:spacing w:val="-2"/>
              </w:rPr>
              <w:t>w znacznym stopniu ułatwi UE</w:t>
            </w:r>
            <w:r w:rsidR="00F56D9E">
              <w:rPr>
                <w:rFonts w:ascii="Times New Roman" w:hAnsi="Times New Roman"/>
                <w:color w:val="000000"/>
                <w:spacing w:val="-2"/>
              </w:rPr>
              <w:t xml:space="preserve"> </w:t>
            </w:r>
            <w:r w:rsidR="00F56D9E" w:rsidRPr="00F56D9E">
              <w:rPr>
                <w:rFonts w:ascii="Times New Roman" w:hAnsi="Times New Roman"/>
                <w:color w:val="000000"/>
                <w:spacing w:val="-2"/>
              </w:rPr>
              <w:t>osiągnięcie unijnych celów w zakresie energii i klimatu na lata 2030 i 2050</w:t>
            </w:r>
            <w:r w:rsidR="00F56D9E">
              <w:rPr>
                <w:rFonts w:ascii="Times New Roman" w:hAnsi="Times New Roman"/>
                <w:color w:val="000000"/>
                <w:spacing w:val="-2"/>
              </w:rPr>
              <w:t xml:space="preserve"> </w:t>
            </w:r>
            <w:r w:rsidR="00F56D9E" w:rsidRPr="00F56D9E">
              <w:rPr>
                <w:rFonts w:ascii="Times New Roman" w:hAnsi="Times New Roman"/>
                <w:color w:val="000000"/>
                <w:spacing w:val="-2"/>
              </w:rPr>
              <w:t>oraz zmniejszenie zależności od importu paliw kopalnych</w:t>
            </w:r>
            <w:r w:rsidR="00F56D9E">
              <w:rPr>
                <w:rFonts w:ascii="Times New Roman" w:hAnsi="Times New Roman"/>
                <w:color w:val="000000"/>
                <w:spacing w:val="-2"/>
              </w:rPr>
              <w:t xml:space="preserve">. </w:t>
            </w:r>
            <w:r w:rsidR="00A07D55">
              <w:rPr>
                <w:rFonts w:ascii="Times New Roman" w:hAnsi="Times New Roman"/>
                <w:color w:val="000000"/>
                <w:spacing w:val="-2"/>
              </w:rPr>
              <w:t>Pod koniec 2024 r. k</w:t>
            </w:r>
            <w:r w:rsidR="009703A0" w:rsidRPr="009703A0">
              <w:rPr>
                <w:rFonts w:ascii="Times New Roman" w:hAnsi="Times New Roman"/>
                <w:color w:val="000000"/>
                <w:spacing w:val="-2"/>
              </w:rPr>
              <w:t xml:space="preserve">raje członkowskie Unii Europejskiej uzgodniły nowe, ambitne cele rozwoju </w:t>
            </w:r>
            <w:r w:rsidR="00A07D55">
              <w:rPr>
                <w:rFonts w:ascii="Times New Roman" w:hAnsi="Times New Roman"/>
                <w:color w:val="000000"/>
                <w:spacing w:val="-2"/>
              </w:rPr>
              <w:t>MEW</w:t>
            </w:r>
            <w:r w:rsidR="009703A0" w:rsidRPr="009703A0">
              <w:rPr>
                <w:rFonts w:ascii="Times New Roman" w:hAnsi="Times New Roman"/>
                <w:color w:val="000000"/>
                <w:spacing w:val="-2"/>
              </w:rPr>
              <w:t xml:space="preserve">, zakładając osiągnięcie około 88 GW mocy zainstalowanej do 2030 roku i około 360 GW do 2050 roku. </w:t>
            </w:r>
            <w:r w:rsidR="00F56D9E">
              <w:rPr>
                <w:rFonts w:ascii="Times New Roman" w:hAnsi="Times New Roman"/>
                <w:color w:val="000000"/>
                <w:spacing w:val="-2"/>
              </w:rPr>
              <w:t xml:space="preserve">Osiągniecie </w:t>
            </w:r>
            <w:r w:rsidR="00A07D55">
              <w:rPr>
                <w:rFonts w:ascii="Times New Roman" w:hAnsi="Times New Roman"/>
                <w:color w:val="000000"/>
                <w:spacing w:val="-2"/>
              </w:rPr>
              <w:t>t</w:t>
            </w:r>
            <w:r w:rsidR="00F56D9E">
              <w:rPr>
                <w:rFonts w:ascii="Times New Roman" w:hAnsi="Times New Roman"/>
                <w:color w:val="000000"/>
                <w:spacing w:val="-2"/>
              </w:rPr>
              <w:t xml:space="preserve">ych celów </w:t>
            </w:r>
            <w:r w:rsidR="00D61131">
              <w:rPr>
                <w:rFonts w:ascii="Times New Roman" w:hAnsi="Times New Roman"/>
                <w:color w:val="000000"/>
                <w:spacing w:val="-2"/>
              </w:rPr>
              <w:t>zagwarantuje</w:t>
            </w:r>
            <w:r w:rsidR="00F56D9E" w:rsidRPr="00F56D9E">
              <w:rPr>
                <w:rFonts w:ascii="Times New Roman" w:hAnsi="Times New Roman"/>
                <w:color w:val="000000"/>
                <w:spacing w:val="-2"/>
              </w:rPr>
              <w:t xml:space="preserve"> UE utrzyma</w:t>
            </w:r>
            <w:r w:rsidR="00D61131">
              <w:rPr>
                <w:rFonts w:ascii="Times New Roman" w:hAnsi="Times New Roman"/>
                <w:color w:val="000000"/>
                <w:spacing w:val="-2"/>
              </w:rPr>
              <w:t>nie</w:t>
            </w:r>
            <w:r w:rsidR="00F56D9E" w:rsidRPr="00F56D9E">
              <w:rPr>
                <w:rFonts w:ascii="Times New Roman" w:hAnsi="Times New Roman"/>
                <w:color w:val="000000"/>
                <w:spacing w:val="-2"/>
              </w:rPr>
              <w:t xml:space="preserve"> wiodąc</w:t>
            </w:r>
            <w:r w:rsidR="00D61131">
              <w:rPr>
                <w:rFonts w:ascii="Times New Roman" w:hAnsi="Times New Roman"/>
                <w:color w:val="000000"/>
                <w:spacing w:val="-2"/>
              </w:rPr>
              <w:t>ej</w:t>
            </w:r>
            <w:r w:rsidR="00F56D9E" w:rsidRPr="00F56D9E">
              <w:rPr>
                <w:rFonts w:ascii="Times New Roman" w:hAnsi="Times New Roman"/>
                <w:color w:val="000000"/>
                <w:spacing w:val="-2"/>
              </w:rPr>
              <w:t xml:space="preserve"> pozycj</w:t>
            </w:r>
            <w:r w:rsidR="00D61131">
              <w:rPr>
                <w:rFonts w:ascii="Times New Roman" w:hAnsi="Times New Roman"/>
                <w:color w:val="000000"/>
                <w:spacing w:val="-2"/>
              </w:rPr>
              <w:t>i</w:t>
            </w:r>
            <w:r w:rsidR="00F56D9E" w:rsidRPr="00F56D9E">
              <w:rPr>
                <w:rFonts w:ascii="Times New Roman" w:hAnsi="Times New Roman"/>
                <w:color w:val="000000"/>
                <w:spacing w:val="-2"/>
              </w:rPr>
              <w:t xml:space="preserve"> na</w:t>
            </w:r>
            <w:r w:rsidR="00D61131">
              <w:rPr>
                <w:rFonts w:ascii="Times New Roman" w:hAnsi="Times New Roman"/>
                <w:color w:val="000000"/>
                <w:spacing w:val="-2"/>
              </w:rPr>
              <w:t xml:space="preserve"> </w:t>
            </w:r>
            <w:r w:rsidR="00F56D9E" w:rsidRPr="00F56D9E">
              <w:rPr>
                <w:rFonts w:ascii="Times New Roman" w:hAnsi="Times New Roman"/>
                <w:color w:val="000000"/>
                <w:spacing w:val="-2"/>
              </w:rPr>
              <w:t>świecie i konkurencyjność na etapie produkcji i wdrażania</w:t>
            </w:r>
            <w:r w:rsidR="00D61131">
              <w:rPr>
                <w:rFonts w:ascii="Times New Roman" w:hAnsi="Times New Roman"/>
                <w:color w:val="000000"/>
                <w:spacing w:val="-2"/>
              </w:rPr>
              <w:t>.</w:t>
            </w:r>
            <w:r w:rsidR="00ED521C">
              <w:rPr>
                <w:rFonts w:ascii="Times New Roman" w:hAnsi="Times New Roman"/>
                <w:color w:val="000000"/>
                <w:spacing w:val="-2"/>
              </w:rPr>
              <w:t xml:space="preserve"> </w:t>
            </w:r>
          </w:p>
          <w:p w14:paraId="2776F6C6" w14:textId="641F2E06" w:rsidR="00926C20" w:rsidRDefault="00ED521C" w:rsidP="00ED521C">
            <w:pPr>
              <w:spacing w:before="120" w:after="120" w:line="240" w:lineRule="auto"/>
              <w:jc w:val="both"/>
              <w:rPr>
                <w:rFonts w:ascii="Times New Roman" w:hAnsi="Times New Roman"/>
                <w:color w:val="000000"/>
                <w:spacing w:val="-2"/>
              </w:rPr>
            </w:pPr>
            <w:r>
              <w:rPr>
                <w:rFonts w:ascii="Times New Roman" w:hAnsi="Times New Roman"/>
                <w:color w:val="000000"/>
                <w:spacing w:val="-2"/>
              </w:rPr>
              <w:t>W komunikacie Komisji pt.</w:t>
            </w:r>
            <w:r>
              <w:t xml:space="preserve"> </w:t>
            </w:r>
            <w:r w:rsidRPr="00ED521C">
              <w:rPr>
                <w:rFonts w:ascii="Times New Roman" w:hAnsi="Times New Roman"/>
                <w:color w:val="000000"/>
                <w:spacing w:val="-2"/>
              </w:rPr>
              <w:t>Wytyczne dotyczące ram współpracy w zakresie inwestycji w projekty dotyczące morskiej</w:t>
            </w:r>
            <w:r>
              <w:rPr>
                <w:rFonts w:ascii="Times New Roman" w:hAnsi="Times New Roman"/>
                <w:color w:val="000000"/>
                <w:spacing w:val="-2"/>
              </w:rPr>
              <w:t xml:space="preserve"> </w:t>
            </w:r>
            <w:r w:rsidR="004C3390">
              <w:rPr>
                <w:rFonts w:ascii="Times New Roman" w:hAnsi="Times New Roman"/>
                <w:color w:val="000000"/>
                <w:spacing w:val="-2"/>
              </w:rPr>
              <w:t xml:space="preserve">energetyki wiatrowej </w:t>
            </w:r>
            <w:r>
              <w:rPr>
                <w:rFonts w:ascii="Times New Roman" w:hAnsi="Times New Roman"/>
                <w:color w:val="000000"/>
                <w:spacing w:val="-2"/>
              </w:rPr>
              <w:t xml:space="preserve">z dnia </w:t>
            </w:r>
            <w:r w:rsidR="00944BCE">
              <w:rPr>
                <w:rFonts w:ascii="Times New Roman" w:hAnsi="Times New Roman"/>
                <w:color w:val="000000"/>
                <w:spacing w:val="-2"/>
              </w:rPr>
              <w:t>27 </w:t>
            </w:r>
            <w:r>
              <w:rPr>
                <w:rFonts w:ascii="Times New Roman" w:hAnsi="Times New Roman"/>
                <w:color w:val="000000"/>
                <w:spacing w:val="-2"/>
              </w:rPr>
              <w:t>czerwca 202</w:t>
            </w:r>
            <w:r w:rsidR="00451A69">
              <w:rPr>
                <w:rFonts w:ascii="Times New Roman" w:hAnsi="Times New Roman"/>
                <w:color w:val="000000"/>
                <w:spacing w:val="-2"/>
              </w:rPr>
              <w:t>4</w:t>
            </w:r>
            <w:r>
              <w:rPr>
                <w:rFonts w:ascii="Times New Roman" w:hAnsi="Times New Roman"/>
                <w:color w:val="000000"/>
                <w:spacing w:val="-2"/>
              </w:rPr>
              <w:t xml:space="preserve"> r. </w:t>
            </w:r>
            <w:r w:rsidR="004C3390">
              <w:rPr>
                <w:rFonts w:ascii="Times New Roman" w:hAnsi="Times New Roman"/>
                <w:color w:val="000000"/>
                <w:spacing w:val="-2"/>
              </w:rPr>
              <w:t>podkreśla się, że</w:t>
            </w:r>
            <w:r>
              <w:rPr>
                <w:rFonts w:ascii="Times New Roman" w:hAnsi="Times New Roman"/>
                <w:color w:val="000000"/>
                <w:spacing w:val="-2"/>
              </w:rPr>
              <w:t xml:space="preserve"> </w:t>
            </w:r>
            <w:r w:rsidR="004C3390">
              <w:rPr>
                <w:rFonts w:ascii="Times New Roman" w:hAnsi="Times New Roman"/>
                <w:color w:val="000000"/>
                <w:spacing w:val="-2"/>
              </w:rPr>
              <w:t>MEW</w:t>
            </w:r>
            <w:r w:rsidRPr="00ED521C">
              <w:rPr>
                <w:rFonts w:ascii="Times New Roman" w:hAnsi="Times New Roman"/>
                <w:color w:val="000000"/>
                <w:spacing w:val="-2"/>
              </w:rPr>
              <w:t xml:space="preserve"> </w:t>
            </w:r>
            <w:r w:rsidR="004C3390">
              <w:rPr>
                <w:rFonts w:ascii="Times New Roman" w:hAnsi="Times New Roman"/>
                <w:color w:val="000000"/>
                <w:spacing w:val="-2"/>
              </w:rPr>
              <w:t xml:space="preserve">będzie </w:t>
            </w:r>
            <w:r w:rsidRPr="00ED521C">
              <w:rPr>
                <w:rFonts w:ascii="Times New Roman" w:hAnsi="Times New Roman"/>
                <w:color w:val="000000"/>
                <w:spacing w:val="-2"/>
              </w:rPr>
              <w:t>dostarczać energię elektryczną</w:t>
            </w:r>
            <w:r w:rsidR="004C3390">
              <w:rPr>
                <w:rFonts w:ascii="Times New Roman" w:hAnsi="Times New Roman"/>
                <w:color w:val="000000"/>
                <w:spacing w:val="-2"/>
              </w:rPr>
              <w:t xml:space="preserve"> po konkurencyjnych </w:t>
            </w:r>
            <w:r w:rsidRPr="00ED521C">
              <w:rPr>
                <w:rFonts w:ascii="Times New Roman" w:hAnsi="Times New Roman"/>
                <w:color w:val="000000"/>
                <w:spacing w:val="-2"/>
              </w:rPr>
              <w:t>cen</w:t>
            </w:r>
            <w:r w:rsidR="004C3390">
              <w:rPr>
                <w:rFonts w:ascii="Times New Roman" w:hAnsi="Times New Roman"/>
                <w:color w:val="000000"/>
                <w:spacing w:val="-2"/>
              </w:rPr>
              <w:t>ach</w:t>
            </w:r>
            <w:r w:rsidRPr="00ED521C">
              <w:rPr>
                <w:rFonts w:ascii="Times New Roman" w:hAnsi="Times New Roman"/>
                <w:color w:val="000000"/>
                <w:spacing w:val="-2"/>
              </w:rPr>
              <w:t xml:space="preserve">, jak wykazały już ostatnie wyniki </w:t>
            </w:r>
            <w:r w:rsidR="004C3390">
              <w:rPr>
                <w:rFonts w:ascii="Times New Roman" w:hAnsi="Times New Roman"/>
                <w:color w:val="000000"/>
                <w:spacing w:val="-2"/>
              </w:rPr>
              <w:t xml:space="preserve">przeprowadzonych </w:t>
            </w:r>
            <w:r w:rsidRPr="00ED521C">
              <w:rPr>
                <w:rFonts w:ascii="Times New Roman" w:hAnsi="Times New Roman"/>
                <w:color w:val="000000"/>
                <w:spacing w:val="-2"/>
              </w:rPr>
              <w:t>aukcji, co wspiera europejski przemysł</w:t>
            </w:r>
            <w:r w:rsidR="004C3390">
              <w:rPr>
                <w:rFonts w:ascii="Times New Roman" w:hAnsi="Times New Roman"/>
                <w:color w:val="000000"/>
                <w:spacing w:val="-2"/>
              </w:rPr>
              <w:t xml:space="preserve"> </w:t>
            </w:r>
            <w:r w:rsidRPr="00ED521C">
              <w:rPr>
                <w:rFonts w:ascii="Times New Roman" w:hAnsi="Times New Roman"/>
                <w:color w:val="000000"/>
                <w:spacing w:val="-2"/>
              </w:rPr>
              <w:t xml:space="preserve">konkurencyjność </w:t>
            </w:r>
            <w:r w:rsidR="00944BCE" w:rsidRPr="00ED521C">
              <w:rPr>
                <w:rFonts w:ascii="Times New Roman" w:hAnsi="Times New Roman"/>
                <w:color w:val="000000"/>
                <w:spacing w:val="-2"/>
              </w:rPr>
              <w:t>i</w:t>
            </w:r>
            <w:r w:rsidR="00944BCE">
              <w:rPr>
                <w:rFonts w:ascii="Times New Roman" w:hAnsi="Times New Roman"/>
                <w:color w:val="000000"/>
                <w:spacing w:val="-2"/>
              </w:rPr>
              <w:t> </w:t>
            </w:r>
            <w:r w:rsidRPr="00ED521C">
              <w:rPr>
                <w:rFonts w:ascii="Times New Roman" w:hAnsi="Times New Roman"/>
                <w:color w:val="000000"/>
                <w:spacing w:val="-2"/>
              </w:rPr>
              <w:t>przyczynia się do zapewniania konsumentom przystępnych cen</w:t>
            </w:r>
            <w:r w:rsidR="004C3390">
              <w:rPr>
                <w:rFonts w:ascii="Times New Roman" w:hAnsi="Times New Roman"/>
                <w:color w:val="000000"/>
                <w:spacing w:val="-2"/>
              </w:rPr>
              <w:t xml:space="preserve"> energii elektrycznej</w:t>
            </w:r>
            <w:r w:rsidRPr="00ED521C">
              <w:rPr>
                <w:rFonts w:ascii="Times New Roman" w:hAnsi="Times New Roman"/>
                <w:color w:val="000000"/>
                <w:spacing w:val="-2"/>
              </w:rPr>
              <w:t xml:space="preserve">. </w:t>
            </w:r>
            <w:r w:rsidR="00145F1C">
              <w:rPr>
                <w:rFonts w:ascii="Times New Roman" w:hAnsi="Times New Roman"/>
                <w:color w:val="000000"/>
                <w:spacing w:val="-2"/>
              </w:rPr>
              <w:t>D</w:t>
            </w:r>
            <w:r w:rsidR="004C3390">
              <w:rPr>
                <w:rFonts w:ascii="Times New Roman" w:hAnsi="Times New Roman"/>
                <w:color w:val="000000"/>
                <w:spacing w:val="-2"/>
              </w:rPr>
              <w:t>zięki</w:t>
            </w:r>
            <w:r w:rsidR="00145F1C">
              <w:rPr>
                <w:rFonts w:ascii="Times New Roman" w:hAnsi="Times New Roman"/>
                <w:color w:val="000000"/>
                <w:spacing w:val="-2"/>
              </w:rPr>
              <w:t xml:space="preserve"> stworzeniu</w:t>
            </w:r>
            <w:r w:rsidR="004C3390">
              <w:rPr>
                <w:rFonts w:ascii="Times New Roman" w:hAnsi="Times New Roman"/>
                <w:color w:val="000000"/>
                <w:spacing w:val="-2"/>
              </w:rPr>
              <w:t xml:space="preserve"> </w:t>
            </w:r>
            <w:r w:rsidRPr="00ED521C">
              <w:rPr>
                <w:rFonts w:ascii="Times New Roman" w:hAnsi="Times New Roman"/>
                <w:color w:val="000000"/>
                <w:spacing w:val="-2"/>
              </w:rPr>
              <w:t>łańcuch</w:t>
            </w:r>
            <w:r w:rsidR="00145F1C">
              <w:rPr>
                <w:rFonts w:ascii="Times New Roman" w:hAnsi="Times New Roman"/>
                <w:color w:val="000000"/>
                <w:spacing w:val="-2"/>
              </w:rPr>
              <w:t>a</w:t>
            </w:r>
            <w:r w:rsidRPr="00ED521C">
              <w:rPr>
                <w:rFonts w:ascii="Times New Roman" w:hAnsi="Times New Roman"/>
                <w:color w:val="000000"/>
                <w:spacing w:val="-2"/>
              </w:rPr>
              <w:t xml:space="preserve"> dostaw</w:t>
            </w:r>
            <w:r w:rsidR="00145F1C">
              <w:rPr>
                <w:rFonts w:ascii="Times New Roman" w:hAnsi="Times New Roman"/>
                <w:color w:val="000000"/>
                <w:spacing w:val="-2"/>
              </w:rPr>
              <w:t xml:space="preserve"> dla MEW, będącego </w:t>
            </w:r>
            <w:r w:rsidRPr="00ED521C">
              <w:rPr>
                <w:rFonts w:ascii="Times New Roman" w:hAnsi="Times New Roman"/>
                <w:color w:val="000000"/>
                <w:spacing w:val="-2"/>
              </w:rPr>
              <w:t>w dużej mierze dziś krajow</w:t>
            </w:r>
            <w:r w:rsidR="00145F1C">
              <w:rPr>
                <w:rFonts w:ascii="Times New Roman" w:hAnsi="Times New Roman"/>
                <w:color w:val="000000"/>
                <w:spacing w:val="-2"/>
              </w:rPr>
              <w:t>ym</w:t>
            </w:r>
            <w:r w:rsidR="00451A69">
              <w:rPr>
                <w:rFonts w:ascii="Times New Roman" w:hAnsi="Times New Roman"/>
                <w:color w:val="000000"/>
                <w:spacing w:val="-2"/>
              </w:rPr>
              <w:t xml:space="preserve"> (europejskim)</w:t>
            </w:r>
            <w:r w:rsidRPr="00ED521C">
              <w:rPr>
                <w:rFonts w:ascii="Times New Roman" w:hAnsi="Times New Roman"/>
                <w:color w:val="000000"/>
                <w:spacing w:val="-2"/>
              </w:rPr>
              <w:t xml:space="preserve">, </w:t>
            </w:r>
            <w:r w:rsidR="00451A69">
              <w:rPr>
                <w:rFonts w:ascii="Times New Roman" w:hAnsi="Times New Roman"/>
                <w:color w:val="000000"/>
                <w:spacing w:val="-2"/>
              </w:rPr>
              <w:t>powstaną</w:t>
            </w:r>
            <w:r w:rsidRPr="00ED521C">
              <w:rPr>
                <w:rFonts w:ascii="Times New Roman" w:hAnsi="Times New Roman"/>
                <w:color w:val="000000"/>
                <w:spacing w:val="-2"/>
              </w:rPr>
              <w:t xml:space="preserve"> nowe możliwości tworzenia</w:t>
            </w:r>
            <w:r w:rsidR="00451A69">
              <w:rPr>
                <w:rFonts w:ascii="Times New Roman" w:hAnsi="Times New Roman"/>
                <w:color w:val="000000"/>
                <w:spacing w:val="-2"/>
              </w:rPr>
              <w:t xml:space="preserve"> </w:t>
            </w:r>
            <w:r w:rsidRPr="00ED521C">
              <w:rPr>
                <w:rFonts w:ascii="Times New Roman" w:hAnsi="Times New Roman"/>
                <w:color w:val="000000"/>
                <w:spacing w:val="-2"/>
              </w:rPr>
              <w:t>wysokiej jakości miejsc pracy</w:t>
            </w:r>
            <w:r w:rsidR="00451A69">
              <w:rPr>
                <w:rFonts w:ascii="Times New Roman" w:hAnsi="Times New Roman"/>
                <w:color w:val="000000"/>
                <w:spacing w:val="-2"/>
              </w:rPr>
              <w:t xml:space="preserve">, które </w:t>
            </w:r>
            <w:r w:rsidRPr="00ED521C">
              <w:rPr>
                <w:rFonts w:ascii="Times New Roman" w:hAnsi="Times New Roman"/>
                <w:color w:val="000000"/>
                <w:spacing w:val="-2"/>
              </w:rPr>
              <w:t>stawi</w:t>
            </w:r>
            <w:r w:rsidR="00451A69">
              <w:rPr>
                <w:rFonts w:ascii="Times New Roman" w:hAnsi="Times New Roman"/>
                <w:color w:val="000000"/>
                <w:spacing w:val="-2"/>
              </w:rPr>
              <w:t>ą</w:t>
            </w:r>
            <w:r w:rsidRPr="00ED521C">
              <w:rPr>
                <w:rFonts w:ascii="Times New Roman" w:hAnsi="Times New Roman"/>
                <w:color w:val="000000"/>
                <w:spacing w:val="-2"/>
              </w:rPr>
              <w:t xml:space="preserve"> czoła lokalnym wyzwaniom związanym z bezrobociem w UE.</w:t>
            </w:r>
            <w:r w:rsidR="00F27695">
              <w:rPr>
                <w:rFonts w:ascii="Times New Roman" w:hAnsi="Times New Roman"/>
                <w:color w:val="000000"/>
                <w:spacing w:val="-2"/>
              </w:rPr>
              <w:t xml:space="preserve"> </w:t>
            </w:r>
          </w:p>
          <w:p w14:paraId="311B9E36" w14:textId="54450505" w:rsidR="001F2080" w:rsidRDefault="00803269" w:rsidP="00ED521C">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Rozwój MEW przyczyni się </w:t>
            </w:r>
            <w:r w:rsidR="00926C20">
              <w:rPr>
                <w:rFonts w:ascii="Times New Roman" w:hAnsi="Times New Roman"/>
                <w:color w:val="000000"/>
                <w:spacing w:val="-2"/>
              </w:rPr>
              <w:t xml:space="preserve">również </w:t>
            </w:r>
            <w:r>
              <w:rPr>
                <w:rFonts w:ascii="Times New Roman" w:hAnsi="Times New Roman"/>
                <w:color w:val="000000"/>
                <w:spacing w:val="-2"/>
              </w:rPr>
              <w:t xml:space="preserve">do realizacji wielu obszarów wskazanych w projekcie aktualizacji Krajowego Planu w dziedzinie Energii i Klimatu do 2030 r. </w:t>
            </w:r>
            <w:r w:rsidR="00E07DDD">
              <w:rPr>
                <w:rFonts w:ascii="Times New Roman" w:hAnsi="Times New Roman"/>
                <w:color w:val="000000"/>
                <w:spacing w:val="-2"/>
              </w:rPr>
              <w:t>z października 2024 r.</w:t>
            </w:r>
            <w:r w:rsidR="00101FEC">
              <w:rPr>
                <w:rFonts w:ascii="Times New Roman" w:hAnsi="Times New Roman"/>
                <w:color w:val="000000"/>
                <w:spacing w:val="-2"/>
              </w:rPr>
              <w:t xml:space="preserve"> </w:t>
            </w:r>
            <w:r>
              <w:rPr>
                <w:rFonts w:ascii="Times New Roman" w:hAnsi="Times New Roman"/>
                <w:color w:val="000000"/>
                <w:spacing w:val="-2"/>
              </w:rPr>
              <w:t xml:space="preserve">Jest to </w:t>
            </w:r>
            <w:r w:rsidR="0077635D">
              <w:rPr>
                <w:rFonts w:ascii="Times New Roman" w:hAnsi="Times New Roman"/>
                <w:color w:val="000000"/>
                <w:spacing w:val="-2"/>
              </w:rPr>
              <w:t xml:space="preserve">m.in. </w:t>
            </w:r>
            <w:r>
              <w:rPr>
                <w:rFonts w:ascii="Times New Roman" w:hAnsi="Times New Roman"/>
                <w:color w:val="000000"/>
                <w:spacing w:val="-2"/>
              </w:rPr>
              <w:t>dekarbonizacja i rozwój OZE</w:t>
            </w:r>
            <w:r w:rsidR="0077635D">
              <w:rPr>
                <w:rFonts w:ascii="Times New Roman" w:hAnsi="Times New Roman"/>
                <w:color w:val="000000"/>
                <w:spacing w:val="-2"/>
              </w:rPr>
              <w:t xml:space="preserve"> (1.2)</w:t>
            </w:r>
            <w:r>
              <w:rPr>
                <w:rFonts w:ascii="Times New Roman" w:hAnsi="Times New Roman"/>
                <w:color w:val="000000"/>
                <w:spacing w:val="-2"/>
              </w:rPr>
              <w:t xml:space="preserve">, </w:t>
            </w:r>
            <w:r w:rsidR="0077635D">
              <w:rPr>
                <w:rFonts w:ascii="Times New Roman" w:hAnsi="Times New Roman"/>
                <w:color w:val="000000"/>
                <w:spacing w:val="-2"/>
              </w:rPr>
              <w:t>pokrycie zapotrzebowania na energię (3.7), sprawna transformacja i ochrona konsumentów (4.5),</w:t>
            </w:r>
            <w:r w:rsidR="002E3267">
              <w:rPr>
                <w:rFonts w:ascii="Times New Roman" w:hAnsi="Times New Roman"/>
                <w:color w:val="000000"/>
                <w:spacing w:val="-2"/>
              </w:rPr>
              <w:t xml:space="preserve"> </w:t>
            </w:r>
            <w:r w:rsidR="001F2080">
              <w:rPr>
                <w:rFonts w:ascii="Times New Roman" w:hAnsi="Times New Roman"/>
                <w:color w:val="000000"/>
                <w:spacing w:val="-2"/>
              </w:rPr>
              <w:t xml:space="preserve">badania naukowe, innowacje i konkurencyjność (5). </w:t>
            </w:r>
            <w:r w:rsidR="0077635D">
              <w:rPr>
                <w:rFonts w:ascii="Times New Roman" w:hAnsi="Times New Roman"/>
                <w:color w:val="000000"/>
                <w:spacing w:val="-2"/>
              </w:rPr>
              <w:t xml:space="preserve"> </w:t>
            </w:r>
          </w:p>
          <w:p w14:paraId="364C8C0D" w14:textId="1B358A2D" w:rsidR="00A841DC" w:rsidRDefault="001F2080" w:rsidP="009C7FDE">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Szczegółowe </w:t>
            </w:r>
            <w:r w:rsidR="002E3267">
              <w:rPr>
                <w:rFonts w:ascii="Times New Roman" w:hAnsi="Times New Roman"/>
                <w:color w:val="000000"/>
                <w:spacing w:val="-2"/>
              </w:rPr>
              <w:t>analizy przedstawiają pozytywny wpływ rozwoju sektora MEW na rynek pracy, krajowych przedsiębiorców oraz ceny energii elektrycznej dla odbiorców końcowych</w:t>
            </w:r>
            <w:r w:rsidR="00101FEC">
              <w:rPr>
                <w:rFonts w:ascii="Times New Roman" w:hAnsi="Times New Roman"/>
                <w:color w:val="000000"/>
                <w:spacing w:val="-2"/>
              </w:rPr>
              <w:t>.</w:t>
            </w:r>
            <w:r w:rsidR="006E0497">
              <w:rPr>
                <w:rFonts w:ascii="Times New Roman" w:hAnsi="Times New Roman"/>
                <w:color w:val="000000"/>
                <w:spacing w:val="-2"/>
              </w:rPr>
              <w:t xml:space="preserve"> </w:t>
            </w:r>
            <w:r w:rsidR="00101FEC" w:rsidRPr="00101FEC">
              <w:rPr>
                <w:rFonts w:ascii="Times New Roman" w:hAnsi="Times New Roman"/>
                <w:color w:val="000000"/>
                <w:spacing w:val="-2"/>
              </w:rPr>
              <w:t xml:space="preserve">Według </w:t>
            </w:r>
            <w:r w:rsidR="009C7FDE">
              <w:rPr>
                <w:rFonts w:ascii="Times New Roman" w:hAnsi="Times New Roman"/>
                <w:color w:val="000000"/>
                <w:spacing w:val="-2"/>
              </w:rPr>
              <w:t xml:space="preserve">raportu PSEW pt. Rozwój przemysłu onshore </w:t>
            </w:r>
            <w:r w:rsidR="00944BCE">
              <w:rPr>
                <w:rFonts w:ascii="Times New Roman" w:hAnsi="Times New Roman"/>
                <w:color w:val="000000"/>
                <w:spacing w:val="-2"/>
              </w:rPr>
              <w:t>i </w:t>
            </w:r>
            <w:r w:rsidR="009C7FDE">
              <w:rPr>
                <w:rFonts w:ascii="Times New Roman" w:hAnsi="Times New Roman"/>
                <w:color w:val="000000"/>
                <w:spacing w:val="-2"/>
              </w:rPr>
              <w:t>offhore wind w Polsce</w:t>
            </w:r>
            <w:r w:rsidR="00BF244F">
              <w:rPr>
                <w:rFonts w:ascii="Times New Roman" w:hAnsi="Times New Roman"/>
                <w:color w:val="000000"/>
                <w:spacing w:val="-2"/>
              </w:rPr>
              <w:t xml:space="preserve"> - </w:t>
            </w:r>
            <w:r w:rsidR="00BF244F" w:rsidRPr="00BF244F">
              <w:rPr>
                <w:rFonts w:ascii="Times New Roman" w:hAnsi="Times New Roman"/>
                <w:color w:val="000000"/>
                <w:spacing w:val="-2"/>
              </w:rPr>
              <w:t>Budowa łańcucha dostaw dla energetyki wiatrowej - plan działania</w:t>
            </w:r>
            <w:r w:rsidR="006E0497">
              <w:rPr>
                <w:rFonts w:ascii="Times New Roman" w:hAnsi="Times New Roman"/>
                <w:color w:val="000000"/>
                <w:spacing w:val="-2"/>
              </w:rPr>
              <w:t xml:space="preserve"> z 2024 r.,</w:t>
            </w:r>
            <w:r w:rsidR="009C7FDE">
              <w:rPr>
                <w:rFonts w:ascii="Times New Roman" w:hAnsi="Times New Roman"/>
                <w:color w:val="000000"/>
                <w:spacing w:val="-2"/>
              </w:rPr>
              <w:t xml:space="preserve"> s</w:t>
            </w:r>
            <w:r w:rsidR="009C7FDE" w:rsidRPr="009C7FDE">
              <w:rPr>
                <w:rFonts w:ascii="Times New Roman" w:hAnsi="Times New Roman"/>
                <w:color w:val="000000"/>
                <w:spacing w:val="-2"/>
              </w:rPr>
              <w:t>zacuje się, że projekty MEW do 2030 r. mogą stworzyć</w:t>
            </w:r>
            <w:r w:rsidR="00C1143F">
              <w:rPr>
                <w:rFonts w:ascii="Times New Roman" w:hAnsi="Times New Roman"/>
                <w:color w:val="000000"/>
                <w:spacing w:val="-2"/>
              </w:rPr>
              <w:t xml:space="preserve"> </w:t>
            </w:r>
            <w:r w:rsidR="009C7FDE" w:rsidRPr="009C7FDE">
              <w:rPr>
                <w:rFonts w:ascii="Times New Roman" w:hAnsi="Times New Roman"/>
                <w:color w:val="000000"/>
                <w:spacing w:val="-2"/>
              </w:rPr>
              <w:t>w Polsce miejsce pracy dla 39-63 tys. pracowników, w tym 13-21 tys. bezpośrednio</w:t>
            </w:r>
            <w:r w:rsidR="006E0497">
              <w:rPr>
                <w:rFonts w:ascii="Times New Roman" w:hAnsi="Times New Roman"/>
                <w:color w:val="000000"/>
                <w:spacing w:val="-2"/>
              </w:rPr>
              <w:t xml:space="preserve"> </w:t>
            </w:r>
            <w:r w:rsidR="009C7FDE" w:rsidRPr="009C7FDE">
              <w:rPr>
                <w:rFonts w:ascii="Times New Roman" w:hAnsi="Times New Roman"/>
                <w:color w:val="000000"/>
                <w:spacing w:val="-2"/>
              </w:rPr>
              <w:t>w sektorze MEW i 10-17 tys. pośrednich miejsc pracy.</w:t>
            </w:r>
            <w:r w:rsidR="006E0497">
              <w:rPr>
                <w:rFonts w:ascii="Times New Roman" w:hAnsi="Times New Roman"/>
                <w:color w:val="000000"/>
                <w:spacing w:val="-2"/>
              </w:rPr>
              <w:t xml:space="preserve"> </w:t>
            </w:r>
          </w:p>
          <w:p w14:paraId="332407CA" w14:textId="75C1AC3D" w:rsidR="009C7FDE" w:rsidRDefault="006E0497" w:rsidP="009C7FDE">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Do branż z największą szansą na rozwój należą </w:t>
            </w:r>
            <w:r w:rsidR="002E2776">
              <w:rPr>
                <w:rFonts w:ascii="Times New Roman" w:hAnsi="Times New Roman"/>
                <w:color w:val="000000"/>
                <w:spacing w:val="-2"/>
              </w:rPr>
              <w:t xml:space="preserve">flota serwisowa, przemysł portowy, przemysł związany z produkcją oraz montażem elementów MFW, </w:t>
            </w:r>
            <w:r w:rsidR="002E2776">
              <w:rPr>
                <w:rFonts w:ascii="Times New Roman" w:hAnsi="Times New Roman"/>
                <w:color w:val="000000"/>
                <w:spacing w:val="-2"/>
              </w:rPr>
              <w:lastRenderedPageBreak/>
              <w:t>przemysł związany ze stacjami tra</w:t>
            </w:r>
            <w:r w:rsidR="00A841DC">
              <w:rPr>
                <w:rFonts w:ascii="Times New Roman" w:hAnsi="Times New Roman"/>
                <w:color w:val="000000"/>
                <w:spacing w:val="-2"/>
              </w:rPr>
              <w:t xml:space="preserve">nsformatorowymi oraz kablami, przemysł stalowy. </w:t>
            </w:r>
          </w:p>
          <w:p w14:paraId="7069760D" w14:textId="7002ACB2" w:rsidR="001D73F7" w:rsidRDefault="00A841DC" w:rsidP="00ED521C">
            <w:pPr>
              <w:spacing w:before="120" w:after="120" w:line="240" w:lineRule="auto"/>
              <w:jc w:val="both"/>
              <w:rPr>
                <w:rFonts w:ascii="Times New Roman" w:hAnsi="Times New Roman"/>
                <w:color w:val="000000"/>
                <w:spacing w:val="-2"/>
              </w:rPr>
            </w:pPr>
            <w:r>
              <w:rPr>
                <w:rFonts w:ascii="Times New Roman" w:hAnsi="Times New Roman"/>
                <w:color w:val="000000"/>
                <w:spacing w:val="-2"/>
              </w:rPr>
              <w:t>Jednocześnie, j</w:t>
            </w:r>
            <w:r w:rsidR="00E7568C">
              <w:rPr>
                <w:rFonts w:ascii="Times New Roman" w:hAnsi="Times New Roman"/>
                <w:color w:val="000000"/>
                <w:spacing w:val="-2"/>
              </w:rPr>
              <w:t xml:space="preserve">ak </w:t>
            </w:r>
            <w:r w:rsidR="00E7568C" w:rsidRPr="00E7568C">
              <w:rPr>
                <w:rFonts w:ascii="Times New Roman" w:hAnsi="Times New Roman"/>
                <w:color w:val="000000"/>
                <w:spacing w:val="-2"/>
              </w:rPr>
              <w:t>wynika z</w:t>
            </w:r>
            <w:r w:rsidR="00DB210C">
              <w:rPr>
                <w:rFonts w:ascii="Times New Roman" w:hAnsi="Times New Roman"/>
                <w:color w:val="000000"/>
                <w:spacing w:val="-2"/>
              </w:rPr>
              <w:t xml:space="preserve"> zaprezentowanej 10 września 2024 r.</w:t>
            </w:r>
            <w:r w:rsidR="00E7568C" w:rsidRPr="00E7568C">
              <w:rPr>
                <w:rFonts w:ascii="Times New Roman" w:hAnsi="Times New Roman"/>
                <w:color w:val="000000"/>
                <w:spacing w:val="-2"/>
              </w:rPr>
              <w:t xml:space="preserve"> analizy Polskiego Stowarzyszenia Energetyki Wiatrowej</w:t>
            </w:r>
            <w:r w:rsidR="00E7568C">
              <w:rPr>
                <w:rFonts w:ascii="Times New Roman" w:hAnsi="Times New Roman"/>
                <w:color w:val="000000"/>
                <w:spacing w:val="-2"/>
              </w:rPr>
              <w:t xml:space="preserve"> </w:t>
            </w:r>
            <w:r w:rsidR="00DB210C">
              <w:rPr>
                <w:rFonts w:ascii="Times New Roman" w:hAnsi="Times New Roman"/>
                <w:color w:val="000000"/>
                <w:spacing w:val="-2"/>
              </w:rPr>
              <w:t xml:space="preserve">(PSEW) pn. </w:t>
            </w:r>
            <w:r w:rsidR="00DB210C" w:rsidRPr="00DB210C">
              <w:rPr>
                <w:rFonts w:ascii="Times New Roman" w:hAnsi="Times New Roman"/>
                <w:color w:val="000000"/>
                <w:spacing w:val="-2"/>
              </w:rPr>
              <w:t>„Offshore – to się opłaca”</w:t>
            </w:r>
            <w:r w:rsidR="00DB210C">
              <w:rPr>
                <w:rFonts w:ascii="Times New Roman" w:hAnsi="Times New Roman"/>
                <w:color w:val="000000"/>
                <w:spacing w:val="-2"/>
              </w:rPr>
              <w:t xml:space="preserve"> </w:t>
            </w:r>
            <w:r w:rsidR="00E7568C">
              <w:rPr>
                <w:rFonts w:ascii="Times New Roman" w:hAnsi="Times New Roman"/>
                <w:color w:val="000000"/>
                <w:spacing w:val="-2"/>
              </w:rPr>
              <w:t>MEW</w:t>
            </w:r>
            <w:r w:rsidR="00E7568C" w:rsidRPr="00E7568C">
              <w:rPr>
                <w:rFonts w:ascii="Times New Roman" w:hAnsi="Times New Roman"/>
                <w:color w:val="000000"/>
                <w:spacing w:val="-2"/>
              </w:rPr>
              <w:t xml:space="preserve"> przyczyni się do obniżenia cen energii elektrycznej na rynku</w:t>
            </w:r>
            <w:r w:rsidR="00DB210C">
              <w:rPr>
                <w:rFonts w:ascii="Times New Roman" w:hAnsi="Times New Roman"/>
                <w:color w:val="000000"/>
                <w:spacing w:val="-2"/>
              </w:rPr>
              <w:t>.</w:t>
            </w:r>
            <w:r w:rsidR="00E7568C" w:rsidRPr="00E7568C">
              <w:rPr>
                <w:rFonts w:ascii="Times New Roman" w:hAnsi="Times New Roman"/>
                <w:color w:val="000000"/>
                <w:spacing w:val="-2"/>
              </w:rPr>
              <w:t xml:space="preserve"> </w:t>
            </w:r>
            <w:r w:rsidR="001D73F7">
              <w:rPr>
                <w:rFonts w:ascii="Times New Roman" w:hAnsi="Times New Roman"/>
                <w:color w:val="000000"/>
                <w:spacing w:val="-2"/>
              </w:rPr>
              <w:t xml:space="preserve">Wg szacunków PSEW </w:t>
            </w:r>
            <w:r w:rsidR="00E7568C" w:rsidRPr="00E7568C">
              <w:rPr>
                <w:rFonts w:ascii="Times New Roman" w:hAnsi="Times New Roman"/>
                <w:color w:val="000000"/>
                <w:spacing w:val="-2"/>
              </w:rPr>
              <w:t xml:space="preserve">jeśli do miksu energetycznego </w:t>
            </w:r>
            <w:r w:rsidR="00926C20">
              <w:rPr>
                <w:rFonts w:ascii="Times New Roman" w:hAnsi="Times New Roman"/>
                <w:color w:val="000000"/>
                <w:spacing w:val="-2"/>
              </w:rPr>
              <w:t xml:space="preserve">zostanie </w:t>
            </w:r>
            <w:r w:rsidR="00E7568C" w:rsidRPr="00E7568C">
              <w:rPr>
                <w:rFonts w:ascii="Times New Roman" w:hAnsi="Times New Roman"/>
                <w:color w:val="000000"/>
                <w:spacing w:val="-2"/>
              </w:rPr>
              <w:t>wprowadz</w:t>
            </w:r>
            <w:r w:rsidR="00926C20">
              <w:rPr>
                <w:rFonts w:ascii="Times New Roman" w:hAnsi="Times New Roman"/>
                <w:color w:val="000000"/>
                <w:spacing w:val="-2"/>
              </w:rPr>
              <w:t>onych</w:t>
            </w:r>
            <w:r w:rsidR="00E7568C" w:rsidRPr="00E7568C">
              <w:rPr>
                <w:rFonts w:ascii="Times New Roman" w:hAnsi="Times New Roman"/>
                <w:color w:val="000000"/>
                <w:spacing w:val="-2"/>
              </w:rPr>
              <w:t xml:space="preserve"> </w:t>
            </w:r>
            <w:r w:rsidR="00944BCE" w:rsidRPr="00E7568C">
              <w:rPr>
                <w:rFonts w:ascii="Times New Roman" w:hAnsi="Times New Roman"/>
                <w:color w:val="000000"/>
                <w:spacing w:val="-2"/>
              </w:rPr>
              <w:t>18</w:t>
            </w:r>
            <w:r w:rsidR="00944BCE">
              <w:rPr>
                <w:rFonts w:ascii="Times New Roman" w:hAnsi="Times New Roman"/>
                <w:color w:val="000000"/>
                <w:spacing w:val="-2"/>
              </w:rPr>
              <w:t> </w:t>
            </w:r>
            <w:r w:rsidR="00E7568C" w:rsidRPr="00E7568C">
              <w:rPr>
                <w:rFonts w:ascii="Times New Roman" w:hAnsi="Times New Roman"/>
                <w:color w:val="000000"/>
                <w:spacing w:val="-2"/>
              </w:rPr>
              <w:t>GW z morskiej energetyki, to obniży</w:t>
            </w:r>
            <w:r w:rsidR="00926C20">
              <w:rPr>
                <w:rFonts w:ascii="Times New Roman" w:hAnsi="Times New Roman"/>
                <w:color w:val="000000"/>
                <w:spacing w:val="-2"/>
              </w:rPr>
              <w:t xml:space="preserve"> to</w:t>
            </w:r>
            <w:r w:rsidR="00E7568C" w:rsidRPr="00E7568C">
              <w:rPr>
                <w:rFonts w:ascii="Times New Roman" w:hAnsi="Times New Roman"/>
                <w:color w:val="000000"/>
                <w:spacing w:val="-2"/>
              </w:rPr>
              <w:t xml:space="preserve"> cenę energii </w:t>
            </w:r>
            <w:r w:rsidR="00885C66">
              <w:rPr>
                <w:rFonts w:ascii="Times New Roman" w:hAnsi="Times New Roman"/>
                <w:color w:val="000000"/>
                <w:spacing w:val="-2"/>
              </w:rPr>
              <w:t xml:space="preserve">elektrycznej </w:t>
            </w:r>
            <w:r w:rsidR="00E7568C" w:rsidRPr="00E7568C">
              <w:rPr>
                <w:rFonts w:ascii="Times New Roman" w:hAnsi="Times New Roman"/>
                <w:color w:val="000000"/>
                <w:spacing w:val="-2"/>
              </w:rPr>
              <w:t xml:space="preserve">nawet </w:t>
            </w:r>
            <w:r w:rsidR="00926C20">
              <w:rPr>
                <w:rFonts w:ascii="Times New Roman" w:hAnsi="Times New Roman"/>
                <w:color w:val="000000"/>
                <w:spacing w:val="-2"/>
              </w:rPr>
              <w:t>d</w:t>
            </w:r>
            <w:r w:rsidR="00E7568C" w:rsidRPr="00E7568C">
              <w:rPr>
                <w:rFonts w:ascii="Times New Roman" w:hAnsi="Times New Roman"/>
                <w:color w:val="000000"/>
                <w:spacing w:val="-2"/>
              </w:rPr>
              <w:t xml:space="preserve">o </w:t>
            </w:r>
            <w:r w:rsidR="001D73F7">
              <w:rPr>
                <w:rFonts w:ascii="Times New Roman" w:hAnsi="Times New Roman"/>
                <w:color w:val="000000"/>
                <w:spacing w:val="-2"/>
              </w:rPr>
              <w:t>kilk</w:t>
            </w:r>
            <w:r w:rsidR="00926C20">
              <w:rPr>
                <w:rFonts w:ascii="Times New Roman" w:hAnsi="Times New Roman"/>
                <w:color w:val="000000"/>
                <w:spacing w:val="-2"/>
              </w:rPr>
              <w:t>u</w:t>
            </w:r>
            <w:r w:rsidR="001D73F7">
              <w:rPr>
                <w:rFonts w:ascii="Times New Roman" w:hAnsi="Times New Roman"/>
                <w:color w:val="000000"/>
                <w:spacing w:val="-2"/>
              </w:rPr>
              <w:t>dziesi</w:t>
            </w:r>
            <w:r w:rsidR="00926C20">
              <w:rPr>
                <w:rFonts w:ascii="Times New Roman" w:hAnsi="Times New Roman"/>
                <w:color w:val="000000"/>
                <w:spacing w:val="-2"/>
              </w:rPr>
              <w:t>ęciu</w:t>
            </w:r>
            <w:r w:rsidR="001D73F7">
              <w:rPr>
                <w:rFonts w:ascii="Times New Roman" w:hAnsi="Times New Roman"/>
                <w:color w:val="000000"/>
                <w:spacing w:val="-2"/>
              </w:rPr>
              <w:t xml:space="preserve"> </w:t>
            </w:r>
            <w:r w:rsidR="00E7568C" w:rsidRPr="00E7568C">
              <w:rPr>
                <w:rFonts w:ascii="Times New Roman" w:hAnsi="Times New Roman"/>
                <w:color w:val="000000"/>
                <w:spacing w:val="-2"/>
              </w:rPr>
              <w:t>%, w porównaniu do ceny</w:t>
            </w:r>
            <w:r w:rsidR="00926C20">
              <w:rPr>
                <w:rFonts w:ascii="Times New Roman" w:hAnsi="Times New Roman"/>
                <w:color w:val="000000"/>
                <w:spacing w:val="-2"/>
              </w:rPr>
              <w:t xml:space="preserve"> </w:t>
            </w:r>
            <w:r w:rsidR="00E7568C" w:rsidRPr="00E7568C">
              <w:rPr>
                <w:rFonts w:ascii="Times New Roman" w:hAnsi="Times New Roman"/>
                <w:color w:val="000000"/>
                <w:spacing w:val="-2"/>
              </w:rPr>
              <w:t>uzyska</w:t>
            </w:r>
            <w:r w:rsidR="00926C20">
              <w:rPr>
                <w:rFonts w:ascii="Times New Roman" w:hAnsi="Times New Roman"/>
                <w:color w:val="000000"/>
                <w:spacing w:val="-2"/>
              </w:rPr>
              <w:t xml:space="preserve">nej </w:t>
            </w:r>
            <w:r w:rsidR="00E7568C" w:rsidRPr="00E7568C">
              <w:rPr>
                <w:rFonts w:ascii="Times New Roman" w:hAnsi="Times New Roman"/>
                <w:color w:val="000000"/>
                <w:spacing w:val="-2"/>
              </w:rPr>
              <w:t xml:space="preserve"> przy wprowadzeniu jedynie 5,9 GW. </w:t>
            </w:r>
          </w:p>
          <w:p w14:paraId="7BE85FC8" w14:textId="31A82C64" w:rsidR="00E7568C" w:rsidRPr="00E7568C" w:rsidRDefault="00E7568C" w:rsidP="00ED521C">
            <w:pPr>
              <w:spacing w:before="120" w:after="120" w:line="240" w:lineRule="auto"/>
              <w:jc w:val="both"/>
              <w:rPr>
                <w:rFonts w:ascii="Times New Roman" w:hAnsi="Times New Roman"/>
                <w:color w:val="000000"/>
                <w:spacing w:val="-2"/>
              </w:rPr>
            </w:pPr>
            <w:r w:rsidRPr="00E7568C">
              <w:rPr>
                <w:rFonts w:ascii="Times New Roman" w:hAnsi="Times New Roman"/>
                <w:color w:val="000000"/>
                <w:spacing w:val="-2"/>
              </w:rPr>
              <w:t xml:space="preserve">Rozwój </w:t>
            </w:r>
            <w:r w:rsidR="00DB210C">
              <w:rPr>
                <w:rFonts w:ascii="Times New Roman" w:hAnsi="Times New Roman"/>
                <w:color w:val="000000"/>
                <w:spacing w:val="-2"/>
              </w:rPr>
              <w:t>MEW</w:t>
            </w:r>
            <w:r w:rsidRPr="00E7568C">
              <w:rPr>
                <w:rFonts w:ascii="Times New Roman" w:hAnsi="Times New Roman"/>
                <w:color w:val="000000"/>
                <w:spacing w:val="-2"/>
              </w:rPr>
              <w:t xml:space="preserve"> oznacza również szereg oszczędności dla gospodarki w postaci niższych kosztów zakupu paliw (węgiel, gaz), czy mniejszych kosztów pozyskania uprawnień do emisji CO</w:t>
            </w:r>
            <w:r w:rsidRPr="00DB210C">
              <w:rPr>
                <w:rFonts w:ascii="Times New Roman" w:hAnsi="Times New Roman"/>
                <w:color w:val="000000"/>
                <w:spacing w:val="-2"/>
                <w:vertAlign w:val="subscript"/>
              </w:rPr>
              <w:t>2</w:t>
            </w:r>
            <w:r w:rsidRPr="00E7568C">
              <w:rPr>
                <w:rFonts w:ascii="Times New Roman" w:hAnsi="Times New Roman"/>
                <w:color w:val="000000"/>
                <w:spacing w:val="-2"/>
              </w:rPr>
              <w:t xml:space="preserve">. Skuteczne przeprowadzenie aukcji, </w:t>
            </w:r>
            <w:r w:rsidR="00944BCE" w:rsidRPr="00E7568C">
              <w:rPr>
                <w:rFonts w:ascii="Times New Roman" w:hAnsi="Times New Roman"/>
                <w:color w:val="000000"/>
                <w:spacing w:val="-2"/>
              </w:rPr>
              <w:t>a</w:t>
            </w:r>
            <w:r w:rsidR="00944BCE">
              <w:rPr>
                <w:rFonts w:ascii="Times New Roman" w:hAnsi="Times New Roman"/>
                <w:color w:val="000000"/>
                <w:spacing w:val="-2"/>
              </w:rPr>
              <w:t> </w:t>
            </w:r>
            <w:r w:rsidRPr="00E7568C">
              <w:rPr>
                <w:rFonts w:ascii="Times New Roman" w:hAnsi="Times New Roman"/>
                <w:color w:val="000000"/>
                <w:spacing w:val="-2"/>
              </w:rPr>
              <w:t>więc właściwe zaprojektowanie systemu wsparcia dla inwestycji z tzw. II fazy się opłaci</w:t>
            </w:r>
            <w:r w:rsidR="00DB210C">
              <w:rPr>
                <w:rFonts w:ascii="Times New Roman" w:hAnsi="Times New Roman"/>
                <w:color w:val="000000"/>
                <w:spacing w:val="-2"/>
              </w:rPr>
              <w:t>. D</w:t>
            </w:r>
            <w:r w:rsidRPr="00E7568C">
              <w:rPr>
                <w:rFonts w:ascii="Times New Roman" w:hAnsi="Times New Roman"/>
                <w:color w:val="000000"/>
                <w:spacing w:val="-2"/>
              </w:rPr>
              <w:t>zięki niemu odbiorcy zapłacą mniej za energię elektryczną.</w:t>
            </w:r>
          </w:p>
          <w:p w14:paraId="609E2113" w14:textId="0B9DB9C9" w:rsidR="00627A37" w:rsidRDefault="00627A37" w:rsidP="00DB210C">
            <w:pPr>
              <w:spacing w:before="120" w:after="120" w:line="240" w:lineRule="auto"/>
              <w:jc w:val="both"/>
              <w:rPr>
                <w:rFonts w:ascii="Times New Roman" w:hAnsi="Times New Roman"/>
                <w:color w:val="000000"/>
                <w:spacing w:val="-2"/>
              </w:rPr>
            </w:pPr>
            <w:r>
              <w:rPr>
                <w:rFonts w:ascii="Times New Roman" w:hAnsi="Times New Roman"/>
                <w:color w:val="000000"/>
                <w:spacing w:val="-2"/>
              </w:rPr>
              <w:t xml:space="preserve">Z kolei wdrożenie obszarów przyspieszonego rozwoju </w:t>
            </w:r>
            <w:r w:rsidR="001778AA">
              <w:rPr>
                <w:rFonts w:ascii="Times New Roman" w:hAnsi="Times New Roman"/>
                <w:color w:val="000000"/>
                <w:spacing w:val="-2"/>
              </w:rPr>
              <w:t xml:space="preserve">instalacji </w:t>
            </w:r>
            <w:r>
              <w:rPr>
                <w:rFonts w:ascii="Times New Roman" w:hAnsi="Times New Roman"/>
                <w:color w:val="000000"/>
                <w:spacing w:val="-2"/>
              </w:rPr>
              <w:t>OZE przyczyni się do z</w:t>
            </w:r>
            <w:r w:rsidRPr="00DD284D">
              <w:rPr>
                <w:rFonts w:ascii="Times New Roman" w:hAnsi="Times New Roman"/>
                <w:color w:val="000000"/>
                <w:spacing w:val="-2"/>
              </w:rPr>
              <w:t>apewnieni</w:t>
            </w:r>
            <w:r>
              <w:rPr>
                <w:rFonts w:ascii="Times New Roman" w:hAnsi="Times New Roman"/>
                <w:color w:val="000000"/>
                <w:spacing w:val="-2"/>
              </w:rPr>
              <w:t>a</w:t>
            </w:r>
            <w:r w:rsidRPr="00DD284D">
              <w:rPr>
                <w:rFonts w:ascii="Times New Roman" w:hAnsi="Times New Roman"/>
                <w:color w:val="000000"/>
                <w:spacing w:val="-2"/>
              </w:rPr>
              <w:t xml:space="preserve"> stabilnych warunków do dalszego, dynamicznego </w:t>
            </w:r>
            <w:r w:rsidR="00944BCE" w:rsidRPr="00DD284D">
              <w:rPr>
                <w:rFonts w:ascii="Times New Roman" w:hAnsi="Times New Roman"/>
                <w:color w:val="000000"/>
                <w:spacing w:val="-2"/>
              </w:rPr>
              <w:t>i</w:t>
            </w:r>
            <w:r w:rsidR="00944BCE">
              <w:rPr>
                <w:rFonts w:ascii="Times New Roman" w:hAnsi="Times New Roman"/>
                <w:color w:val="000000"/>
                <w:spacing w:val="-2"/>
              </w:rPr>
              <w:t> </w:t>
            </w:r>
            <w:r w:rsidRPr="00DD284D">
              <w:rPr>
                <w:rFonts w:ascii="Times New Roman" w:hAnsi="Times New Roman"/>
                <w:color w:val="000000"/>
                <w:spacing w:val="-2"/>
              </w:rPr>
              <w:t xml:space="preserve">zrównoważonego rozwoju </w:t>
            </w:r>
            <w:r>
              <w:rPr>
                <w:rFonts w:ascii="Times New Roman" w:hAnsi="Times New Roman"/>
                <w:color w:val="000000"/>
                <w:spacing w:val="-2"/>
              </w:rPr>
              <w:t>energetyki odnawialnej</w:t>
            </w:r>
            <w:r w:rsidRPr="00DD284D">
              <w:rPr>
                <w:rFonts w:ascii="Times New Roman" w:hAnsi="Times New Roman"/>
                <w:color w:val="000000"/>
                <w:spacing w:val="-2"/>
              </w:rPr>
              <w:t xml:space="preserve">, poprzez </w:t>
            </w:r>
            <w:r>
              <w:rPr>
                <w:rFonts w:ascii="Times New Roman" w:hAnsi="Times New Roman"/>
                <w:color w:val="000000"/>
                <w:spacing w:val="-2"/>
              </w:rPr>
              <w:t>zdynamizowanie</w:t>
            </w:r>
            <w:r w:rsidRPr="00DD284D">
              <w:rPr>
                <w:rFonts w:ascii="Times New Roman" w:hAnsi="Times New Roman"/>
                <w:color w:val="000000"/>
                <w:spacing w:val="-2"/>
              </w:rPr>
              <w:t xml:space="preserve"> realizacji inwestycji, a tym samym zwiększenie udziału zeroemisyjnej energii </w:t>
            </w:r>
            <w:r w:rsidR="00944BCE" w:rsidRPr="00DD284D">
              <w:rPr>
                <w:rFonts w:ascii="Times New Roman" w:hAnsi="Times New Roman"/>
                <w:color w:val="000000"/>
                <w:spacing w:val="-2"/>
              </w:rPr>
              <w:t>w</w:t>
            </w:r>
            <w:r w:rsidR="00944BCE">
              <w:rPr>
                <w:rFonts w:ascii="Times New Roman" w:hAnsi="Times New Roman"/>
                <w:color w:val="000000"/>
                <w:spacing w:val="-2"/>
              </w:rPr>
              <w:t> </w:t>
            </w:r>
            <w:r w:rsidRPr="00DD284D">
              <w:rPr>
                <w:rFonts w:ascii="Times New Roman" w:hAnsi="Times New Roman"/>
                <w:color w:val="000000"/>
                <w:spacing w:val="-2"/>
              </w:rPr>
              <w:t>miksie energetycznym i obniżenie cen energii elektrycznej dla odbiorców końcowych.</w:t>
            </w:r>
          </w:p>
          <w:p w14:paraId="054C58A9" w14:textId="60983A72" w:rsidR="00D419EC" w:rsidRPr="00DD284D" w:rsidRDefault="00D419EC" w:rsidP="00DB210C">
            <w:pPr>
              <w:spacing w:before="120" w:after="120" w:line="240" w:lineRule="auto"/>
              <w:jc w:val="both"/>
              <w:rPr>
                <w:rFonts w:ascii="Times New Roman" w:hAnsi="Times New Roman"/>
                <w:color w:val="000000"/>
                <w:spacing w:val="-2"/>
              </w:rPr>
            </w:pPr>
            <w:r>
              <w:rPr>
                <w:rFonts w:ascii="Times New Roman" w:hAnsi="Times New Roman"/>
                <w:color w:val="000000"/>
                <w:spacing w:val="-2"/>
              </w:rPr>
              <w:t>Umożliwienie tworzenia spółdzielni energetycznych na obszarach gmin miejskich zapewni</w:t>
            </w:r>
            <w:r w:rsidRPr="00D419EC">
              <w:rPr>
                <w:rFonts w:ascii="Times New Roman" w:hAnsi="Times New Roman"/>
                <w:color w:val="000000"/>
                <w:spacing w:val="-2"/>
              </w:rPr>
              <w:t xml:space="preserve"> pozytywn</w:t>
            </w:r>
            <w:r>
              <w:rPr>
                <w:rFonts w:ascii="Times New Roman" w:hAnsi="Times New Roman"/>
                <w:color w:val="000000"/>
                <w:spacing w:val="-2"/>
              </w:rPr>
              <w:t>y wpływ</w:t>
            </w:r>
            <w:r w:rsidRPr="00D419EC">
              <w:rPr>
                <w:rFonts w:ascii="Times New Roman" w:hAnsi="Times New Roman"/>
                <w:color w:val="000000"/>
                <w:spacing w:val="-2"/>
              </w:rPr>
              <w:t xml:space="preserve"> na </w:t>
            </w:r>
            <w:r>
              <w:rPr>
                <w:rFonts w:ascii="Times New Roman" w:hAnsi="Times New Roman"/>
                <w:color w:val="000000"/>
                <w:spacing w:val="-2"/>
              </w:rPr>
              <w:t xml:space="preserve">ich </w:t>
            </w:r>
            <w:r w:rsidRPr="00D419EC">
              <w:rPr>
                <w:rFonts w:ascii="Times New Roman" w:hAnsi="Times New Roman"/>
                <w:color w:val="000000"/>
                <w:spacing w:val="-2"/>
              </w:rPr>
              <w:t xml:space="preserve">rozwój społeczno </w:t>
            </w:r>
            <w:r>
              <w:rPr>
                <w:rFonts w:ascii="Times New Roman" w:hAnsi="Times New Roman"/>
                <w:color w:val="000000"/>
                <w:spacing w:val="-2"/>
              </w:rPr>
              <w:t>–</w:t>
            </w:r>
            <w:r w:rsidRPr="00D419EC">
              <w:rPr>
                <w:rFonts w:ascii="Times New Roman" w:hAnsi="Times New Roman"/>
                <w:color w:val="000000"/>
                <w:spacing w:val="-2"/>
              </w:rPr>
              <w:t xml:space="preserve"> gospodarczy</w:t>
            </w:r>
            <w:r>
              <w:rPr>
                <w:rFonts w:ascii="Times New Roman" w:hAnsi="Times New Roman"/>
                <w:color w:val="000000"/>
                <w:spacing w:val="-2"/>
              </w:rPr>
              <w:t xml:space="preserve"> oraz redukcję cen energii członkom tych kooperatyw, </w:t>
            </w:r>
            <w:r w:rsidRPr="00D419EC">
              <w:rPr>
                <w:rFonts w:ascii="Times New Roman" w:hAnsi="Times New Roman"/>
                <w:color w:val="000000"/>
                <w:spacing w:val="-2"/>
              </w:rPr>
              <w:t>stając jednocześnie naprzeciw problemowi ubóstwa energetycznego.</w:t>
            </w:r>
            <w:r>
              <w:rPr>
                <w:rFonts w:ascii="Times New Roman" w:hAnsi="Times New Roman"/>
                <w:color w:val="000000"/>
                <w:spacing w:val="-2"/>
              </w:rPr>
              <w:t xml:space="preserve"> </w:t>
            </w:r>
          </w:p>
        </w:tc>
      </w:tr>
      <w:tr w:rsidR="00E7568C" w:rsidRPr="00A87B3A" w14:paraId="6BEDA658" w14:textId="77777777" w:rsidTr="00676C8D">
        <w:trPr>
          <w:gridAfter w:val="1"/>
          <w:wAfter w:w="10" w:type="dxa"/>
          <w:trHeight w:val="142"/>
        </w:trPr>
        <w:tc>
          <w:tcPr>
            <w:tcW w:w="1596" w:type="dxa"/>
            <w:vMerge/>
            <w:shd w:val="clear" w:color="auto" w:fill="FFFFFF"/>
          </w:tcPr>
          <w:p w14:paraId="4C07B475" w14:textId="77777777" w:rsidR="00E7568C" w:rsidRPr="00A87B3A" w:rsidRDefault="00E7568C" w:rsidP="00830ACC">
            <w:pPr>
              <w:spacing w:before="120" w:after="120" w:line="240" w:lineRule="auto"/>
              <w:rPr>
                <w:rFonts w:ascii="Times New Roman" w:hAnsi="Times New Roman"/>
                <w:color w:val="000000"/>
              </w:rPr>
            </w:pPr>
          </w:p>
        </w:tc>
        <w:tc>
          <w:tcPr>
            <w:tcW w:w="2293" w:type="dxa"/>
            <w:gridSpan w:val="6"/>
            <w:shd w:val="clear" w:color="auto" w:fill="FFFFFF"/>
          </w:tcPr>
          <w:p w14:paraId="5EA2CCEF" w14:textId="77777777" w:rsidR="00E7568C" w:rsidRPr="00A87B3A" w:rsidRDefault="00E7568C" w:rsidP="00830ACC">
            <w:pPr>
              <w:spacing w:before="120" w:after="120" w:line="240" w:lineRule="auto"/>
              <w:rPr>
                <w:rFonts w:ascii="Times New Roman" w:hAnsi="Times New Roman"/>
                <w:color w:val="000000"/>
              </w:rPr>
            </w:pPr>
            <w:r w:rsidRPr="00A87B3A">
              <w:rPr>
                <w:rFonts w:ascii="Times New Roman" w:hAnsi="Times New Roman"/>
                <w:color w:val="000000"/>
              </w:rPr>
              <w:t>sektor mikro-, małych i średnich przedsiębiorstw</w:t>
            </w:r>
          </w:p>
        </w:tc>
        <w:tc>
          <w:tcPr>
            <w:tcW w:w="7048" w:type="dxa"/>
            <w:gridSpan w:val="20"/>
            <w:vMerge/>
            <w:shd w:val="clear" w:color="auto" w:fill="FFFFFF"/>
          </w:tcPr>
          <w:p w14:paraId="269CE443" w14:textId="77777777" w:rsidR="00E7568C" w:rsidRPr="00DB047F" w:rsidRDefault="00E7568C" w:rsidP="00830ACC">
            <w:pPr>
              <w:spacing w:before="120" w:after="120" w:line="240" w:lineRule="auto"/>
              <w:rPr>
                <w:rFonts w:ascii="Times New Roman" w:hAnsi="Times New Roman"/>
                <w:color w:val="000000"/>
                <w:spacing w:val="-2"/>
              </w:rPr>
            </w:pPr>
          </w:p>
        </w:tc>
      </w:tr>
      <w:tr w:rsidR="00E7568C" w:rsidRPr="00A87B3A" w14:paraId="25B9F46F" w14:textId="77777777" w:rsidTr="00676C8D">
        <w:trPr>
          <w:gridAfter w:val="1"/>
          <w:wAfter w:w="10" w:type="dxa"/>
          <w:trHeight w:val="596"/>
        </w:trPr>
        <w:tc>
          <w:tcPr>
            <w:tcW w:w="1596" w:type="dxa"/>
            <w:vMerge/>
            <w:shd w:val="clear" w:color="auto" w:fill="FFFFFF"/>
          </w:tcPr>
          <w:p w14:paraId="17136D2A" w14:textId="77777777" w:rsidR="00E7568C" w:rsidRPr="00A87B3A" w:rsidRDefault="00E7568C" w:rsidP="00830ACC">
            <w:pPr>
              <w:spacing w:line="240" w:lineRule="auto"/>
              <w:rPr>
                <w:rFonts w:ascii="Times New Roman" w:hAnsi="Times New Roman"/>
                <w:color w:val="000000"/>
              </w:rPr>
            </w:pPr>
          </w:p>
        </w:tc>
        <w:tc>
          <w:tcPr>
            <w:tcW w:w="2293" w:type="dxa"/>
            <w:gridSpan w:val="6"/>
            <w:shd w:val="clear" w:color="auto" w:fill="FFFFFF"/>
          </w:tcPr>
          <w:p w14:paraId="5F4FAD03" w14:textId="77777777" w:rsidR="00E7568C" w:rsidRPr="00A87B3A" w:rsidRDefault="00E7568C" w:rsidP="00830ACC">
            <w:pPr>
              <w:tabs>
                <w:tab w:val="right" w:pos="1936"/>
              </w:tabs>
              <w:spacing w:before="120" w:after="120" w:line="240" w:lineRule="auto"/>
              <w:rPr>
                <w:rFonts w:ascii="Times New Roman" w:hAnsi="Times New Roman"/>
                <w:color w:val="000000"/>
              </w:rPr>
            </w:pPr>
            <w:r w:rsidRPr="00A87B3A">
              <w:rPr>
                <w:rFonts w:ascii="Times New Roman" w:hAnsi="Times New Roman"/>
              </w:rPr>
              <w:t>rodzina, obywatele oraz gospodarstwa domowe</w:t>
            </w:r>
            <w:r w:rsidRPr="00A87B3A">
              <w:rPr>
                <w:rFonts w:ascii="Times New Roman" w:hAnsi="Times New Roman"/>
                <w:color w:val="000000"/>
              </w:rPr>
              <w:t xml:space="preserve"> </w:t>
            </w:r>
          </w:p>
        </w:tc>
        <w:tc>
          <w:tcPr>
            <w:tcW w:w="7048" w:type="dxa"/>
            <w:gridSpan w:val="20"/>
            <w:vMerge/>
            <w:shd w:val="clear" w:color="auto" w:fill="FFFFFF"/>
          </w:tcPr>
          <w:p w14:paraId="0EAD343E" w14:textId="519A0813" w:rsidR="00E7568C" w:rsidRPr="00DB047F" w:rsidRDefault="00E7568C" w:rsidP="00830ACC">
            <w:pPr>
              <w:spacing w:before="120" w:after="120" w:line="240" w:lineRule="auto"/>
              <w:jc w:val="both"/>
              <w:rPr>
                <w:rFonts w:ascii="Times New Roman" w:hAnsi="Times New Roman"/>
                <w:color w:val="000000"/>
                <w:spacing w:val="-2"/>
              </w:rPr>
            </w:pPr>
          </w:p>
        </w:tc>
      </w:tr>
      <w:tr w:rsidR="00E7568C" w:rsidRPr="00A87B3A" w14:paraId="5592C578" w14:textId="77777777" w:rsidTr="00676C8D">
        <w:trPr>
          <w:gridAfter w:val="1"/>
          <w:wAfter w:w="10" w:type="dxa"/>
          <w:trHeight w:val="240"/>
        </w:trPr>
        <w:tc>
          <w:tcPr>
            <w:tcW w:w="1596" w:type="dxa"/>
            <w:vMerge/>
            <w:shd w:val="clear" w:color="auto" w:fill="FFFFFF"/>
          </w:tcPr>
          <w:p w14:paraId="69E30BDB" w14:textId="77777777" w:rsidR="00E7568C" w:rsidRPr="00A87B3A" w:rsidRDefault="00E7568C" w:rsidP="00830ACC">
            <w:pPr>
              <w:spacing w:line="240" w:lineRule="auto"/>
              <w:rPr>
                <w:rFonts w:ascii="Times New Roman" w:hAnsi="Times New Roman"/>
                <w:color w:val="000000"/>
              </w:rPr>
            </w:pPr>
          </w:p>
        </w:tc>
        <w:tc>
          <w:tcPr>
            <w:tcW w:w="2293" w:type="dxa"/>
            <w:gridSpan w:val="6"/>
            <w:shd w:val="clear" w:color="auto" w:fill="FFFFFF"/>
          </w:tcPr>
          <w:p w14:paraId="464ABFFA" w14:textId="2F0DF8D4" w:rsidR="00E7568C" w:rsidRPr="00A87B3A" w:rsidRDefault="00E7568C" w:rsidP="00830ACC">
            <w:pPr>
              <w:tabs>
                <w:tab w:val="right" w:pos="1936"/>
              </w:tabs>
              <w:spacing w:before="120" w:after="120" w:line="240" w:lineRule="auto"/>
              <w:rPr>
                <w:rFonts w:ascii="Times New Roman" w:hAnsi="Times New Roman"/>
              </w:rPr>
            </w:pPr>
            <w:r w:rsidRPr="003453D3">
              <w:rPr>
                <w:rFonts w:ascii="Times New Roman" w:hAnsi="Times New Roman"/>
              </w:rPr>
              <w:fldChar w:fldCharType="begin">
                <w:ffData>
                  <w:name w:val=""/>
                  <w:enabled/>
                  <w:calcOnExit/>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osoby niepełnosprawne oraz osoby starsze"/>
                    <w:maxLength w:val="1000"/>
                  </w:textInput>
                </w:ffData>
              </w:fldChar>
            </w:r>
            <w:r w:rsidRPr="003453D3">
              <w:rPr>
                <w:rFonts w:ascii="Times New Roman" w:hAnsi="Times New Roman"/>
              </w:rPr>
              <w:instrText xml:space="preserve"> FORMTEXT </w:instrText>
            </w:r>
            <w:r w:rsidRPr="003453D3">
              <w:rPr>
                <w:rFonts w:ascii="Times New Roman" w:hAnsi="Times New Roman"/>
              </w:rPr>
            </w:r>
            <w:r w:rsidRPr="003453D3">
              <w:rPr>
                <w:rFonts w:ascii="Times New Roman" w:hAnsi="Times New Roman"/>
              </w:rPr>
              <w:fldChar w:fldCharType="separate"/>
            </w:r>
            <w:r w:rsidRPr="003453D3">
              <w:rPr>
                <w:rFonts w:ascii="Times New Roman" w:hAnsi="Times New Roman"/>
              </w:rPr>
              <w:t>osoby niepełnosprawne oraz osoby starsze</w:t>
            </w:r>
            <w:r w:rsidRPr="003453D3">
              <w:rPr>
                <w:rFonts w:ascii="Times New Roman" w:hAnsi="Times New Roman"/>
              </w:rPr>
              <w:fldChar w:fldCharType="end"/>
            </w:r>
          </w:p>
        </w:tc>
        <w:tc>
          <w:tcPr>
            <w:tcW w:w="7048" w:type="dxa"/>
            <w:gridSpan w:val="20"/>
            <w:vMerge/>
            <w:shd w:val="clear" w:color="auto" w:fill="FFFFFF"/>
          </w:tcPr>
          <w:p w14:paraId="3CB3B77B" w14:textId="77777777" w:rsidR="00E7568C" w:rsidRPr="00A87B3A" w:rsidRDefault="00E7568C" w:rsidP="00830ACC">
            <w:pPr>
              <w:tabs>
                <w:tab w:val="left" w:pos="3000"/>
              </w:tabs>
              <w:spacing w:line="240" w:lineRule="auto"/>
              <w:rPr>
                <w:rFonts w:ascii="Times New Roman" w:hAnsi="Times New Roman"/>
                <w:color w:val="000000"/>
                <w:spacing w:val="-2"/>
              </w:rPr>
            </w:pPr>
          </w:p>
        </w:tc>
      </w:tr>
      <w:tr w:rsidR="00830ACC" w:rsidRPr="00A87B3A" w14:paraId="79E9988F" w14:textId="77777777" w:rsidTr="00676C8D">
        <w:trPr>
          <w:gridAfter w:val="1"/>
          <w:wAfter w:w="10" w:type="dxa"/>
          <w:trHeight w:val="142"/>
        </w:trPr>
        <w:tc>
          <w:tcPr>
            <w:tcW w:w="1596" w:type="dxa"/>
            <w:shd w:val="clear" w:color="auto" w:fill="FFFFFF"/>
          </w:tcPr>
          <w:p w14:paraId="7AAE79FC"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t>Niemierzalne</w:t>
            </w:r>
          </w:p>
        </w:tc>
        <w:tc>
          <w:tcPr>
            <w:tcW w:w="2293" w:type="dxa"/>
            <w:gridSpan w:val="6"/>
            <w:shd w:val="clear" w:color="auto" w:fill="FFFFFF"/>
          </w:tcPr>
          <w:p w14:paraId="128AC03F" w14:textId="205BFF8C" w:rsidR="00830ACC" w:rsidRPr="00A87B3A" w:rsidRDefault="00830ACC" w:rsidP="00830ACC">
            <w:pPr>
              <w:spacing w:line="240" w:lineRule="auto"/>
              <w:rPr>
                <w:rFonts w:ascii="Times New Roman" w:hAnsi="Times New Roman"/>
                <w:color w:val="000000"/>
              </w:rPr>
            </w:pPr>
          </w:p>
        </w:tc>
        <w:tc>
          <w:tcPr>
            <w:tcW w:w="7048" w:type="dxa"/>
            <w:gridSpan w:val="20"/>
            <w:shd w:val="clear" w:color="auto" w:fill="FFFFFF"/>
          </w:tcPr>
          <w:p w14:paraId="6FFDE290" w14:textId="77777777" w:rsidR="00830ACC" w:rsidRPr="00A87B3A" w:rsidRDefault="00830ACC" w:rsidP="00830ACC">
            <w:pPr>
              <w:spacing w:line="240" w:lineRule="auto"/>
              <w:rPr>
                <w:rFonts w:ascii="Times New Roman" w:hAnsi="Times New Roman"/>
                <w:color w:val="000000"/>
                <w:spacing w:val="-2"/>
              </w:rPr>
            </w:pPr>
          </w:p>
        </w:tc>
      </w:tr>
      <w:tr w:rsidR="00830ACC" w:rsidRPr="00A87B3A" w14:paraId="6678593F" w14:textId="77777777" w:rsidTr="001700CF">
        <w:trPr>
          <w:gridAfter w:val="1"/>
          <w:wAfter w:w="10" w:type="dxa"/>
          <w:trHeight w:val="771"/>
        </w:trPr>
        <w:tc>
          <w:tcPr>
            <w:tcW w:w="2243" w:type="dxa"/>
            <w:gridSpan w:val="2"/>
            <w:shd w:val="clear" w:color="auto" w:fill="FFFFFF"/>
          </w:tcPr>
          <w:p w14:paraId="2C16E090" w14:textId="77777777" w:rsidR="00830ACC" w:rsidRPr="00A87B3A" w:rsidRDefault="00830ACC" w:rsidP="00830ACC">
            <w:pPr>
              <w:spacing w:before="120" w:after="120" w:line="240" w:lineRule="auto"/>
              <w:rPr>
                <w:rFonts w:ascii="Times New Roman" w:hAnsi="Times New Roman"/>
                <w:color w:val="000000"/>
              </w:rPr>
            </w:pPr>
            <w:r w:rsidRPr="00A87B3A">
              <w:rPr>
                <w:rFonts w:ascii="Times New Roman" w:hAnsi="Times New Roman"/>
                <w:color w:val="000000"/>
              </w:rPr>
              <w:t xml:space="preserve">Dodatkowe informacje, w tym wskazanie źródeł danych i przyjętych do obliczeń założeń </w:t>
            </w:r>
          </w:p>
        </w:tc>
        <w:tc>
          <w:tcPr>
            <w:tcW w:w="8694" w:type="dxa"/>
            <w:gridSpan w:val="25"/>
            <w:shd w:val="clear" w:color="auto" w:fill="FFFFFF"/>
            <w:vAlign w:val="center"/>
          </w:tcPr>
          <w:p w14:paraId="36AB58BF" w14:textId="3CED053F" w:rsidR="00830ACC" w:rsidRPr="00017C52" w:rsidRDefault="00DB210C" w:rsidP="00017C52">
            <w:pPr>
              <w:spacing w:after="200" w:line="240" w:lineRule="auto"/>
              <w:jc w:val="both"/>
            </w:pPr>
            <w:r w:rsidRPr="00DB210C">
              <w:rPr>
                <w:rFonts w:ascii="Times New Roman" w:hAnsi="Times New Roman"/>
                <w:color w:val="000000"/>
              </w:rPr>
              <w:t xml:space="preserve">Morska energetyka wiatrowa to </w:t>
            </w:r>
            <w:r w:rsidR="00C1143F">
              <w:rPr>
                <w:rFonts w:ascii="Times New Roman" w:hAnsi="Times New Roman"/>
                <w:color w:val="000000"/>
              </w:rPr>
              <w:t xml:space="preserve">jedna z kluczowych </w:t>
            </w:r>
            <w:r w:rsidRPr="00DB210C">
              <w:rPr>
                <w:rFonts w:ascii="Times New Roman" w:hAnsi="Times New Roman"/>
                <w:color w:val="000000"/>
              </w:rPr>
              <w:t>technologi</w:t>
            </w:r>
            <w:r w:rsidR="00C1143F">
              <w:rPr>
                <w:rFonts w:ascii="Times New Roman" w:hAnsi="Times New Roman"/>
                <w:color w:val="000000"/>
              </w:rPr>
              <w:t>i</w:t>
            </w:r>
            <w:r w:rsidRPr="00DB210C">
              <w:rPr>
                <w:rFonts w:ascii="Times New Roman" w:hAnsi="Times New Roman"/>
                <w:color w:val="000000"/>
              </w:rPr>
              <w:t xml:space="preserve"> dla skutecznej i odpowiednio szybkiej transformacji krajowego systemu energetycznego, a także zapewnienia konkurencyjności i</w:t>
            </w:r>
            <w:r w:rsidR="000A53AD">
              <w:rPr>
                <w:rFonts w:ascii="Times New Roman" w:hAnsi="Times New Roman"/>
                <w:color w:val="000000"/>
              </w:rPr>
              <w:t> </w:t>
            </w:r>
            <w:r w:rsidRPr="00DB210C">
              <w:rPr>
                <w:rFonts w:ascii="Times New Roman" w:hAnsi="Times New Roman"/>
                <w:color w:val="000000"/>
              </w:rPr>
              <w:t xml:space="preserve">odporności polskiej gospodarki. </w:t>
            </w:r>
            <w:r w:rsidR="00CA0093" w:rsidRPr="00017C52">
              <w:rPr>
                <w:rFonts w:ascii="Times New Roman" w:hAnsi="Times New Roman"/>
              </w:rPr>
              <w:t xml:space="preserve">Należy zauważyć, że MFW są jedyną wielkoskalową, a przy tym zeroemisyjną technologią wykorzystującą OZE, która ma potencjał w znaczącym stopniu przyczynić się do mitygacji ryzyka wystąpienia niedoborów mocy, nie powodując przy tym znaczących emisji substancji do środowiska (według IPCC 2014 emisje </w:t>
            </w:r>
            <w:r w:rsidR="00944BCE" w:rsidRPr="00017C52">
              <w:rPr>
                <w:rFonts w:ascii="Times New Roman" w:hAnsi="Times New Roman"/>
              </w:rPr>
              <w:t>z</w:t>
            </w:r>
            <w:r w:rsidR="00944BCE">
              <w:rPr>
                <w:rFonts w:ascii="Times New Roman" w:hAnsi="Times New Roman"/>
              </w:rPr>
              <w:t> </w:t>
            </w:r>
            <w:r w:rsidR="00CA0093" w:rsidRPr="00017C52">
              <w:rPr>
                <w:rFonts w:ascii="Times New Roman" w:hAnsi="Times New Roman"/>
              </w:rPr>
              <w:t>generacji MEW w cyklu życia kształtują się na poziomie (mediana) 12 gCO2eq./kWh. Dla porównania lądowa energetyka wiatrowa osiąga parametr 11 gCO2eq./kWh, energetyka wodna 24 gCO2eq./kWh, fotowoltaika 41 – 48 gCO2eq./kWh, a biomasowa 230 gCO2eq./kWh. Takie same parametry co MEW osiąga energetyka jądrowa – 12 gCO2eq./kWh). Przy czym stopień wykorzystania mocy w MFW jest bardzo wysoki i obecnie sięga 45%. Zatem inwestycje w MFW zapewnią stabilne funkcjonowanie Krajowego Systemu Elektroenergetycznego (KSE).</w:t>
            </w:r>
            <w:r w:rsidR="00CA0093">
              <w:t xml:space="preserve"> </w:t>
            </w:r>
            <w:r w:rsidR="00885C66">
              <w:rPr>
                <w:rFonts w:ascii="Times New Roman" w:hAnsi="Times New Roman"/>
                <w:color w:val="000000"/>
              </w:rPr>
              <w:t>Stąd im</w:t>
            </w:r>
            <w:r w:rsidRPr="00DB210C">
              <w:rPr>
                <w:rFonts w:ascii="Times New Roman" w:hAnsi="Times New Roman"/>
                <w:color w:val="000000"/>
              </w:rPr>
              <w:t xml:space="preserve"> więcej energii z</w:t>
            </w:r>
            <w:r w:rsidR="00885C66">
              <w:rPr>
                <w:rFonts w:ascii="Times New Roman" w:hAnsi="Times New Roman"/>
                <w:color w:val="000000"/>
              </w:rPr>
              <w:t xml:space="preserve"> MFW</w:t>
            </w:r>
            <w:r w:rsidRPr="00DB210C">
              <w:rPr>
                <w:rFonts w:ascii="Times New Roman" w:hAnsi="Times New Roman"/>
                <w:color w:val="000000"/>
              </w:rPr>
              <w:t>, tym mniejsze koszty zakupu energii elektrycznej będą ponosić Polscy obywatele i przedsiębiorcy.</w:t>
            </w:r>
          </w:p>
        </w:tc>
      </w:tr>
      <w:tr w:rsidR="00830ACC" w:rsidRPr="00A87B3A" w14:paraId="7A3EE866" w14:textId="77777777" w:rsidTr="00676C8D">
        <w:trPr>
          <w:gridAfter w:val="1"/>
          <w:wAfter w:w="10" w:type="dxa"/>
          <w:trHeight w:val="342"/>
        </w:trPr>
        <w:tc>
          <w:tcPr>
            <w:tcW w:w="10937" w:type="dxa"/>
            <w:gridSpan w:val="27"/>
            <w:shd w:val="clear" w:color="auto" w:fill="99CCFF"/>
            <w:vAlign w:val="center"/>
          </w:tcPr>
          <w:p w14:paraId="3204B921" w14:textId="77777777" w:rsidR="00830ACC" w:rsidRPr="00A87B3A" w:rsidRDefault="00830ACC" w:rsidP="00830ACC">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t xml:space="preserve"> Zmiana obciążeń regulacyjnych (w tym obowiązków informacyjnych) wynikających z projektu</w:t>
            </w:r>
          </w:p>
        </w:tc>
      </w:tr>
      <w:tr w:rsidR="00830ACC" w:rsidRPr="00A87B3A" w14:paraId="2969DEF9" w14:textId="77777777" w:rsidTr="00676C8D">
        <w:trPr>
          <w:gridAfter w:val="1"/>
          <w:wAfter w:w="10" w:type="dxa"/>
          <w:trHeight w:val="151"/>
        </w:trPr>
        <w:tc>
          <w:tcPr>
            <w:tcW w:w="10937" w:type="dxa"/>
            <w:gridSpan w:val="27"/>
            <w:shd w:val="clear" w:color="auto" w:fill="FFFFFF"/>
          </w:tcPr>
          <w:p w14:paraId="5A6680D9" w14:textId="0B577A07" w:rsidR="00830ACC" w:rsidRPr="00A87B3A" w:rsidRDefault="00830ACC" w:rsidP="00830ACC">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nie dotyczy</w:t>
            </w:r>
          </w:p>
        </w:tc>
      </w:tr>
      <w:tr w:rsidR="00830ACC" w:rsidRPr="00A87B3A" w14:paraId="1A6675DE" w14:textId="77777777" w:rsidTr="009629CE">
        <w:trPr>
          <w:gridAfter w:val="1"/>
          <w:wAfter w:w="10" w:type="dxa"/>
          <w:trHeight w:val="760"/>
        </w:trPr>
        <w:tc>
          <w:tcPr>
            <w:tcW w:w="5111" w:type="dxa"/>
            <w:gridSpan w:val="11"/>
            <w:shd w:val="clear" w:color="auto" w:fill="FFFFFF"/>
          </w:tcPr>
          <w:p w14:paraId="5D9BBDA3" w14:textId="77777777" w:rsidR="00830ACC" w:rsidRPr="00A87B3A" w:rsidRDefault="00830ACC" w:rsidP="00830ACC">
            <w:pPr>
              <w:spacing w:line="240" w:lineRule="auto"/>
              <w:rPr>
                <w:rFonts w:ascii="Times New Roman" w:hAnsi="Times New Roman"/>
                <w:color w:val="000000"/>
                <w:spacing w:val="-2"/>
              </w:rPr>
            </w:pPr>
            <w:r w:rsidRPr="00A87B3A">
              <w:rPr>
                <w:rFonts w:ascii="Times New Roman" w:hAnsi="Times New Roman"/>
                <w:color w:val="000000"/>
                <w:spacing w:val="-2"/>
              </w:rPr>
              <w:t xml:space="preserve">Wprowadzane są obciążenia poza bezwzględnie wymaganymi przez UE </w:t>
            </w:r>
            <w:r w:rsidRPr="00A87B3A">
              <w:rPr>
                <w:rFonts w:ascii="Times New Roman" w:hAnsi="Times New Roman"/>
                <w:color w:val="000000"/>
              </w:rPr>
              <w:t>(szczegóły w odwróconej tabeli zgodności).</w:t>
            </w:r>
          </w:p>
        </w:tc>
        <w:tc>
          <w:tcPr>
            <w:tcW w:w="5826" w:type="dxa"/>
            <w:gridSpan w:val="16"/>
            <w:shd w:val="clear" w:color="auto" w:fill="FFFFFF"/>
          </w:tcPr>
          <w:p w14:paraId="3AC7057C"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tak</w:t>
            </w:r>
          </w:p>
          <w:p w14:paraId="002A35C6"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nie</w:t>
            </w:r>
          </w:p>
          <w:p w14:paraId="6E5DAA98" w14:textId="35F122BB" w:rsidR="00830ACC" w:rsidRPr="00A87B3A" w:rsidRDefault="00830ACC" w:rsidP="00830ACC">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A87B3A">
              <w:rPr>
                <w:rFonts w:ascii="Times New Roman" w:hAnsi="Times New Roman"/>
                <w:color w:val="000000"/>
              </w:rPr>
              <w:t xml:space="preserve"> nie dotyczy</w:t>
            </w:r>
          </w:p>
        </w:tc>
      </w:tr>
      <w:tr w:rsidR="00830ACC" w:rsidRPr="00A87B3A" w14:paraId="39DA68D6" w14:textId="77777777" w:rsidTr="009629CE">
        <w:trPr>
          <w:gridAfter w:val="1"/>
          <w:wAfter w:w="10" w:type="dxa"/>
          <w:trHeight w:val="1125"/>
        </w:trPr>
        <w:tc>
          <w:tcPr>
            <w:tcW w:w="5111" w:type="dxa"/>
            <w:gridSpan w:val="11"/>
            <w:shd w:val="clear" w:color="auto" w:fill="FFFFFF"/>
          </w:tcPr>
          <w:p w14:paraId="67C4960B" w14:textId="5BB71413" w:rsidR="00830ACC" w:rsidRPr="00A87B3A" w:rsidRDefault="00627A37" w:rsidP="00830ACC">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00830ACC" w:rsidRPr="00A87B3A">
              <w:rPr>
                <w:rFonts w:ascii="Times New Roman" w:hAnsi="Times New Roman"/>
                <w:color w:val="000000"/>
              </w:rPr>
              <w:t xml:space="preserve"> </w:t>
            </w:r>
            <w:r w:rsidR="00830ACC" w:rsidRPr="00A87B3A">
              <w:rPr>
                <w:rFonts w:ascii="Times New Roman" w:hAnsi="Times New Roman"/>
                <w:color w:val="000000"/>
                <w:spacing w:val="-2"/>
              </w:rPr>
              <w:t xml:space="preserve">zmniejszenie liczby dokumentów </w:t>
            </w:r>
          </w:p>
          <w:p w14:paraId="7BBD2060" w14:textId="7ECE1EA5" w:rsidR="00830ACC" w:rsidRPr="00A87B3A" w:rsidRDefault="00830ACC" w:rsidP="00830ACC">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zmniejszenie liczby procedur</w:t>
            </w:r>
          </w:p>
          <w:p w14:paraId="218FF0CC" w14:textId="447AA16B" w:rsidR="00830ACC" w:rsidRPr="00A87B3A" w:rsidRDefault="00830ACC" w:rsidP="00830ACC">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skrócenie czasu na załatwienie sprawy</w:t>
            </w:r>
          </w:p>
          <w:p w14:paraId="2A158792" w14:textId="77777777" w:rsidR="00830ACC" w:rsidRPr="00A87B3A" w:rsidRDefault="00830ACC" w:rsidP="00830ACC">
            <w:pPr>
              <w:spacing w:line="240" w:lineRule="auto"/>
              <w:rPr>
                <w:rFonts w:ascii="Times New Roman" w:hAnsi="Times New Roman"/>
                <w:b/>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inne:</w:t>
            </w:r>
            <w:r w:rsidRPr="00A87B3A">
              <w:rPr>
                <w:rFonts w:ascii="Times New Roman" w:hAnsi="Times New Roman"/>
                <w:color w:val="000000"/>
              </w:rPr>
              <w:t xml:space="preserve"> </w:t>
            </w:r>
            <w:r w:rsidRPr="00A87B3A">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color w:val="000000"/>
              </w:rPr>
              <w:fldChar w:fldCharType="end"/>
            </w:r>
          </w:p>
        </w:tc>
        <w:tc>
          <w:tcPr>
            <w:tcW w:w="5826" w:type="dxa"/>
            <w:gridSpan w:val="16"/>
            <w:shd w:val="clear" w:color="auto" w:fill="FFFFFF"/>
          </w:tcPr>
          <w:p w14:paraId="16FEAE21" w14:textId="77777777" w:rsidR="00830ACC" w:rsidRPr="00A87B3A" w:rsidRDefault="00830ACC" w:rsidP="00830ACC">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zwiększenie liczby dokumentów</w:t>
            </w:r>
          </w:p>
          <w:p w14:paraId="436AE368" w14:textId="77777777" w:rsidR="00830ACC" w:rsidRPr="00A87B3A" w:rsidRDefault="00830ACC" w:rsidP="00830ACC">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zwiększenie liczby procedur</w:t>
            </w:r>
          </w:p>
          <w:p w14:paraId="76A2E831" w14:textId="77777777" w:rsidR="00830ACC" w:rsidRPr="00A87B3A" w:rsidRDefault="00830ACC" w:rsidP="00830ACC">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wydłużenie czasu na załatwienie sprawy</w:t>
            </w:r>
          </w:p>
          <w:p w14:paraId="7766B27D" w14:textId="52D26804"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inne:</w:t>
            </w:r>
            <w:r w:rsidRPr="00A87B3A">
              <w:rPr>
                <w:rFonts w:ascii="Times New Roman" w:hAnsi="Times New Roman"/>
                <w:color w:val="000000"/>
              </w:rPr>
              <w:t xml:space="preserve"> </w:t>
            </w:r>
            <w:r w:rsidRPr="00A87B3A">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color w:val="000000"/>
              </w:rPr>
              <w:fldChar w:fldCharType="end"/>
            </w:r>
          </w:p>
        </w:tc>
      </w:tr>
      <w:tr w:rsidR="00830ACC" w:rsidRPr="00A87B3A" w14:paraId="68905108" w14:textId="77777777" w:rsidTr="00676C8D">
        <w:trPr>
          <w:gridAfter w:val="1"/>
          <w:wAfter w:w="10" w:type="dxa"/>
          <w:trHeight w:val="870"/>
        </w:trPr>
        <w:tc>
          <w:tcPr>
            <w:tcW w:w="5111" w:type="dxa"/>
            <w:gridSpan w:val="11"/>
            <w:shd w:val="clear" w:color="auto" w:fill="FFFFFF"/>
          </w:tcPr>
          <w:p w14:paraId="0AF4A44D"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spacing w:val="-2"/>
              </w:rPr>
              <w:t xml:space="preserve">Wprowadzane obciążenia są przystosowane do ich elektronizacji. </w:t>
            </w:r>
          </w:p>
        </w:tc>
        <w:tc>
          <w:tcPr>
            <w:tcW w:w="5826" w:type="dxa"/>
            <w:gridSpan w:val="16"/>
            <w:shd w:val="clear" w:color="auto" w:fill="FFFFFF"/>
          </w:tcPr>
          <w:p w14:paraId="664FC72E"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tak</w:t>
            </w:r>
          </w:p>
          <w:p w14:paraId="1D992C2B"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nie</w:t>
            </w:r>
          </w:p>
          <w:p w14:paraId="73503F10" w14:textId="6C3F97C4" w:rsidR="00830ACC" w:rsidRPr="00A87B3A" w:rsidRDefault="00830ACC" w:rsidP="00830ACC">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Pr="00A87B3A">
              <w:rPr>
                <w:rFonts w:ascii="Times New Roman" w:hAnsi="Times New Roman"/>
                <w:color w:val="000000"/>
              </w:rPr>
              <w:t xml:space="preserve"> nie dotyczy</w:t>
            </w:r>
          </w:p>
        </w:tc>
      </w:tr>
      <w:tr w:rsidR="00830ACC" w:rsidRPr="00A87B3A" w14:paraId="4A60860A" w14:textId="77777777" w:rsidTr="004B4021">
        <w:trPr>
          <w:gridAfter w:val="1"/>
          <w:wAfter w:w="10" w:type="dxa"/>
          <w:trHeight w:val="870"/>
        </w:trPr>
        <w:tc>
          <w:tcPr>
            <w:tcW w:w="10937" w:type="dxa"/>
            <w:gridSpan w:val="27"/>
            <w:shd w:val="clear" w:color="auto" w:fill="FFFFFF"/>
          </w:tcPr>
          <w:p w14:paraId="113C1E3B" w14:textId="1388ABD8" w:rsidR="00830ACC" w:rsidRPr="00A87B3A" w:rsidRDefault="00DB210C" w:rsidP="00830ACC">
            <w:pPr>
              <w:spacing w:before="120" w:after="120" w:line="240" w:lineRule="auto"/>
              <w:jc w:val="both"/>
              <w:rPr>
                <w:rFonts w:ascii="Times New Roman" w:hAnsi="Times New Roman"/>
                <w:color w:val="000000"/>
              </w:rPr>
            </w:pPr>
            <w:r w:rsidRPr="00DB210C">
              <w:rPr>
                <w:rFonts w:ascii="Times New Roman" w:hAnsi="Times New Roman"/>
                <w:color w:val="000000"/>
              </w:rPr>
              <w:t>Proponowana zmiana ma na celu ułatwienie procedur i przyśpieszenie załatwiania spraw.</w:t>
            </w:r>
            <w:r w:rsidR="00C1034F">
              <w:rPr>
                <w:rFonts w:ascii="Times New Roman" w:hAnsi="Times New Roman"/>
                <w:color w:val="000000"/>
              </w:rPr>
              <w:t xml:space="preserve"> </w:t>
            </w:r>
          </w:p>
        </w:tc>
      </w:tr>
      <w:tr w:rsidR="00830ACC" w:rsidRPr="00A87B3A" w14:paraId="11BB7628" w14:textId="77777777" w:rsidTr="00676C8D">
        <w:trPr>
          <w:gridAfter w:val="1"/>
          <w:wAfter w:w="10" w:type="dxa"/>
          <w:trHeight w:val="142"/>
        </w:trPr>
        <w:tc>
          <w:tcPr>
            <w:tcW w:w="10937" w:type="dxa"/>
            <w:gridSpan w:val="27"/>
            <w:shd w:val="clear" w:color="auto" w:fill="99CCFF"/>
          </w:tcPr>
          <w:p w14:paraId="70052DD0" w14:textId="77777777" w:rsidR="00830ACC" w:rsidRPr="00A87B3A" w:rsidRDefault="00830ACC" w:rsidP="00830ACC">
            <w:pPr>
              <w:numPr>
                <w:ilvl w:val="0"/>
                <w:numId w:val="3"/>
              </w:numPr>
              <w:spacing w:line="240" w:lineRule="auto"/>
              <w:jc w:val="both"/>
              <w:rPr>
                <w:rFonts w:ascii="Times New Roman" w:hAnsi="Times New Roman"/>
                <w:b/>
                <w:color w:val="000000"/>
              </w:rPr>
            </w:pPr>
            <w:r w:rsidRPr="00A87B3A">
              <w:rPr>
                <w:rFonts w:ascii="Times New Roman" w:hAnsi="Times New Roman"/>
                <w:b/>
                <w:color w:val="000000"/>
              </w:rPr>
              <w:t xml:space="preserve">Wpływ na rynek pracy </w:t>
            </w:r>
          </w:p>
        </w:tc>
      </w:tr>
      <w:tr w:rsidR="00830ACC" w:rsidRPr="00A87B3A" w14:paraId="2C07E145" w14:textId="77777777" w:rsidTr="00676C8D">
        <w:trPr>
          <w:gridAfter w:val="1"/>
          <w:wAfter w:w="10" w:type="dxa"/>
          <w:trHeight w:val="142"/>
        </w:trPr>
        <w:tc>
          <w:tcPr>
            <w:tcW w:w="10937" w:type="dxa"/>
            <w:gridSpan w:val="27"/>
            <w:shd w:val="clear" w:color="auto" w:fill="auto"/>
          </w:tcPr>
          <w:p w14:paraId="58C8D7B3" w14:textId="368DB554" w:rsidR="00830ACC" w:rsidRPr="00A87B3A" w:rsidRDefault="00DB210C" w:rsidP="00830ACC">
            <w:pPr>
              <w:tabs>
                <w:tab w:val="left" w:pos="1739"/>
              </w:tabs>
              <w:spacing w:before="120" w:after="120" w:line="240" w:lineRule="auto"/>
              <w:jc w:val="both"/>
              <w:rPr>
                <w:rFonts w:ascii="Times New Roman" w:hAnsi="Times New Roman"/>
                <w:color w:val="000000"/>
              </w:rPr>
            </w:pPr>
            <w:r>
              <w:rPr>
                <w:rFonts w:ascii="Times New Roman" w:hAnsi="Times New Roman"/>
                <w:color w:val="000000"/>
              </w:rPr>
              <w:lastRenderedPageBreak/>
              <w:t>P</w:t>
            </w:r>
            <w:r w:rsidR="00830ACC" w:rsidRPr="00DB047F">
              <w:rPr>
                <w:rFonts w:ascii="Times New Roman" w:hAnsi="Times New Roman"/>
                <w:color w:val="000000"/>
              </w:rPr>
              <w:t xml:space="preserve">rojekt nie będzie miał bezpośredniego wpływu na rynek pracy, niemniej jednak zaproponowane rozwiązania mogą mieć pośredni wpływ na utrzymanie miejsc pracy lub wzrost zatrudnienia wynikający z rozwoju </w:t>
            </w:r>
            <w:r w:rsidR="00627A37">
              <w:rPr>
                <w:rFonts w:ascii="Times New Roman" w:hAnsi="Times New Roman"/>
                <w:color w:val="000000"/>
              </w:rPr>
              <w:t>odnawialnych źródeł energii</w:t>
            </w:r>
            <w:r w:rsidR="00885C66">
              <w:rPr>
                <w:rFonts w:ascii="Times New Roman" w:hAnsi="Times New Roman"/>
                <w:color w:val="000000"/>
              </w:rPr>
              <w:t xml:space="preserve"> dzięki wprowadzeniu instrumentów prawnych gwarantujących terminową realizację inwestycji w MEW</w:t>
            </w:r>
            <w:r w:rsidR="00830ACC" w:rsidRPr="00DB047F">
              <w:rPr>
                <w:rFonts w:ascii="Times New Roman" w:hAnsi="Times New Roman"/>
                <w:color w:val="000000"/>
              </w:rPr>
              <w:t>.</w:t>
            </w:r>
          </w:p>
        </w:tc>
      </w:tr>
      <w:tr w:rsidR="00830ACC" w:rsidRPr="00A87B3A" w14:paraId="225F991E" w14:textId="77777777" w:rsidTr="00676C8D">
        <w:trPr>
          <w:gridAfter w:val="1"/>
          <w:wAfter w:w="10" w:type="dxa"/>
          <w:trHeight w:val="142"/>
        </w:trPr>
        <w:tc>
          <w:tcPr>
            <w:tcW w:w="10937" w:type="dxa"/>
            <w:gridSpan w:val="27"/>
            <w:shd w:val="clear" w:color="auto" w:fill="99CCFF"/>
          </w:tcPr>
          <w:p w14:paraId="4559D57B" w14:textId="77777777" w:rsidR="00830ACC" w:rsidRPr="00A87B3A" w:rsidRDefault="00830ACC" w:rsidP="00830ACC">
            <w:pPr>
              <w:numPr>
                <w:ilvl w:val="0"/>
                <w:numId w:val="3"/>
              </w:numPr>
              <w:spacing w:line="240" w:lineRule="auto"/>
              <w:jc w:val="both"/>
              <w:rPr>
                <w:rFonts w:ascii="Times New Roman" w:hAnsi="Times New Roman"/>
                <w:b/>
                <w:color w:val="000000"/>
              </w:rPr>
            </w:pPr>
            <w:r w:rsidRPr="00A87B3A">
              <w:rPr>
                <w:rFonts w:ascii="Times New Roman" w:hAnsi="Times New Roman"/>
                <w:b/>
                <w:color w:val="000000"/>
              </w:rPr>
              <w:t>Wpływ na pozostałe obszary</w:t>
            </w:r>
          </w:p>
        </w:tc>
      </w:tr>
      <w:tr w:rsidR="00830ACC" w:rsidRPr="00A87B3A" w14:paraId="67EB953C" w14:textId="77777777" w:rsidTr="00676C8D">
        <w:trPr>
          <w:gridAfter w:val="1"/>
          <w:wAfter w:w="10" w:type="dxa"/>
          <w:trHeight w:val="1031"/>
        </w:trPr>
        <w:tc>
          <w:tcPr>
            <w:tcW w:w="3547" w:type="dxa"/>
            <w:gridSpan w:val="5"/>
            <w:shd w:val="clear" w:color="auto" w:fill="FFFFFF"/>
          </w:tcPr>
          <w:p w14:paraId="35D5FF08" w14:textId="05BE1C44" w:rsidR="00830ACC" w:rsidRPr="00A87B3A" w:rsidRDefault="00347B23" w:rsidP="00830ACC">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00830ACC" w:rsidRPr="00A87B3A">
              <w:rPr>
                <w:rFonts w:ascii="Times New Roman" w:hAnsi="Times New Roman"/>
                <w:color w:val="000000"/>
              </w:rPr>
              <w:t xml:space="preserve"> </w:t>
            </w:r>
            <w:r w:rsidR="00830ACC" w:rsidRPr="00A87B3A">
              <w:rPr>
                <w:rFonts w:ascii="Times New Roman" w:hAnsi="Times New Roman"/>
                <w:color w:val="000000"/>
                <w:spacing w:val="-2"/>
              </w:rPr>
              <w:t>środowisko naturalne</w:t>
            </w:r>
          </w:p>
          <w:p w14:paraId="6DA59ECF" w14:textId="5EE81061" w:rsidR="00830ACC" w:rsidRDefault="00627A37" w:rsidP="00830ACC">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00830ACC" w:rsidRPr="00A87B3A">
              <w:rPr>
                <w:rFonts w:ascii="Times New Roman" w:hAnsi="Times New Roman"/>
                <w:color w:val="000000"/>
              </w:rPr>
              <w:t xml:space="preserve"> sytuacja i rozwój regionalny</w:t>
            </w:r>
          </w:p>
          <w:p w14:paraId="05CA614A" w14:textId="07C95180" w:rsidR="00830ACC" w:rsidRPr="00A87B3A" w:rsidRDefault="009E7EB1" w:rsidP="00830ACC">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r w:rsidR="00830ACC" w:rsidRPr="00A87B3A">
              <w:rPr>
                <w:rFonts w:ascii="Times New Roman" w:hAnsi="Times New Roman"/>
                <w:color w:val="000000"/>
              </w:rPr>
              <w:t xml:space="preserve"> </w:t>
            </w:r>
            <w:r w:rsidR="00830ACC">
              <w:rPr>
                <w:rFonts w:ascii="Times New Roman" w:hAnsi="Times New Roman"/>
                <w:color w:val="000000"/>
                <w:spacing w:val="-2"/>
              </w:rPr>
              <w:t>sądy powszechne, administracyjne lub wojskowe</w:t>
            </w:r>
          </w:p>
        </w:tc>
        <w:tc>
          <w:tcPr>
            <w:tcW w:w="3687" w:type="dxa"/>
            <w:gridSpan w:val="14"/>
            <w:shd w:val="clear" w:color="auto" w:fill="FFFFFF"/>
          </w:tcPr>
          <w:p w14:paraId="50C51481" w14:textId="77777777" w:rsidR="00830ACC" w:rsidRPr="00A87B3A" w:rsidRDefault="00830ACC" w:rsidP="00830ACC">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demografia</w:t>
            </w:r>
          </w:p>
          <w:p w14:paraId="6EFF24BA" w14:textId="77777777" w:rsidR="00830ACC"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mienie państwowe</w:t>
            </w:r>
          </w:p>
          <w:p w14:paraId="33B0813D" w14:textId="778883C8"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 xml:space="preserve">inne: </w:t>
            </w:r>
            <w:r w:rsidRPr="00A87B3A">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87B3A">
              <w:rPr>
                <w:rFonts w:ascii="Times New Roman" w:hAnsi="Times New Roman"/>
                <w:color w:val="000000"/>
              </w:rPr>
              <w:instrText xml:space="preserve"> FORMTEXT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noProof/>
                <w:color w:val="000000"/>
              </w:rPr>
              <w:t> </w:t>
            </w:r>
            <w:r w:rsidRPr="00A87B3A">
              <w:rPr>
                <w:rFonts w:ascii="Times New Roman" w:hAnsi="Times New Roman"/>
                <w:color w:val="000000"/>
              </w:rPr>
              <w:fldChar w:fldCharType="end"/>
            </w:r>
            <w:r>
              <w:rPr>
                <w:rFonts w:ascii="Times New Roman" w:hAnsi="Times New Roman"/>
                <w:color w:val="000000"/>
              </w:rPr>
              <w:t>odnawialne źródła energii</w:t>
            </w:r>
          </w:p>
        </w:tc>
        <w:tc>
          <w:tcPr>
            <w:tcW w:w="3703" w:type="dxa"/>
            <w:gridSpan w:val="8"/>
            <w:shd w:val="clear" w:color="auto" w:fill="FFFFFF"/>
          </w:tcPr>
          <w:p w14:paraId="59B5BEFD" w14:textId="77777777" w:rsidR="00830ACC" w:rsidRPr="00A87B3A" w:rsidRDefault="00830ACC" w:rsidP="00830ACC">
            <w:pPr>
              <w:spacing w:line="240" w:lineRule="auto"/>
              <w:rPr>
                <w:rFonts w:ascii="Times New Roman" w:hAnsi="Times New Roman"/>
                <w:color w:val="000000"/>
                <w:spacing w:val="-2"/>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informatyzacja</w:t>
            </w:r>
          </w:p>
          <w:p w14:paraId="2C6CE074"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fldChar w:fldCharType="begin">
                <w:ffData>
                  <w:name w:val="Wybór1"/>
                  <w:enabled/>
                  <w:calcOnExit w:val="0"/>
                  <w:checkBox>
                    <w:sizeAuto/>
                    <w:default w:val="0"/>
                  </w:checkBox>
                </w:ffData>
              </w:fldChar>
            </w:r>
            <w:r w:rsidRPr="00A87B3A">
              <w:rPr>
                <w:rFonts w:ascii="Times New Roman" w:hAnsi="Times New Roman"/>
                <w:color w:val="000000"/>
              </w:rPr>
              <w:instrText xml:space="preserve"> FORMCHECKBOX </w:instrText>
            </w:r>
            <w:r w:rsidRPr="00A87B3A">
              <w:rPr>
                <w:rFonts w:ascii="Times New Roman" w:hAnsi="Times New Roman"/>
                <w:color w:val="000000"/>
              </w:rPr>
            </w:r>
            <w:r w:rsidRPr="00A87B3A">
              <w:rPr>
                <w:rFonts w:ascii="Times New Roman" w:hAnsi="Times New Roman"/>
                <w:color w:val="000000"/>
              </w:rPr>
              <w:fldChar w:fldCharType="separate"/>
            </w:r>
            <w:r w:rsidRPr="00A87B3A">
              <w:rPr>
                <w:rFonts w:ascii="Times New Roman" w:hAnsi="Times New Roman"/>
                <w:color w:val="000000"/>
              </w:rPr>
              <w:fldChar w:fldCharType="end"/>
            </w:r>
            <w:r w:rsidRPr="00A87B3A">
              <w:rPr>
                <w:rFonts w:ascii="Times New Roman" w:hAnsi="Times New Roman"/>
                <w:color w:val="000000"/>
              </w:rPr>
              <w:t xml:space="preserve"> </w:t>
            </w:r>
            <w:r w:rsidRPr="00A87B3A">
              <w:rPr>
                <w:rFonts w:ascii="Times New Roman" w:hAnsi="Times New Roman"/>
                <w:color w:val="000000"/>
                <w:spacing w:val="-2"/>
              </w:rPr>
              <w:t>zdrowie</w:t>
            </w:r>
          </w:p>
        </w:tc>
      </w:tr>
      <w:tr w:rsidR="00830ACC" w:rsidRPr="00A87B3A" w14:paraId="08ACA5DC" w14:textId="77777777" w:rsidTr="009629CE">
        <w:trPr>
          <w:gridAfter w:val="1"/>
          <w:wAfter w:w="10" w:type="dxa"/>
          <w:trHeight w:val="576"/>
        </w:trPr>
        <w:tc>
          <w:tcPr>
            <w:tcW w:w="2243" w:type="dxa"/>
            <w:gridSpan w:val="2"/>
            <w:shd w:val="clear" w:color="auto" w:fill="FFFFFF"/>
            <w:vAlign w:val="center"/>
          </w:tcPr>
          <w:p w14:paraId="53C9097E" w14:textId="77777777" w:rsidR="00830ACC" w:rsidRPr="00A87B3A" w:rsidRDefault="00830ACC" w:rsidP="00830ACC">
            <w:pPr>
              <w:spacing w:line="240" w:lineRule="auto"/>
              <w:rPr>
                <w:rFonts w:ascii="Times New Roman" w:hAnsi="Times New Roman"/>
                <w:color w:val="000000"/>
              </w:rPr>
            </w:pPr>
            <w:r w:rsidRPr="00A87B3A">
              <w:rPr>
                <w:rFonts w:ascii="Times New Roman" w:hAnsi="Times New Roman"/>
                <w:color w:val="000000"/>
              </w:rPr>
              <w:t>Omówienie wpływu</w:t>
            </w:r>
          </w:p>
        </w:tc>
        <w:tc>
          <w:tcPr>
            <w:tcW w:w="8694" w:type="dxa"/>
            <w:gridSpan w:val="25"/>
            <w:shd w:val="clear" w:color="auto" w:fill="FFFFFF"/>
            <w:vAlign w:val="center"/>
          </w:tcPr>
          <w:p w14:paraId="3DD9149A" w14:textId="33CAF24B" w:rsidR="00830ACC" w:rsidRDefault="00627A37" w:rsidP="00830ACC">
            <w:pPr>
              <w:tabs>
                <w:tab w:val="left" w:pos="1739"/>
              </w:tabs>
              <w:spacing w:before="120" w:after="120" w:line="240" w:lineRule="auto"/>
              <w:jc w:val="both"/>
              <w:rPr>
                <w:rFonts w:ascii="Times New Roman" w:hAnsi="Times New Roman"/>
                <w:color w:val="000000"/>
              </w:rPr>
            </w:pPr>
            <w:r>
              <w:rPr>
                <w:rFonts w:ascii="Times New Roman" w:hAnsi="Times New Roman"/>
                <w:color w:val="000000"/>
              </w:rPr>
              <w:t xml:space="preserve">Zarówno </w:t>
            </w:r>
            <w:r w:rsidR="00347B23">
              <w:rPr>
                <w:rFonts w:ascii="Times New Roman" w:hAnsi="Times New Roman"/>
                <w:color w:val="000000"/>
              </w:rPr>
              <w:t>MEW</w:t>
            </w:r>
            <w:r>
              <w:rPr>
                <w:rFonts w:ascii="Times New Roman" w:hAnsi="Times New Roman"/>
                <w:color w:val="000000"/>
              </w:rPr>
              <w:t xml:space="preserve">, jak i obszary przyspieszonego rozwoju </w:t>
            </w:r>
            <w:r w:rsidR="001778AA">
              <w:rPr>
                <w:rFonts w:ascii="Times New Roman" w:hAnsi="Times New Roman"/>
                <w:color w:val="000000"/>
              </w:rPr>
              <w:t xml:space="preserve">instalacji </w:t>
            </w:r>
            <w:r>
              <w:rPr>
                <w:rFonts w:ascii="Times New Roman" w:hAnsi="Times New Roman"/>
                <w:color w:val="000000"/>
              </w:rPr>
              <w:t>OZE</w:t>
            </w:r>
            <w:r w:rsidR="00830ACC" w:rsidRPr="003453D3">
              <w:rPr>
                <w:rFonts w:ascii="Times New Roman" w:hAnsi="Times New Roman"/>
                <w:color w:val="000000"/>
              </w:rPr>
              <w:t xml:space="preserve"> mo</w:t>
            </w:r>
            <w:r>
              <w:rPr>
                <w:rFonts w:ascii="Times New Roman" w:hAnsi="Times New Roman"/>
                <w:color w:val="000000"/>
              </w:rPr>
              <w:t>gą</w:t>
            </w:r>
            <w:r w:rsidR="00830ACC" w:rsidRPr="003453D3">
              <w:rPr>
                <w:rFonts w:ascii="Times New Roman" w:hAnsi="Times New Roman"/>
                <w:color w:val="000000"/>
              </w:rPr>
              <w:t xml:space="preserve"> stać się skutecznym narzędziem do obniżenia emisyjności polskiego sektora energetycznego. </w:t>
            </w:r>
            <w:r w:rsidR="001A1DC4">
              <w:rPr>
                <w:rFonts w:ascii="Times New Roman" w:hAnsi="Times New Roman"/>
                <w:color w:val="000000"/>
              </w:rPr>
              <w:t>M</w:t>
            </w:r>
            <w:r w:rsidR="00830ACC" w:rsidRPr="003453D3">
              <w:rPr>
                <w:rFonts w:ascii="Times New Roman" w:hAnsi="Times New Roman"/>
                <w:color w:val="000000"/>
              </w:rPr>
              <w:t xml:space="preserve">EW może w dużym stopniu uczestniczyć w ewolucyjnym zastępowaniu wytwarzania energii elektrycznej w oparciu o paliwa kopalne, w szczególności węgiel. </w:t>
            </w:r>
          </w:p>
          <w:p w14:paraId="64AE2ACB" w14:textId="71860D50" w:rsidR="00830ACC" w:rsidRPr="003453D3" w:rsidRDefault="00830ACC" w:rsidP="00830ACC">
            <w:pPr>
              <w:tabs>
                <w:tab w:val="left" w:pos="1739"/>
              </w:tabs>
              <w:spacing w:before="120" w:after="120" w:line="240" w:lineRule="auto"/>
              <w:jc w:val="both"/>
              <w:rPr>
                <w:rFonts w:ascii="Times New Roman" w:hAnsi="Times New Roman"/>
                <w:color w:val="000000"/>
              </w:rPr>
            </w:pPr>
            <w:r w:rsidRPr="003453D3">
              <w:rPr>
                <w:rFonts w:ascii="Times New Roman" w:hAnsi="Times New Roman"/>
                <w:color w:val="000000"/>
              </w:rPr>
              <w:t xml:space="preserve">Z kolei w pkt 9 OSR wskazano wpływ rozwoju branży na zatrudnienie zarówno na etapie przygotowania i realizacji </w:t>
            </w:r>
            <w:r w:rsidR="00347B23">
              <w:rPr>
                <w:rFonts w:ascii="Times New Roman" w:hAnsi="Times New Roman"/>
                <w:color w:val="000000"/>
              </w:rPr>
              <w:t>MEW</w:t>
            </w:r>
            <w:r w:rsidRPr="003453D3">
              <w:rPr>
                <w:rFonts w:ascii="Times New Roman" w:hAnsi="Times New Roman"/>
                <w:color w:val="000000"/>
              </w:rPr>
              <w:t>, jak również na etapie jej eksploatacji. Trzeba pamiętać, że efekty wzrostu zatrudnienia będą miały także pozytywny wpływ na rozwój regionalny</w:t>
            </w:r>
            <w:r w:rsidR="00627A37">
              <w:rPr>
                <w:rFonts w:ascii="Times New Roman" w:hAnsi="Times New Roman"/>
                <w:color w:val="000000"/>
              </w:rPr>
              <w:t>.</w:t>
            </w:r>
          </w:p>
        </w:tc>
      </w:tr>
      <w:tr w:rsidR="00830ACC" w:rsidRPr="00A87B3A" w14:paraId="236DDB7A" w14:textId="77777777" w:rsidTr="00676C8D">
        <w:trPr>
          <w:gridAfter w:val="1"/>
          <w:wAfter w:w="10" w:type="dxa"/>
          <w:trHeight w:val="142"/>
        </w:trPr>
        <w:tc>
          <w:tcPr>
            <w:tcW w:w="10937" w:type="dxa"/>
            <w:gridSpan w:val="27"/>
            <w:shd w:val="clear" w:color="auto" w:fill="99CCFF"/>
          </w:tcPr>
          <w:p w14:paraId="6263A2EA" w14:textId="77777777" w:rsidR="00830ACC" w:rsidRPr="00A87B3A" w:rsidRDefault="00830ACC" w:rsidP="00830ACC">
            <w:pPr>
              <w:numPr>
                <w:ilvl w:val="0"/>
                <w:numId w:val="3"/>
              </w:numPr>
              <w:spacing w:line="240" w:lineRule="auto"/>
              <w:ind w:left="318" w:hanging="284"/>
              <w:jc w:val="both"/>
              <w:rPr>
                <w:rFonts w:ascii="Times New Roman" w:hAnsi="Times New Roman"/>
                <w:b/>
              </w:rPr>
            </w:pPr>
            <w:r w:rsidRPr="00A87B3A">
              <w:rPr>
                <w:rFonts w:ascii="Times New Roman" w:hAnsi="Times New Roman"/>
                <w:b/>
                <w:spacing w:val="-2"/>
              </w:rPr>
              <w:t>Planowane wykonanie przepisów aktu prawnego</w:t>
            </w:r>
          </w:p>
        </w:tc>
      </w:tr>
      <w:tr w:rsidR="00830ACC" w:rsidRPr="00A87B3A" w14:paraId="34B34016" w14:textId="77777777" w:rsidTr="00676C8D">
        <w:trPr>
          <w:gridAfter w:val="1"/>
          <w:wAfter w:w="10" w:type="dxa"/>
          <w:trHeight w:val="142"/>
        </w:trPr>
        <w:tc>
          <w:tcPr>
            <w:tcW w:w="10937" w:type="dxa"/>
            <w:gridSpan w:val="27"/>
            <w:shd w:val="clear" w:color="auto" w:fill="FFFFFF"/>
          </w:tcPr>
          <w:p w14:paraId="13AB7BA6" w14:textId="4D13F508" w:rsidR="00830ACC" w:rsidRPr="00444616" w:rsidRDefault="00830ACC" w:rsidP="00830ACC">
            <w:pPr>
              <w:spacing w:before="120" w:after="120" w:line="240" w:lineRule="auto"/>
              <w:jc w:val="both"/>
              <w:rPr>
                <w:rFonts w:ascii="Times New Roman" w:hAnsi="Times New Roman"/>
                <w:spacing w:val="-2"/>
              </w:rPr>
            </w:pPr>
            <w:r w:rsidRPr="00444616">
              <w:rPr>
                <w:rFonts w:ascii="Times New Roman" w:hAnsi="Times New Roman"/>
                <w:spacing w:val="-2"/>
              </w:rPr>
              <w:t>Planuje si</w:t>
            </w:r>
            <w:r w:rsidRPr="00444616">
              <w:rPr>
                <w:rFonts w:ascii="Times New Roman" w:hAnsi="Times New Roman" w:hint="eastAsia"/>
                <w:spacing w:val="-2"/>
              </w:rPr>
              <w:t>ę</w:t>
            </w:r>
            <w:r w:rsidRPr="00444616">
              <w:rPr>
                <w:rFonts w:ascii="Times New Roman" w:hAnsi="Times New Roman"/>
                <w:spacing w:val="-2"/>
              </w:rPr>
              <w:t xml:space="preserve">, </w:t>
            </w:r>
            <w:r w:rsidRPr="00444616">
              <w:rPr>
                <w:rFonts w:ascii="Times New Roman" w:hAnsi="Times New Roman" w:hint="eastAsia"/>
                <w:spacing w:val="-2"/>
              </w:rPr>
              <w:t>ż</w:t>
            </w:r>
            <w:r w:rsidRPr="00444616">
              <w:rPr>
                <w:rFonts w:ascii="Times New Roman" w:hAnsi="Times New Roman"/>
                <w:spacing w:val="-2"/>
              </w:rPr>
              <w:t xml:space="preserve">e ustawa wejdzie </w:t>
            </w:r>
            <w:r w:rsidR="00347B23">
              <w:rPr>
                <w:rFonts w:ascii="Times New Roman" w:hAnsi="Times New Roman"/>
                <w:spacing w:val="-2"/>
              </w:rPr>
              <w:t>14 dni</w:t>
            </w:r>
            <w:r w:rsidRPr="00444616">
              <w:rPr>
                <w:rFonts w:ascii="Times New Roman" w:hAnsi="Times New Roman"/>
                <w:spacing w:val="-2"/>
              </w:rPr>
              <w:t xml:space="preserve"> od dnia og</w:t>
            </w:r>
            <w:r w:rsidRPr="00444616">
              <w:rPr>
                <w:rFonts w:ascii="Times New Roman" w:hAnsi="Times New Roman" w:hint="eastAsia"/>
                <w:spacing w:val="-2"/>
              </w:rPr>
              <w:t>ł</w:t>
            </w:r>
            <w:r w:rsidRPr="00444616">
              <w:rPr>
                <w:rFonts w:ascii="Times New Roman" w:hAnsi="Times New Roman"/>
                <w:spacing w:val="-2"/>
              </w:rPr>
              <w:t>oszenia</w:t>
            </w:r>
            <w:r w:rsidR="00347B23">
              <w:rPr>
                <w:rFonts w:ascii="Times New Roman" w:hAnsi="Times New Roman"/>
                <w:spacing w:val="-2"/>
              </w:rPr>
              <w:t>.</w:t>
            </w:r>
          </w:p>
        </w:tc>
      </w:tr>
      <w:tr w:rsidR="00830ACC" w:rsidRPr="00A87B3A" w14:paraId="4832BFD7" w14:textId="77777777" w:rsidTr="00676C8D">
        <w:trPr>
          <w:gridAfter w:val="1"/>
          <w:wAfter w:w="10" w:type="dxa"/>
          <w:trHeight w:val="142"/>
        </w:trPr>
        <w:tc>
          <w:tcPr>
            <w:tcW w:w="10937" w:type="dxa"/>
            <w:gridSpan w:val="27"/>
            <w:shd w:val="clear" w:color="auto" w:fill="99CCFF"/>
          </w:tcPr>
          <w:p w14:paraId="5BAE48FC" w14:textId="77777777" w:rsidR="00830ACC" w:rsidRPr="00A87B3A" w:rsidRDefault="00830ACC" w:rsidP="00830ACC">
            <w:pPr>
              <w:numPr>
                <w:ilvl w:val="0"/>
                <w:numId w:val="3"/>
              </w:numPr>
              <w:spacing w:line="240" w:lineRule="auto"/>
              <w:ind w:left="318" w:hanging="284"/>
              <w:jc w:val="both"/>
              <w:rPr>
                <w:rFonts w:ascii="Times New Roman" w:hAnsi="Times New Roman"/>
                <w:b/>
                <w:color w:val="000000"/>
              </w:rPr>
            </w:pPr>
            <w:r w:rsidRPr="00A87B3A">
              <w:rPr>
                <w:rFonts w:ascii="Times New Roman" w:hAnsi="Times New Roman"/>
                <w:b/>
                <w:color w:val="000000"/>
              </w:rPr>
              <w:t xml:space="preserve"> </w:t>
            </w:r>
            <w:r w:rsidRPr="00A87B3A">
              <w:rPr>
                <w:rFonts w:ascii="Times New Roman" w:hAnsi="Times New Roman"/>
                <w:b/>
                <w:spacing w:val="-2"/>
              </w:rPr>
              <w:t>W jaki sposób i kiedy nastąpi ewaluacja efektów projektu oraz jakie mierniki zostaną zastosowane?</w:t>
            </w:r>
          </w:p>
        </w:tc>
      </w:tr>
      <w:tr w:rsidR="00830ACC" w:rsidRPr="00A87B3A" w14:paraId="5598337C" w14:textId="77777777" w:rsidTr="00676C8D">
        <w:trPr>
          <w:gridAfter w:val="1"/>
          <w:wAfter w:w="10" w:type="dxa"/>
          <w:trHeight w:val="142"/>
        </w:trPr>
        <w:tc>
          <w:tcPr>
            <w:tcW w:w="10937" w:type="dxa"/>
            <w:gridSpan w:val="27"/>
            <w:shd w:val="clear" w:color="auto" w:fill="FFFFFF"/>
          </w:tcPr>
          <w:p w14:paraId="5C0C0E94" w14:textId="6BEF28B0" w:rsidR="0083541E" w:rsidRPr="00A87B3A" w:rsidRDefault="00830ACC" w:rsidP="00830ACC">
            <w:pPr>
              <w:spacing w:before="120" w:after="120" w:line="240" w:lineRule="auto"/>
              <w:jc w:val="both"/>
              <w:rPr>
                <w:rFonts w:ascii="Times New Roman" w:hAnsi="Times New Roman"/>
                <w:color w:val="000000"/>
                <w:spacing w:val="-2"/>
              </w:rPr>
            </w:pPr>
            <w:r w:rsidRPr="00590E3D">
              <w:rPr>
                <w:rFonts w:ascii="Times New Roman" w:hAnsi="Times New Roman"/>
                <w:color w:val="000000"/>
                <w:spacing w:val="-2"/>
              </w:rPr>
              <w:t xml:space="preserve">Biorąc pod uwagę, </w:t>
            </w:r>
            <w:r>
              <w:rPr>
                <w:rFonts w:ascii="Times New Roman" w:hAnsi="Times New Roman"/>
                <w:color w:val="000000"/>
                <w:spacing w:val="-2"/>
              </w:rPr>
              <w:t>że</w:t>
            </w:r>
            <w:r w:rsidRPr="00590E3D">
              <w:rPr>
                <w:rFonts w:ascii="Times New Roman" w:hAnsi="Times New Roman"/>
                <w:color w:val="000000"/>
                <w:spacing w:val="-2"/>
              </w:rPr>
              <w:t xml:space="preserve"> wspólnym celem projektowanych zmian jest zwiększenie udziału źródeł odnawialnych w krajowym zużyciu energii brutto oraz szeroko pojęty rozwój sektora energii zgodny z ambicjami redukcji emisyjności gospodarki i</w:t>
            </w:r>
            <w:r w:rsidR="000A53AD">
              <w:rPr>
                <w:rFonts w:ascii="Times New Roman" w:hAnsi="Times New Roman"/>
                <w:color w:val="000000"/>
                <w:spacing w:val="-2"/>
              </w:rPr>
              <w:t> </w:t>
            </w:r>
            <w:r w:rsidRPr="00590E3D">
              <w:rPr>
                <w:rFonts w:ascii="Times New Roman" w:hAnsi="Times New Roman"/>
                <w:color w:val="000000"/>
                <w:spacing w:val="-2"/>
              </w:rPr>
              <w:t xml:space="preserve">zobowiązaniami międzynarodowymi, </w:t>
            </w:r>
            <w:r>
              <w:rPr>
                <w:rFonts w:ascii="Times New Roman" w:hAnsi="Times New Roman"/>
                <w:color w:val="000000"/>
                <w:spacing w:val="-2"/>
              </w:rPr>
              <w:t>kryterium ewaluacji będzie wzrost mocy zainstalowanej w odnawialnych źródłach energii wykazywany w KPEIK.</w:t>
            </w:r>
          </w:p>
        </w:tc>
      </w:tr>
      <w:tr w:rsidR="00830ACC" w:rsidRPr="00A87B3A" w14:paraId="3E1502A6" w14:textId="77777777" w:rsidTr="00676C8D">
        <w:trPr>
          <w:gridAfter w:val="1"/>
          <w:wAfter w:w="10" w:type="dxa"/>
          <w:trHeight w:val="142"/>
        </w:trPr>
        <w:tc>
          <w:tcPr>
            <w:tcW w:w="10937" w:type="dxa"/>
            <w:gridSpan w:val="27"/>
            <w:shd w:val="clear" w:color="auto" w:fill="99CCFF"/>
          </w:tcPr>
          <w:p w14:paraId="4AFBEF38" w14:textId="77777777" w:rsidR="00830ACC" w:rsidRPr="00A87B3A" w:rsidRDefault="00830ACC" w:rsidP="00830ACC">
            <w:pPr>
              <w:numPr>
                <w:ilvl w:val="0"/>
                <w:numId w:val="3"/>
              </w:numPr>
              <w:spacing w:line="240" w:lineRule="auto"/>
              <w:ind w:left="318" w:hanging="284"/>
              <w:jc w:val="both"/>
              <w:rPr>
                <w:rFonts w:ascii="Times New Roman" w:hAnsi="Times New Roman"/>
                <w:b/>
                <w:color w:val="000000"/>
                <w:spacing w:val="-2"/>
              </w:rPr>
            </w:pPr>
            <w:r w:rsidRPr="00A87B3A">
              <w:rPr>
                <w:rFonts w:ascii="Times New Roman" w:hAnsi="Times New Roman"/>
                <w:b/>
                <w:color w:val="000000"/>
                <w:spacing w:val="-2"/>
              </w:rPr>
              <w:t xml:space="preserve">Załączniki </w:t>
            </w:r>
            <w:r w:rsidRPr="00A87B3A">
              <w:rPr>
                <w:rFonts w:ascii="Times New Roman" w:hAnsi="Times New Roman"/>
                <w:b/>
                <w:spacing w:val="-2"/>
              </w:rPr>
              <w:t>(istotne dokumenty źródłowe, badania, analizy itp.</w:t>
            </w:r>
            <w:r w:rsidRPr="00A87B3A">
              <w:rPr>
                <w:rFonts w:ascii="Times New Roman" w:hAnsi="Times New Roman"/>
                <w:b/>
                <w:color w:val="000000"/>
                <w:spacing w:val="-2"/>
              </w:rPr>
              <w:t xml:space="preserve">) </w:t>
            </w:r>
          </w:p>
        </w:tc>
      </w:tr>
      <w:tr w:rsidR="00830ACC" w:rsidRPr="00A87B3A" w14:paraId="758947DE" w14:textId="77777777" w:rsidTr="00676C8D">
        <w:trPr>
          <w:gridAfter w:val="1"/>
          <w:wAfter w:w="10" w:type="dxa"/>
          <w:trHeight w:val="142"/>
        </w:trPr>
        <w:tc>
          <w:tcPr>
            <w:tcW w:w="10937" w:type="dxa"/>
            <w:gridSpan w:val="27"/>
            <w:shd w:val="clear" w:color="auto" w:fill="FFFFFF"/>
          </w:tcPr>
          <w:p w14:paraId="2F75DF41" w14:textId="77777777" w:rsidR="00DA1182" w:rsidRPr="00DA1182" w:rsidRDefault="00DA1182" w:rsidP="00DA1182">
            <w:pPr>
              <w:spacing w:before="120" w:after="120" w:line="240" w:lineRule="auto"/>
              <w:rPr>
                <w:rFonts w:ascii="Times New Roman" w:hAnsi="Times New Roman"/>
                <w:iCs/>
                <w:color w:val="000000"/>
                <w:spacing w:val="-2"/>
              </w:rPr>
            </w:pPr>
            <w:r w:rsidRPr="00DA1182">
              <w:rPr>
                <w:rFonts w:ascii="Times New Roman" w:hAnsi="Times New Roman"/>
                <w:iCs/>
                <w:color w:val="000000"/>
                <w:spacing w:val="-2"/>
              </w:rPr>
              <w:t>Załączniki do OSR:</w:t>
            </w:r>
          </w:p>
          <w:p w14:paraId="0EEEADAC" w14:textId="65769090" w:rsidR="00830ACC" w:rsidRPr="00DB1291" w:rsidRDefault="00DA1182" w:rsidP="006E4DFC">
            <w:pPr>
              <w:spacing w:before="120" w:after="120" w:line="240" w:lineRule="auto"/>
              <w:ind w:left="202" w:hanging="202"/>
              <w:jc w:val="both"/>
              <w:rPr>
                <w:rFonts w:ascii="Times New Roman" w:hAnsi="Times New Roman"/>
                <w:iCs/>
                <w:color w:val="000000"/>
                <w:spacing w:val="-2"/>
              </w:rPr>
            </w:pPr>
            <w:r w:rsidRPr="00DA1182">
              <w:rPr>
                <w:rFonts w:ascii="Times New Roman" w:hAnsi="Times New Roman"/>
                <w:iCs/>
                <w:color w:val="000000"/>
                <w:spacing w:val="-2"/>
              </w:rPr>
              <w:t xml:space="preserve">1. </w:t>
            </w:r>
            <w:bookmarkStart w:id="44" w:name="_Hlk178338866"/>
            <w:r>
              <w:rPr>
                <w:rFonts w:ascii="Times New Roman" w:hAnsi="Times New Roman"/>
                <w:iCs/>
                <w:color w:val="000000"/>
                <w:spacing w:val="-2"/>
              </w:rPr>
              <w:t xml:space="preserve">Szczegółowy podział wydatków </w:t>
            </w:r>
            <w:r w:rsidRPr="00DA1182">
              <w:rPr>
                <w:rFonts w:ascii="Times New Roman" w:hAnsi="Times New Roman"/>
                <w:iCs/>
                <w:color w:val="000000"/>
                <w:spacing w:val="-2"/>
              </w:rPr>
              <w:t xml:space="preserve">GDOŚ/RDOŚ oraz </w:t>
            </w:r>
            <w:r>
              <w:rPr>
                <w:rFonts w:ascii="Times New Roman" w:hAnsi="Times New Roman"/>
                <w:iCs/>
                <w:color w:val="000000"/>
                <w:spacing w:val="-2"/>
              </w:rPr>
              <w:t>samorządów na lata 202</w:t>
            </w:r>
            <w:r w:rsidR="00C26AE0">
              <w:rPr>
                <w:rFonts w:ascii="Times New Roman" w:hAnsi="Times New Roman"/>
                <w:iCs/>
                <w:color w:val="000000"/>
                <w:spacing w:val="-2"/>
              </w:rPr>
              <w:t>6</w:t>
            </w:r>
            <w:r>
              <w:rPr>
                <w:rFonts w:ascii="Times New Roman" w:hAnsi="Times New Roman"/>
                <w:iCs/>
                <w:color w:val="000000"/>
                <w:spacing w:val="-2"/>
              </w:rPr>
              <w:t>-203</w:t>
            </w:r>
            <w:r w:rsidR="00C26AE0">
              <w:rPr>
                <w:rFonts w:ascii="Times New Roman" w:hAnsi="Times New Roman"/>
                <w:iCs/>
                <w:color w:val="000000"/>
                <w:spacing w:val="-2"/>
              </w:rPr>
              <w:t>5</w:t>
            </w:r>
            <w:r>
              <w:rPr>
                <w:rFonts w:ascii="Times New Roman" w:hAnsi="Times New Roman"/>
                <w:iCs/>
                <w:color w:val="000000"/>
                <w:spacing w:val="-2"/>
              </w:rPr>
              <w:t xml:space="preserve"> w związku z k</w:t>
            </w:r>
            <w:r w:rsidRPr="00DA1182">
              <w:rPr>
                <w:rFonts w:ascii="Times New Roman" w:hAnsi="Times New Roman"/>
                <w:iCs/>
                <w:color w:val="000000"/>
                <w:spacing w:val="-2"/>
              </w:rPr>
              <w:t>oniecznoś</w:t>
            </w:r>
            <w:r>
              <w:rPr>
                <w:rFonts w:ascii="Times New Roman" w:hAnsi="Times New Roman"/>
                <w:iCs/>
                <w:color w:val="000000"/>
                <w:spacing w:val="-2"/>
              </w:rPr>
              <w:t xml:space="preserve">cią </w:t>
            </w:r>
            <w:r w:rsidRPr="00DA1182">
              <w:rPr>
                <w:rFonts w:ascii="Times New Roman" w:hAnsi="Times New Roman"/>
                <w:iCs/>
                <w:color w:val="000000"/>
                <w:spacing w:val="-2"/>
              </w:rPr>
              <w:t>zapewnienia większej liczby etatów</w:t>
            </w:r>
            <w:r>
              <w:rPr>
                <w:rFonts w:ascii="Times New Roman" w:hAnsi="Times New Roman"/>
                <w:iCs/>
                <w:color w:val="000000"/>
                <w:spacing w:val="-2"/>
              </w:rPr>
              <w:t xml:space="preserve"> na działania związane z wyznaczaniem obszarów przyspieszonego rozwoju</w:t>
            </w:r>
            <w:r w:rsidR="001778AA">
              <w:rPr>
                <w:rFonts w:ascii="Times New Roman" w:hAnsi="Times New Roman"/>
                <w:iCs/>
                <w:color w:val="000000"/>
                <w:spacing w:val="-2"/>
              </w:rPr>
              <w:t xml:space="preserve"> </w:t>
            </w:r>
            <w:r w:rsidR="001778AA" w:rsidRPr="001778AA">
              <w:rPr>
                <w:rFonts w:ascii="Times New Roman" w:hAnsi="Times New Roman"/>
                <w:iCs/>
                <w:color w:val="000000"/>
                <w:spacing w:val="-2"/>
              </w:rPr>
              <w:t>instalacji odnawialnego źródła energii</w:t>
            </w:r>
            <w:r>
              <w:rPr>
                <w:rFonts w:ascii="Times New Roman" w:hAnsi="Times New Roman"/>
                <w:iCs/>
                <w:color w:val="000000"/>
                <w:spacing w:val="-2"/>
              </w:rPr>
              <w:t>.</w:t>
            </w:r>
            <w:bookmarkEnd w:id="44"/>
          </w:p>
        </w:tc>
      </w:tr>
    </w:tbl>
    <w:p w14:paraId="45AC0404" w14:textId="675F4321" w:rsidR="006176ED" w:rsidRDefault="006176ED" w:rsidP="0005017C">
      <w:pPr>
        <w:pStyle w:val="Nagwek1"/>
        <w:spacing w:before="0" w:after="0"/>
        <w:rPr>
          <w:rFonts w:ascii="Times New Roman" w:hAnsi="Times New Roman"/>
        </w:rPr>
      </w:pPr>
    </w:p>
    <w:p w14:paraId="0F553BB5" w14:textId="77777777" w:rsidR="00DA1182" w:rsidRDefault="00DA1182" w:rsidP="00DA1182">
      <w:pPr>
        <w:rPr>
          <w:lang w:eastAsia="pl-PL"/>
        </w:rPr>
      </w:pPr>
    </w:p>
    <w:p w14:paraId="589E3878" w14:textId="77777777" w:rsidR="00DA1182" w:rsidRDefault="00DA1182" w:rsidP="00DA1182">
      <w:pPr>
        <w:rPr>
          <w:lang w:eastAsia="pl-PL"/>
        </w:rPr>
      </w:pPr>
    </w:p>
    <w:p w14:paraId="779E3717" w14:textId="77777777" w:rsidR="00DA1182" w:rsidRDefault="00DA1182" w:rsidP="00DA1182">
      <w:pPr>
        <w:rPr>
          <w:lang w:eastAsia="pl-PL"/>
        </w:rPr>
      </w:pPr>
    </w:p>
    <w:p w14:paraId="2434F4C4" w14:textId="77777777" w:rsidR="00DA1182" w:rsidRDefault="00DA1182" w:rsidP="00DA1182">
      <w:pPr>
        <w:rPr>
          <w:lang w:eastAsia="pl-PL"/>
        </w:rPr>
      </w:pPr>
    </w:p>
    <w:p w14:paraId="49F2A176" w14:textId="77777777" w:rsidR="00DA1182" w:rsidRDefault="00DA1182" w:rsidP="00DA1182">
      <w:pPr>
        <w:rPr>
          <w:lang w:eastAsia="pl-PL"/>
        </w:rPr>
      </w:pPr>
    </w:p>
    <w:p w14:paraId="4BB02F3B" w14:textId="77777777" w:rsidR="00DA1182" w:rsidRDefault="00DA1182" w:rsidP="00DA1182">
      <w:pPr>
        <w:rPr>
          <w:lang w:eastAsia="pl-PL"/>
        </w:rPr>
      </w:pPr>
    </w:p>
    <w:p w14:paraId="391E9BEF" w14:textId="77777777" w:rsidR="00DA1182" w:rsidRDefault="00DA1182" w:rsidP="00DA1182">
      <w:pPr>
        <w:rPr>
          <w:lang w:eastAsia="pl-PL"/>
        </w:rPr>
      </w:pPr>
    </w:p>
    <w:p w14:paraId="494D9A09" w14:textId="77777777" w:rsidR="00DA1182" w:rsidRDefault="00DA1182" w:rsidP="00DA1182">
      <w:pPr>
        <w:rPr>
          <w:lang w:eastAsia="pl-PL"/>
        </w:rPr>
      </w:pPr>
    </w:p>
    <w:p w14:paraId="4AE6E3C6" w14:textId="77777777" w:rsidR="00DA1182" w:rsidRDefault="00DA1182" w:rsidP="00DA1182">
      <w:pPr>
        <w:rPr>
          <w:lang w:eastAsia="pl-PL"/>
        </w:rPr>
      </w:pPr>
    </w:p>
    <w:p w14:paraId="6A202FE9" w14:textId="77777777" w:rsidR="00DA1182" w:rsidRDefault="00DA1182" w:rsidP="00DA1182">
      <w:pPr>
        <w:rPr>
          <w:lang w:eastAsia="pl-PL"/>
        </w:rPr>
      </w:pPr>
    </w:p>
    <w:p w14:paraId="3C805F94" w14:textId="77777777" w:rsidR="00DA1182" w:rsidRDefault="00DA1182" w:rsidP="00DA1182">
      <w:pPr>
        <w:rPr>
          <w:lang w:eastAsia="pl-PL"/>
        </w:rPr>
      </w:pPr>
    </w:p>
    <w:p w14:paraId="4FB8C64B" w14:textId="77777777" w:rsidR="00DA1182" w:rsidRDefault="00DA1182" w:rsidP="00DA1182">
      <w:pPr>
        <w:rPr>
          <w:lang w:eastAsia="pl-PL"/>
        </w:rPr>
      </w:pPr>
    </w:p>
    <w:p w14:paraId="438A2282" w14:textId="77777777" w:rsidR="00DA1182" w:rsidRDefault="00DA1182" w:rsidP="00DA1182">
      <w:pPr>
        <w:rPr>
          <w:lang w:eastAsia="pl-PL"/>
        </w:rPr>
      </w:pPr>
    </w:p>
    <w:p w14:paraId="2259F818" w14:textId="77777777" w:rsidR="00DA1182" w:rsidRDefault="00DA1182" w:rsidP="00DA1182">
      <w:pPr>
        <w:rPr>
          <w:lang w:eastAsia="pl-PL"/>
        </w:rPr>
      </w:pPr>
    </w:p>
    <w:p w14:paraId="48096394" w14:textId="77777777" w:rsidR="00DA1182" w:rsidRDefault="00DA1182" w:rsidP="00DA1182">
      <w:pPr>
        <w:rPr>
          <w:lang w:eastAsia="pl-PL"/>
        </w:rPr>
      </w:pPr>
    </w:p>
    <w:p w14:paraId="030FE0FC" w14:textId="77777777" w:rsidR="00DA1182" w:rsidRDefault="00DA1182" w:rsidP="00DA1182">
      <w:pPr>
        <w:rPr>
          <w:lang w:eastAsia="pl-PL"/>
        </w:rPr>
      </w:pPr>
    </w:p>
    <w:p w14:paraId="3C78F51C" w14:textId="77777777" w:rsidR="00DA1182" w:rsidRDefault="00DA1182" w:rsidP="00DA1182">
      <w:pPr>
        <w:rPr>
          <w:lang w:eastAsia="pl-PL"/>
        </w:rPr>
      </w:pPr>
    </w:p>
    <w:p w14:paraId="0A30A5A7" w14:textId="77777777" w:rsidR="00DA1182" w:rsidRDefault="00DA1182" w:rsidP="00DA1182">
      <w:pPr>
        <w:rPr>
          <w:lang w:eastAsia="pl-PL"/>
        </w:rPr>
      </w:pPr>
    </w:p>
    <w:p w14:paraId="0866853B" w14:textId="77777777" w:rsidR="00DA1182" w:rsidRDefault="00DA1182" w:rsidP="00DA1182">
      <w:pPr>
        <w:rPr>
          <w:lang w:eastAsia="pl-PL"/>
        </w:rPr>
      </w:pPr>
    </w:p>
    <w:p w14:paraId="21215288" w14:textId="77777777" w:rsidR="00DA1182" w:rsidRDefault="00DA1182" w:rsidP="00DA1182">
      <w:pPr>
        <w:rPr>
          <w:lang w:eastAsia="pl-PL"/>
        </w:rPr>
      </w:pPr>
    </w:p>
    <w:p w14:paraId="75395F47" w14:textId="77777777" w:rsidR="00DA1182" w:rsidRDefault="00DA1182" w:rsidP="00DA1182">
      <w:pPr>
        <w:rPr>
          <w:lang w:eastAsia="pl-PL"/>
        </w:rPr>
      </w:pPr>
    </w:p>
    <w:p w14:paraId="5D5B9AAC" w14:textId="77777777" w:rsidR="00183AF1" w:rsidRDefault="00183AF1" w:rsidP="00DA1182">
      <w:pPr>
        <w:tabs>
          <w:tab w:val="left" w:pos="1032"/>
        </w:tabs>
        <w:spacing w:line="240" w:lineRule="auto"/>
        <w:jc w:val="both"/>
        <w:rPr>
          <w:rFonts w:ascii="Times New Roman" w:hAnsi="Times New Roman"/>
          <w:b/>
          <w:bCs/>
        </w:rPr>
        <w:sectPr w:rsidR="00183AF1" w:rsidSect="005D1E66">
          <w:pgSz w:w="11906" w:h="16838"/>
          <w:pgMar w:top="568" w:right="707" w:bottom="568" w:left="720" w:header="708" w:footer="290" w:gutter="0"/>
          <w:cols w:space="708"/>
          <w:docGrid w:linePitch="360"/>
        </w:sectPr>
      </w:pPr>
    </w:p>
    <w:p w14:paraId="35FB9F3B" w14:textId="6C92F81D" w:rsidR="00DA1182" w:rsidRDefault="00DA1182" w:rsidP="006E4DFC">
      <w:pPr>
        <w:tabs>
          <w:tab w:val="left" w:pos="1032"/>
        </w:tabs>
        <w:spacing w:line="240" w:lineRule="auto"/>
        <w:jc w:val="both"/>
        <w:rPr>
          <w:rFonts w:ascii="Times New Roman" w:hAnsi="Times New Roman"/>
          <w:b/>
          <w:bCs/>
        </w:rPr>
      </w:pPr>
      <w:r w:rsidRPr="004B458B">
        <w:rPr>
          <w:rFonts w:ascii="Times New Roman" w:hAnsi="Times New Roman"/>
          <w:b/>
          <w:bCs/>
        </w:rPr>
        <w:lastRenderedPageBreak/>
        <w:t xml:space="preserve">Załącznik nr 1 – </w:t>
      </w:r>
      <w:r w:rsidRPr="00DA1182">
        <w:rPr>
          <w:rFonts w:ascii="Times New Roman" w:hAnsi="Times New Roman"/>
          <w:b/>
          <w:bCs/>
        </w:rPr>
        <w:t>Szczegółowy podział wydatków GDOŚ/RDOŚ oraz samorządów na lata 202</w:t>
      </w:r>
      <w:r w:rsidR="00C26AE0">
        <w:rPr>
          <w:rFonts w:ascii="Times New Roman" w:hAnsi="Times New Roman"/>
          <w:b/>
          <w:bCs/>
        </w:rPr>
        <w:t>6</w:t>
      </w:r>
      <w:r w:rsidRPr="00DA1182">
        <w:rPr>
          <w:rFonts w:ascii="Times New Roman" w:hAnsi="Times New Roman"/>
          <w:b/>
          <w:bCs/>
        </w:rPr>
        <w:t>-203</w:t>
      </w:r>
      <w:r w:rsidR="00C26AE0">
        <w:rPr>
          <w:rFonts w:ascii="Times New Roman" w:hAnsi="Times New Roman"/>
          <w:b/>
          <w:bCs/>
        </w:rPr>
        <w:t>5</w:t>
      </w:r>
      <w:r w:rsidRPr="00DA1182">
        <w:rPr>
          <w:rFonts w:ascii="Times New Roman" w:hAnsi="Times New Roman"/>
          <w:b/>
          <w:bCs/>
        </w:rPr>
        <w:t xml:space="preserve"> w związku z</w:t>
      </w:r>
      <w:r>
        <w:rPr>
          <w:rFonts w:ascii="Times New Roman" w:hAnsi="Times New Roman"/>
          <w:b/>
          <w:bCs/>
        </w:rPr>
        <w:t> </w:t>
      </w:r>
      <w:r w:rsidRPr="00DA1182">
        <w:rPr>
          <w:rFonts w:ascii="Times New Roman" w:hAnsi="Times New Roman"/>
          <w:b/>
          <w:bCs/>
        </w:rPr>
        <w:t xml:space="preserve">koniecznością zapewnienia większej liczby etatów na działania związane z wyznaczaniem obszarów przyspieszonego rozwoju </w:t>
      </w:r>
      <w:r w:rsidR="001778AA" w:rsidRPr="001778AA">
        <w:rPr>
          <w:rFonts w:ascii="Times New Roman" w:hAnsi="Times New Roman"/>
          <w:b/>
          <w:bCs/>
        </w:rPr>
        <w:t>instalacji odnawialnego źródła energii</w:t>
      </w:r>
    </w:p>
    <w:p w14:paraId="08FC15F9" w14:textId="77777777" w:rsidR="007278B4" w:rsidRPr="004B458B" w:rsidRDefault="007278B4" w:rsidP="006E4DFC">
      <w:pPr>
        <w:tabs>
          <w:tab w:val="left" w:pos="1032"/>
        </w:tabs>
        <w:spacing w:line="240" w:lineRule="auto"/>
        <w:jc w:val="both"/>
        <w:rPr>
          <w:rFonts w:ascii="Times New Roman" w:hAnsi="Times New Roman"/>
          <w:b/>
          <w:bCs/>
        </w:rPr>
      </w:pPr>
    </w:p>
    <w:tbl>
      <w:tblPr>
        <w:tblW w:w="5000" w:type="pct"/>
        <w:tblCellMar>
          <w:left w:w="70" w:type="dxa"/>
          <w:right w:w="70" w:type="dxa"/>
        </w:tblCellMar>
        <w:tblLook w:val="04A0" w:firstRow="1" w:lastRow="0" w:firstColumn="1" w:lastColumn="0" w:noHBand="0" w:noVBand="1"/>
      </w:tblPr>
      <w:tblGrid>
        <w:gridCol w:w="2233"/>
        <w:gridCol w:w="1347"/>
        <w:gridCol w:w="1347"/>
        <w:gridCol w:w="1347"/>
        <w:gridCol w:w="1347"/>
        <w:gridCol w:w="1347"/>
        <w:gridCol w:w="1347"/>
        <w:gridCol w:w="1347"/>
        <w:gridCol w:w="1347"/>
        <w:gridCol w:w="1347"/>
        <w:gridCol w:w="1338"/>
      </w:tblGrid>
      <w:tr w:rsidR="003475A0" w:rsidRPr="003475A0" w14:paraId="3330E55F" w14:textId="77777777" w:rsidTr="004E3D9A">
        <w:trPr>
          <w:trHeight w:val="290"/>
        </w:trPr>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F870" w14:textId="77777777" w:rsidR="003475A0" w:rsidRPr="003475A0" w:rsidRDefault="003475A0" w:rsidP="003475A0">
            <w:pPr>
              <w:spacing w:line="240" w:lineRule="auto"/>
              <w:rPr>
                <w:rFonts w:eastAsia="Times New Roman" w:cs="Calibri"/>
                <w:b/>
                <w:bCs/>
                <w:color w:val="000000"/>
                <w:lang w:eastAsia="pl-PL"/>
              </w:rPr>
            </w:pPr>
            <w:r w:rsidRPr="003475A0">
              <w:rPr>
                <w:rFonts w:eastAsia="Times New Roman" w:cs="Calibri"/>
                <w:b/>
                <w:bCs/>
                <w:color w:val="000000"/>
                <w:lang w:eastAsia="pl-PL"/>
              </w:rPr>
              <w:t>GDOŚ/RDOŚ</w:t>
            </w:r>
          </w:p>
        </w:tc>
        <w:tc>
          <w:tcPr>
            <w:tcW w:w="4337"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78C4DBCB"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 </w:t>
            </w:r>
          </w:p>
        </w:tc>
      </w:tr>
      <w:tr w:rsidR="003475A0" w:rsidRPr="003475A0" w14:paraId="257EA949"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75DC3344" w14:textId="77777777" w:rsidR="003475A0" w:rsidRPr="003475A0" w:rsidRDefault="003475A0" w:rsidP="003475A0">
            <w:pPr>
              <w:spacing w:line="240" w:lineRule="auto"/>
              <w:rPr>
                <w:rFonts w:eastAsia="Times New Roman" w:cs="Calibri"/>
                <w:b/>
                <w:bCs/>
                <w:color w:val="000000"/>
                <w:lang w:eastAsia="pl-PL"/>
              </w:rPr>
            </w:pPr>
            <w:r w:rsidRPr="003475A0">
              <w:rPr>
                <w:rFonts w:eastAsia="Times New Roman" w:cs="Calibri"/>
                <w:b/>
                <w:bCs/>
                <w:color w:val="000000"/>
                <w:lang w:eastAsia="pl-PL"/>
              </w:rPr>
              <w:t>rodzaj wydatku/rok</w:t>
            </w:r>
          </w:p>
        </w:tc>
        <w:tc>
          <w:tcPr>
            <w:tcW w:w="434" w:type="pct"/>
            <w:tcBorders>
              <w:top w:val="nil"/>
              <w:left w:val="nil"/>
              <w:bottom w:val="single" w:sz="4" w:space="0" w:color="auto"/>
              <w:right w:val="single" w:sz="4" w:space="0" w:color="auto"/>
            </w:tcBorders>
            <w:shd w:val="clear" w:color="auto" w:fill="auto"/>
            <w:noWrap/>
            <w:vAlign w:val="bottom"/>
            <w:hideMark/>
          </w:tcPr>
          <w:p w14:paraId="1BA7BC07"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2026</w:t>
            </w:r>
          </w:p>
        </w:tc>
        <w:tc>
          <w:tcPr>
            <w:tcW w:w="434" w:type="pct"/>
            <w:tcBorders>
              <w:top w:val="nil"/>
              <w:left w:val="nil"/>
              <w:bottom w:val="single" w:sz="4" w:space="0" w:color="auto"/>
              <w:right w:val="single" w:sz="4" w:space="0" w:color="auto"/>
            </w:tcBorders>
            <w:shd w:val="clear" w:color="auto" w:fill="auto"/>
            <w:noWrap/>
            <w:vAlign w:val="bottom"/>
            <w:hideMark/>
          </w:tcPr>
          <w:p w14:paraId="0CE529FE"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2027</w:t>
            </w:r>
          </w:p>
        </w:tc>
        <w:tc>
          <w:tcPr>
            <w:tcW w:w="434" w:type="pct"/>
            <w:tcBorders>
              <w:top w:val="nil"/>
              <w:left w:val="nil"/>
              <w:bottom w:val="single" w:sz="4" w:space="0" w:color="auto"/>
              <w:right w:val="single" w:sz="4" w:space="0" w:color="auto"/>
            </w:tcBorders>
            <w:shd w:val="clear" w:color="auto" w:fill="auto"/>
            <w:noWrap/>
            <w:vAlign w:val="bottom"/>
            <w:hideMark/>
          </w:tcPr>
          <w:p w14:paraId="4E88B9C2"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2028</w:t>
            </w:r>
          </w:p>
        </w:tc>
        <w:tc>
          <w:tcPr>
            <w:tcW w:w="434" w:type="pct"/>
            <w:tcBorders>
              <w:top w:val="nil"/>
              <w:left w:val="nil"/>
              <w:bottom w:val="single" w:sz="4" w:space="0" w:color="auto"/>
              <w:right w:val="single" w:sz="4" w:space="0" w:color="auto"/>
            </w:tcBorders>
            <w:shd w:val="clear" w:color="auto" w:fill="auto"/>
            <w:noWrap/>
            <w:vAlign w:val="bottom"/>
            <w:hideMark/>
          </w:tcPr>
          <w:p w14:paraId="6E4B2210"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2029</w:t>
            </w:r>
          </w:p>
        </w:tc>
        <w:tc>
          <w:tcPr>
            <w:tcW w:w="434" w:type="pct"/>
            <w:tcBorders>
              <w:top w:val="nil"/>
              <w:left w:val="nil"/>
              <w:bottom w:val="single" w:sz="4" w:space="0" w:color="auto"/>
              <w:right w:val="single" w:sz="4" w:space="0" w:color="auto"/>
            </w:tcBorders>
            <w:shd w:val="clear" w:color="auto" w:fill="auto"/>
            <w:noWrap/>
            <w:vAlign w:val="bottom"/>
            <w:hideMark/>
          </w:tcPr>
          <w:p w14:paraId="5366B0CE"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2030</w:t>
            </w:r>
          </w:p>
        </w:tc>
        <w:tc>
          <w:tcPr>
            <w:tcW w:w="434" w:type="pct"/>
            <w:tcBorders>
              <w:top w:val="nil"/>
              <w:left w:val="nil"/>
              <w:bottom w:val="single" w:sz="4" w:space="0" w:color="auto"/>
              <w:right w:val="single" w:sz="4" w:space="0" w:color="auto"/>
            </w:tcBorders>
            <w:shd w:val="clear" w:color="auto" w:fill="auto"/>
            <w:noWrap/>
            <w:vAlign w:val="bottom"/>
            <w:hideMark/>
          </w:tcPr>
          <w:p w14:paraId="2599A561"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2031</w:t>
            </w:r>
          </w:p>
        </w:tc>
        <w:tc>
          <w:tcPr>
            <w:tcW w:w="434" w:type="pct"/>
            <w:tcBorders>
              <w:top w:val="nil"/>
              <w:left w:val="nil"/>
              <w:bottom w:val="single" w:sz="4" w:space="0" w:color="auto"/>
              <w:right w:val="single" w:sz="4" w:space="0" w:color="auto"/>
            </w:tcBorders>
            <w:shd w:val="clear" w:color="auto" w:fill="auto"/>
            <w:noWrap/>
            <w:vAlign w:val="bottom"/>
            <w:hideMark/>
          </w:tcPr>
          <w:p w14:paraId="126A4C37"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2032</w:t>
            </w:r>
          </w:p>
        </w:tc>
        <w:tc>
          <w:tcPr>
            <w:tcW w:w="434" w:type="pct"/>
            <w:tcBorders>
              <w:top w:val="nil"/>
              <w:left w:val="nil"/>
              <w:bottom w:val="single" w:sz="4" w:space="0" w:color="auto"/>
              <w:right w:val="single" w:sz="4" w:space="0" w:color="auto"/>
            </w:tcBorders>
            <w:shd w:val="clear" w:color="auto" w:fill="auto"/>
            <w:noWrap/>
            <w:vAlign w:val="bottom"/>
            <w:hideMark/>
          </w:tcPr>
          <w:p w14:paraId="12FA8285"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2033</w:t>
            </w:r>
          </w:p>
        </w:tc>
        <w:tc>
          <w:tcPr>
            <w:tcW w:w="434" w:type="pct"/>
            <w:tcBorders>
              <w:top w:val="nil"/>
              <w:left w:val="nil"/>
              <w:bottom w:val="single" w:sz="4" w:space="0" w:color="auto"/>
              <w:right w:val="single" w:sz="4" w:space="0" w:color="auto"/>
            </w:tcBorders>
            <w:shd w:val="clear" w:color="auto" w:fill="auto"/>
            <w:noWrap/>
            <w:vAlign w:val="bottom"/>
            <w:hideMark/>
          </w:tcPr>
          <w:p w14:paraId="2F6DE60F"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2034</w:t>
            </w:r>
          </w:p>
        </w:tc>
        <w:tc>
          <w:tcPr>
            <w:tcW w:w="434" w:type="pct"/>
            <w:tcBorders>
              <w:top w:val="nil"/>
              <w:left w:val="nil"/>
              <w:bottom w:val="single" w:sz="4" w:space="0" w:color="auto"/>
              <w:right w:val="single" w:sz="4" w:space="0" w:color="auto"/>
            </w:tcBorders>
            <w:shd w:val="clear" w:color="auto" w:fill="auto"/>
            <w:noWrap/>
            <w:vAlign w:val="bottom"/>
            <w:hideMark/>
          </w:tcPr>
          <w:p w14:paraId="261F9AB4"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2035</w:t>
            </w:r>
          </w:p>
        </w:tc>
      </w:tr>
      <w:tr w:rsidR="003475A0" w:rsidRPr="003475A0" w14:paraId="17EB3AB8" w14:textId="77777777" w:rsidTr="004E3D9A">
        <w:trPr>
          <w:trHeight w:val="290"/>
        </w:trPr>
        <w:tc>
          <w:tcPr>
            <w:tcW w:w="663" w:type="pct"/>
            <w:tcBorders>
              <w:top w:val="nil"/>
              <w:left w:val="single" w:sz="4" w:space="0" w:color="auto"/>
              <w:bottom w:val="dotted" w:sz="4" w:space="0" w:color="auto"/>
              <w:right w:val="single" w:sz="4" w:space="0" w:color="auto"/>
            </w:tcBorders>
            <w:shd w:val="clear" w:color="auto" w:fill="auto"/>
            <w:noWrap/>
            <w:vAlign w:val="bottom"/>
            <w:hideMark/>
          </w:tcPr>
          <w:p w14:paraId="07310A59"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wynagrodzenia</w:t>
            </w:r>
          </w:p>
        </w:tc>
        <w:tc>
          <w:tcPr>
            <w:tcW w:w="434" w:type="pct"/>
            <w:tcBorders>
              <w:top w:val="nil"/>
              <w:left w:val="nil"/>
              <w:bottom w:val="dotted" w:sz="4" w:space="0" w:color="auto"/>
              <w:right w:val="single" w:sz="4" w:space="0" w:color="auto"/>
            </w:tcBorders>
            <w:shd w:val="clear" w:color="auto" w:fill="auto"/>
            <w:noWrap/>
            <w:vAlign w:val="bottom"/>
            <w:hideMark/>
          </w:tcPr>
          <w:p w14:paraId="7F66ADFA"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2 485 762,56 </w:t>
            </w:r>
          </w:p>
        </w:tc>
        <w:tc>
          <w:tcPr>
            <w:tcW w:w="434" w:type="pct"/>
            <w:tcBorders>
              <w:top w:val="nil"/>
              <w:left w:val="nil"/>
              <w:bottom w:val="dotted" w:sz="4" w:space="0" w:color="auto"/>
              <w:right w:val="single" w:sz="4" w:space="0" w:color="auto"/>
            </w:tcBorders>
            <w:shd w:val="clear" w:color="auto" w:fill="auto"/>
            <w:noWrap/>
            <w:vAlign w:val="bottom"/>
            <w:hideMark/>
          </w:tcPr>
          <w:p w14:paraId="212D521F"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2 853 481,42 </w:t>
            </w:r>
          </w:p>
        </w:tc>
        <w:tc>
          <w:tcPr>
            <w:tcW w:w="434" w:type="pct"/>
            <w:tcBorders>
              <w:top w:val="nil"/>
              <w:left w:val="nil"/>
              <w:bottom w:val="dotted" w:sz="4" w:space="0" w:color="auto"/>
              <w:right w:val="single" w:sz="4" w:space="0" w:color="auto"/>
            </w:tcBorders>
            <w:shd w:val="clear" w:color="auto" w:fill="auto"/>
            <w:noWrap/>
            <w:vAlign w:val="bottom"/>
            <w:hideMark/>
          </w:tcPr>
          <w:p w14:paraId="62B4444E"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3 004 715,93 </w:t>
            </w:r>
          </w:p>
        </w:tc>
        <w:tc>
          <w:tcPr>
            <w:tcW w:w="434" w:type="pct"/>
            <w:tcBorders>
              <w:top w:val="nil"/>
              <w:left w:val="nil"/>
              <w:bottom w:val="dotted" w:sz="4" w:space="0" w:color="auto"/>
              <w:right w:val="single" w:sz="4" w:space="0" w:color="auto"/>
            </w:tcBorders>
            <w:shd w:val="clear" w:color="auto" w:fill="auto"/>
            <w:noWrap/>
            <w:vAlign w:val="bottom"/>
            <w:hideMark/>
          </w:tcPr>
          <w:p w14:paraId="38AD4465"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3 163 965,87 </w:t>
            </w:r>
          </w:p>
        </w:tc>
        <w:tc>
          <w:tcPr>
            <w:tcW w:w="434" w:type="pct"/>
            <w:tcBorders>
              <w:top w:val="nil"/>
              <w:left w:val="nil"/>
              <w:bottom w:val="dotted" w:sz="4" w:space="0" w:color="auto"/>
              <w:right w:val="single" w:sz="4" w:space="0" w:color="auto"/>
            </w:tcBorders>
            <w:shd w:val="clear" w:color="auto" w:fill="auto"/>
            <w:noWrap/>
            <w:vAlign w:val="bottom"/>
            <w:hideMark/>
          </w:tcPr>
          <w:p w14:paraId="6A25AB48"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3 331 656,07 </w:t>
            </w:r>
          </w:p>
        </w:tc>
        <w:tc>
          <w:tcPr>
            <w:tcW w:w="434" w:type="pct"/>
            <w:tcBorders>
              <w:top w:val="nil"/>
              <w:left w:val="nil"/>
              <w:bottom w:val="dotted" w:sz="4" w:space="0" w:color="auto"/>
              <w:right w:val="single" w:sz="4" w:space="0" w:color="auto"/>
            </w:tcBorders>
            <w:shd w:val="clear" w:color="auto" w:fill="auto"/>
            <w:noWrap/>
            <w:vAlign w:val="bottom"/>
            <w:hideMark/>
          </w:tcPr>
          <w:p w14:paraId="4228EC22"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3 508 233,84 </w:t>
            </w:r>
          </w:p>
        </w:tc>
        <w:tc>
          <w:tcPr>
            <w:tcW w:w="434" w:type="pct"/>
            <w:tcBorders>
              <w:top w:val="nil"/>
              <w:left w:val="nil"/>
              <w:bottom w:val="dotted" w:sz="4" w:space="0" w:color="auto"/>
              <w:right w:val="single" w:sz="4" w:space="0" w:color="auto"/>
            </w:tcBorders>
            <w:shd w:val="clear" w:color="auto" w:fill="auto"/>
            <w:noWrap/>
            <w:vAlign w:val="bottom"/>
            <w:hideMark/>
          </w:tcPr>
          <w:p w14:paraId="36F79B4F"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3 694 170,23 </w:t>
            </w:r>
          </w:p>
        </w:tc>
        <w:tc>
          <w:tcPr>
            <w:tcW w:w="434" w:type="pct"/>
            <w:tcBorders>
              <w:top w:val="nil"/>
              <w:left w:val="nil"/>
              <w:bottom w:val="dotted" w:sz="4" w:space="0" w:color="auto"/>
              <w:right w:val="single" w:sz="4" w:space="0" w:color="auto"/>
            </w:tcBorders>
            <w:shd w:val="clear" w:color="auto" w:fill="auto"/>
            <w:noWrap/>
            <w:vAlign w:val="bottom"/>
            <w:hideMark/>
          </w:tcPr>
          <w:p w14:paraId="540E0010"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3 889 961,25 </w:t>
            </w:r>
          </w:p>
        </w:tc>
        <w:tc>
          <w:tcPr>
            <w:tcW w:w="434" w:type="pct"/>
            <w:tcBorders>
              <w:top w:val="nil"/>
              <w:left w:val="nil"/>
              <w:bottom w:val="dotted" w:sz="4" w:space="0" w:color="auto"/>
              <w:right w:val="single" w:sz="4" w:space="0" w:color="auto"/>
            </w:tcBorders>
            <w:shd w:val="clear" w:color="auto" w:fill="auto"/>
            <w:noWrap/>
            <w:vAlign w:val="bottom"/>
            <w:hideMark/>
          </w:tcPr>
          <w:p w14:paraId="382541E6"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4 096 129,20 </w:t>
            </w:r>
          </w:p>
        </w:tc>
        <w:tc>
          <w:tcPr>
            <w:tcW w:w="434" w:type="pct"/>
            <w:tcBorders>
              <w:top w:val="nil"/>
              <w:left w:val="nil"/>
              <w:bottom w:val="dotted" w:sz="4" w:space="0" w:color="auto"/>
              <w:right w:val="single" w:sz="4" w:space="0" w:color="auto"/>
            </w:tcBorders>
            <w:shd w:val="clear" w:color="auto" w:fill="auto"/>
            <w:noWrap/>
            <w:vAlign w:val="bottom"/>
            <w:hideMark/>
          </w:tcPr>
          <w:p w14:paraId="085DF777"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4 313 224,05 </w:t>
            </w:r>
          </w:p>
        </w:tc>
      </w:tr>
      <w:tr w:rsidR="003475A0" w:rsidRPr="003475A0" w14:paraId="398236ED" w14:textId="77777777" w:rsidTr="004E3D9A">
        <w:trPr>
          <w:trHeight w:val="290"/>
        </w:trPr>
        <w:tc>
          <w:tcPr>
            <w:tcW w:w="663" w:type="pct"/>
            <w:tcBorders>
              <w:top w:val="nil"/>
              <w:left w:val="single" w:sz="4" w:space="0" w:color="auto"/>
              <w:bottom w:val="dotted" w:sz="4" w:space="0" w:color="auto"/>
              <w:right w:val="single" w:sz="4" w:space="0" w:color="auto"/>
            </w:tcBorders>
            <w:shd w:val="clear" w:color="auto" w:fill="auto"/>
            <w:noWrap/>
            <w:vAlign w:val="bottom"/>
            <w:hideMark/>
          </w:tcPr>
          <w:p w14:paraId="363857F2"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w tym DWR</w:t>
            </w:r>
          </w:p>
        </w:tc>
        <w:tc>
          <w:tcPr>
            <w:tcW w:w="434" w:type="pct"/>
            <w:tcBorders>
              <w:top w:val="nil"/>
              <w:left w:val="nil"/>
              <w:bottom w:val="dotted" w:sz="4" w:space="0" w:color="auto"/>
              <w:right w:val="single" w:sz="4" w:space="0" w:color="auto"/>
            </w:tcBorders>
            <w:shd w:val="clear" w:color="auto" w:fill="auto"/>
            <w:noWrap/>
            <w:vAlign w:val="bottom"/>
            <w:hideMark/>
          </w:tcPr>
          <w:p w14:paraId="2A92B41C" w14:textId="77777777" w:rsidR="003475A0" w:rsidRPr="003475A0" w:rsidRDefault="003475A0" w:rsidP="003475A0">
            <w:pPr>
              <w:spacing w:line="240" w:lineRule="auto"/>
              <w:jc w:val="center"/>
              <w:rPr>
                <w:rFonts w:eastAsia="Times New Roman" w:cs="Calibri"/>
                <w:color w:val="000000"/>
                <w:sz w:val="18"/>
                <w:szCs w:val="18"/>
                <w:lang w:eastAsia="pl-PL"/>
              </w:rPr>
            </w:pPr>
            <w:r w:rsidRPr="003475A0">
              <w:rPr>
                <w:rFonts w:eastAsia="Times New Roman" w:cs="Calibri"/>
                <w:color w:val="000000"/>
                <w:sz w:val="18"/>
                <w:szCs w:val="18"/>
                <w:lang w:eastAsia="pl-PL"/>
              </w:rPr>
              <w:t>-</w:t>
            </w:r>
          </w:p>
        </w:tc>
        <w:tc>
          <w:tcPr>
            <w:tcW w:w="434" w:type="pct"/>
            <w:tcBorders>
              <w:top w:val="nil"/>
              <w:left w:val="nil"/>
              <w:bottom w:val="dotted" w:sz="4" w:space="0" w:color="auto"/>
              <w:right w:val="single" w:sz="4" w:space="0" w:color="auto"/>
            </w:tcBorders>
            <w:shd w:val="clear" w:color="auto" w:fill="auto"/>
            <w:noWrap/>
            <w:vAlign w:val="bottom"/>
            <w:hideMark/>
          </w:tcPr>
          <w:p w14:paraId="59145DCD"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211 289,82 </w:t>
            </w:r>
          </w:p>
        </w:tc>
        <w:tc>
          <w:tcPr>
            <w:tcW w:w="434" w:type="pct"/>
            <w:tcBorders>
              <w:top w:val="nil"/>
              <w:left w:val="nil"/>
              <w:bottom w:val="dotted" w:sz="4" w:space="0" w:color="auto"/>
              <w:right w:val="single" w:sz="4" w:space="0" w:color="auto"/>
            </w:tcBorders>
            <w:shd w:val="clear" w:color="auto" w:fill="auto"/>
            <w:noWrap/>
            <w:vAlign w:val="bottom"/>
            <w:hideMark/>
          </w:tcPr>
          <w:p w14:paraId="7D5F742F"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242 545,92 </w:t>
            </w:r>
          </w:p>
        </w:tc>
        <w:tc>
          <w:tcPr>
            <w:tcW w:w="434" w:type="pct"/>
            <w:tcBorders>
              <w:top w:val="nil"/>
              <w:left w:val="nil"/>
              <w:bottom w:val="dotted" w:sz="4" w:space="0" w:color="auto"/>
              <w:right w:val="single" w:sz="4" w:space="0" w:color="auto"/>
            </w:tcBorders>
            <w:shd w:val="clear" w:color="auto" w:fill="auto"/>
            <w:noWrap/>
            <w:vAlign w:val="bottom"/>
            <w:hideMark/>
          </w:tcPr>
          <w:p w14:paraId="51F932CC"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255 400,85 </w:t>
            </w:r>
          </w:p>
        </w:tc>
        <w:tc>
          <w:tcPr>
            <w:tcW w:w="434" w:type="pct"/>
            <w:tcBorders>
              <w:top w:val="nil"/>
              <w:left w:val="nil"/>
              <w:bottom w:val="dotted" w:sz="4" w:space="0" w:color="auto"/>
              <w:right w:val="single" w:sz="4" w:space="0" w:color="auto"/>
            </w:tcBorders>
            <w:shd w:val="clear" w:color="auto" w:fill="auto"/>
            <w:noWrap/>
            <w:vAlign w:val="bottom"/>
            <w:hideMark/>
          </w:tcPr>
          <w:p w14:paraId="601EA289"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268 937,10 </w:t>
            </w:r>
          </w:p>
        </w:tc>
        <w:tc>
          <w:tcPr>
            <w:tcW w:w="434" w:type="pct"/>
            <w:tcBorders>
              <w:top w:val="nil"/>
              <w:left w:val="nil"/>
              <w:bottom w:val="dotted" w:sz="4" w:space="0" w:color="auto"/>
              <w:right w:val="single" w:sz="4" w:space="0" w:color="auto"/>
            </w:tcBorders>
            <w:shd w:val="clear" w:color="auto" w:fill="auto"/>
            <w:noWrap/>
            <w:vAlign w:val="bottom"/>
            <w:hideMark/>
          </w:tcPr>
          <w:p w14:paraId="124E473A"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283 190,77 </w:t>
            </w:r>
          </w:p>
        </w:tc>
        <w:tc>
          <w:tcPr>
            <w:tcW w:w="434" w:type="pct"/>
            <w:tcBorders>
              <w:top w:val="nil"/>
              <w:left w:val="nil"/>
              <w:bottom w:val="dotted" w:sz="4" w:space="0" w:color="auto"/>
              <w:right w:val="single" w:sz="4" w:space="0" w:color="auto"/>
            </w:tcBorders>
            <w:shd w:val="clear" w:color="auto" w:fill="auto"/>
            <w:noWrap/>
            <w:vAlign w:val="bottom"/>
            <w:hideMark/>
          </w:tcPr>
          <w:p w14:paraId="600F2D4C"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298 199,88 </w:t>
            </w:r>
          </w:p>
        </w:tc>
        <w:tc>
          <w:tcPr>
            <w:tcW w:w="434" w:type="pct"/>
            <w:tcBorders>
              <w:top w:val="nil"/>
              <w:left w:val="nil"/>
              <w:bottom w:val="dotted" w:sz="4" w:space="0" w:color="auto"/>
              <w:right w:val="single" w:sz="4" w:space="0" w:color="auto"/>
            </w:tcBorders>
            <w:shd w:val="clear" w:color="auto" w:fill="auto"/>
            <w:noWrap/>
            <w:vAlign w:val="bottom"/>
            <w:hideMark/>
          </w:tcPr>
          <w:p w14:paraId="4149A369"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314 004,47 </w:t>
            </w:r>
          </w:p>
        </w:tc>
        <w:tc>
          <w:tcPr>
            <w:tcW w:w="434" w:type="pct"/>
            <w:tcBorders>
              <w:top w:val="nil"/>
              <w:left w:val="nil"/>
              <w:bottom w:val="dotted" w:sz="4" w:space="0" w:color="auto"/>
              <w:right w:val="single" w:sz="4" w:space="0" w:color="auto"/>
            </w:tcBorders>
            <w:shd w:val="clear" w:color="auto" w:fill="auto"/>
            <w:noWrap/>
            <w:vAlign w:val="bottom"/>
            <w:hideMark/>
          </w:tcPr>
          <w:p w14:paraId="410ED513"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330 646,71 </w:t>
            </w:r>
          </w:p>
        </w:tc>
        <w:tc>
          <w:tcPr>
            <w:tcW w:w="434" w:type="pct"/>
            <w:tcBorders>
              <w:top w:val="nil"/>
              <w:left w:val="nil"/>
              <w:bottom w:val="dotted" w:sz="4" w:space="0" w:color="auto"/>
              <w:right w:val="single" w:sz="4" w:space="0" w:color="auto"/>
            </w:tcBorders>
            <w:shd w:val="clear" w:color="auto" w:fill="auto"/>
            <w:noWrap/>
            <w:vAlign w:val="bottom"/>
            <w:hideMark/>
          </w:tcPr>
          <w:p w14:paraId="71112340"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348 170,98 </w:t>
            </w:r>
          </w:p>
        </w:tc>
      </w:tr>
      <w:tr w:rsidR="003475A0" w:rsidRPr="003475A0" w14:paraId="35A32778" w14:textId="77777777" w:rsidTr="004E3D9A">
        <w:trPr>
          <w:trHeight w:val="290"/>
        </w:trPr>
        <w:tc>
          <w:tcPr>
            <w:tcW w:w="663" w:type="pct"/>
            <w:tcBorders>
              <w:top w:val="nil"/>
              <w:left w:val="single" w:sz="4" w:space="0" w:color="auto"/>
              <w:bottom w:val="dotted" w:sz="4" w:space="0" w:color="auto"/>
              <w:right w:val="single" w:sz="4" w:space="0" w:color="auto"/>
            </w:tcBorders>
            <w:shd w:val="clear" w:color="auto" w:fill="auto"/>
            <w:noWrap/>
            <w:vAlign w:val="bottom"/>
            <w:hideMark/>
          </w:tcPr>
          <w:p w14:paraId="5381F27F"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ubezp. społ.</w:t>
            </w:r>
          </w:p>
        </w:tc>
        <w:tc>
          <w:tcPr>
            <w:tcW w:w="434" w:type="pct"/>
            <w:tcBorders>
              <w:top w:val="nil"/>
              <w:left w:val="nil"/>
              <w:bottom w:val="dotted" w:sz="4" w:space="0" w:color="auto"/>
              <w:right w:val="single" w:sz="4" w:space="0" w:color="auto"/>
            </w:tcBorders>
            <w:shd w:val="clear" w:color="auto" w:fill="auto"/>
            <w:noWrap/>
            <w:vAlign w:val="bottom"/>
            <w:hideMark/>
          </w:tcPr>
          <w:p w14:paraId="3B40C828"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420 839,60 </w:t>
            </w:r>
          </w:p>
        </w:tc>
        <w:tc>
          <w:tcPr>
            <w:tcW w:w="434" w:type="pct"/>
            <w:tcBorders>
              <w:top w:val="nil"/>
              <w:left w:val="nil"/>
              <w:bottom w:val="dotted" w:sz="4" w:space="0" w:color="auto"/>
              <w:right w:val="single" w:sz="4" w:space="0" w:color="auto"/>
            </w:tcBorders>
            <w:shd w:val="clear" w:color="auto" w:fill="auto"/>
            <w:noWrap/>
            <w:vAlign w:val="bottom"/>
            <w:hideMark/>
          </w:tcPr>
          <w:p w14:paraId="3F4B6E17"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483 094,40 </w:t>
            </w:r>
          </w:p>
        </w:tc>
        <w:tc>
          <w:tcPr>
            <w:tcW w:w="434" w:type="pct"/>
            <w:tcBorders>
              <w:top w:val="nil"/>
              <w:left w:val="nil"/>
              <w:bottom w:val="dotted" w:sz="4" w:space="0" w:color="auto"/>
              <w:right w:val="single" w:sz="4" w:space="0" w:color="auto"/>
            </w:tcBorders>
            <w:shd w:val="clear" w:color="auto" w:fill="auto"/>
            <w:noWrap/>
            <w:vAlign w:val="bottom"/>
            <w:hideMark/>
          </w:tcPr>
          <w:p w14:paraId="4BCB2DBD"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508 698,41 </w:t>
            </w:r>
          </w:p>
        </w:tc>
        <w:tc>
          <w:tcPr>
            <w:tcW w:w="434" w:type="pct"/>
            <w:tcBorders>
              <w:top w:val="nil"/>
              <w:left w:val="nil"/>
              <w:bottom w:val="dotted" w:sz="4" w:space="0" w:color="auto"/>
              <w:right w:val="single" w:sz="4" w:space="0" w:color="auto"/>
            </w:tcBorders>
            <w:shd w:val="clear" w:color="auto" w:fill="auto"/>
            <w:noWrap/>
            <w:vAlign w:val="bottom"/>
            <w:hideMark/>
          </w:tcPr>
          <w:p w14:paraId="4CA68D24"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535 659,42 </w:t>
            </w:r>
          </w:p>
        </w:tc>
        <w:tc>
          <w:tcPr>
            <w:tcW w:w="434" w:type="pct"/>
            <w:tcBorders>
              <w:top w:val="nil"/>
              <w:left w:val="nil"/>
              <w:bottom w:val="dotted" w:sz="4" w:space="0" w:color="auto"/>
              <w:right w:val="single" w:sz="4" w:space="0" w:color="auto"/>
            </w:tcBorders>
            <w:shd w:val="clear" w:color="auto" w:fill="auto"/>
            <w:noWrap/>
            <w:vAlign w:val="bottom"/>
            <w:hideMark/>
          </w:tcPr>
          <w:p w14:paraId="2C8183FB"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564 049,37 </w:t>
            </w:r>
          </w:p>
        </w:tc>
        <w:tc>
          <w:tcPr>
            <w:tcW w:w="434" w:type="pct"/>
            <w:tcBorders>
              <w:top w:val="nil"/>
              <w:left w:val="nil"/>
              <w:bottom w:val="dotted" w:sz="4" w:space="0" w:color="auto"/>
              <w:right w:val="single" w:sz="4" w:space="0" w:color="auto"/>
            </w:tcBorders>
            <w:shd w:val="clear" w:color="auto" w:fill="auto"/>
            <w:noWrap/>
            <w:vAlign w:val="bottom"/>
            <w:hideMark/>
          </w:tcPr>
          <w:p w14:paraId="7FB10F38"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593 943,99 </w:t>
            </w:r>
          </w:p>
        </w:tc>
        <w:tc>
          <w:tcPr>
            <w:tcW w:w="434" w:type="pct"/>
            <w:tcBorders>
              <w:top w:val="nil"/>
              <w:left w:val="nil"/>
              <w:bottom w:val="dotted" w:sz="4" w:space="0" w:color="auto"/>
              <w:right w:val="single" w:sz="4" w:space="0" w:color="auto"/>
            </w:tcBorders>
            <w:shd w:val="clear" w:color="auto" w:fill="auto"/>
            <w:noWrap/>
            <w:vAlign w:val="bottom"/>
            <w:hideMark/>
          </w:tcPr>
          <w:p w14:paraId="46A1CBC8"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625 423,02 </w:t>
            </w:r>
          </w:p>
        </w:tc>
        <w:tc>
          <w:tcPr>
            <w:tcW w:w="434" w:type="pct"/>
            <w:tcBorders>
              <w:top w:val="nil"/>
              <w:left w:val="nil"/>
              <w:bottom w:val="dotted" w:sz="4" w:space="0" w:color="auto"/>
              <w:right w:val="single" w:sz="4" w:space="0" w:color="auto"/>
            </w:tcBorders>
            <w:shd w:val="clear" w:color="auto" w:fill="auto"/>
            <w:noWrap/>
            <w:vAlign w:val="bottom"/>
            <w:hideMark/>
          </w:tcPr>
          <w:p w14:paraId="48139BFC"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658 570,44 </w:t>
            </w:r>
          </w:p>
        </w:tc>
        <w:tc>
          <w:tcPr>
            <w:tcW w:w="434" w:type="pct"/>
            <w:tcBorders>
              <w:top w:val="nil"/>
              <w:left w:val="nil"/>
              <w:bottom w:val="dotted" w:sz="4" w:space="0" w:color="auto"/>
              <w:right w:val="single" w:sz="4" w:space="0" w:color="auto"/>
            </w:tcBorders>
            <w:shd w:val="clear" w:color="auto" w:fill="auto"/>
            <w:noWrap/>
            <w:vAlign w:val="bottom"/>
            <w:hideMark/>
          </w:tcPr>
          <w:p w14:paraId="3353F4B4"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693 474,67 </w:t>
            </w:r>
          </w:p>
        </w:tc>
        <w:tc>
          <w:tcPr>
            <w:tcW w:w="434" w:type="pct"/>
            <w:tcBorders>
              <w:top w:val="nil"/>
              <w:left w:val="nil"/>
              <w:bottom w:val="dotted" w:sz="4" w:space="0" w:color="auto"/>
              <w:right w:val="single" w:sz="4" w:space="0" w:color="auto"/>
            </w:tcBorders>
            <w:shd w:val="clear" w:color="auto" w:fill="auto"/>
            <w:noWrap/>
            <w:vAlign w:val="bottom"/>
            <w:hideMark/>
          </w:tcPr>
          <w:p w14:paraId="36DF7548"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730 228,83 </w:t>
            </w:r>
          </w:p>
        </w:tc>
      </w:tr>
      <w:tr w:rsidR="003475A0" w:rsidRPr="003475A0" w14:paraId="5C783CE2"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4F2DF80A"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FP</w:t>
            </w:r>
          </w:p>
        </w:tc>
        <w:tc>
          <w:tcPr>
            <w:tcW w:w="434" w:type="pct"/>
            <w:tcBorders>
              <w:top w:val="nil"/>
              <w:left w:val="nil"/>
              <w:bottom w:val="single" w:sz="4" w:space="0" w:color="auto"/>
              <w:right w:val="single" w:sz="4" w:space="0" w:color="auto"/>
            </w:tcBorders>
            <w:shd w:val="clear" w:color="auto" w:fill="auto"/>
            <w:noWrap/>
            <w:vAlign w:val="bottom"/>
            <w:hideMark/>
          </w:tcPr>
          <w:p w14:paraId="3191827B"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60 901,18 </w:t>
            </w:r>
          </w:p>
        </w:tc>
        <w:tc>
          <w:tcPr>
            <w:tcW w:w="434" w:type="pct"/>
            <w:tcBorders>
              <w:top w:val="nil"/>
              <w:left w:val="nil"/>
              <w:bottom w:val="single" w:sz="4" w:space="0" w:color="auto"/>
              <w:right w:val="single" w:sz="4" w:space="0" w:color="auto"/>
            </w:tcBorders>
            <w:shd w:val="clear" w:color="auto" w:fill="auto"/>
            <w:noWrap/>
            <w:vAlign w:val="bottom"/>
            <w:hideMark/>
          </w:tcPr>
          <w:p w14:paraId="36478346"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69 910,29 </w:t>
            </w:r>
          </w:p>
        </w:tc>
        <w:tc>
          <w:tcPr>
            <w:tcW w:w="434" w:type="pct"/>
            <w:tcBorders>
              <w:top w:val="nil"/>
              <w:left w:val="nil"/>
              <w:bottom w:val="single" w:sz="4" w:space="0" w:color="auto"/>
              <w:right w:val="single" w:sz="4" w:space="0" w:color="auto"/>
            </w:tcBorders>
            <w:shd w:val="clear" w:color="auto" w:fill="auto"/>
            <w:noWrap/>
            <w:vAlign w:val="bottom"/>
            <w:hideMark/>
          </w:tcPr>
          <w:p w14:paraId="7083DF0E"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73 615,54 </w:t>
            </w:r>
          </w:p>
        </w:tc>
        <w:tc>
          <w:tcPr>
            <w:tcW w:w="434" w:type="pct"/>
            <w:tcBorders>
              <w:top w:val="nil"/>
              <w:left w:val="nil"/>
              <w:bottom w:val="single" w:sz="4" w:space="0" w:color="auto"/>
              <w:right w:val="single" w:sz="4" w:space="0" w:color="auto"/>
            </w:tcBorders>
            <w:shd w:val="clear" w:color="auto" w:fill="auto"/>
            <w:noWrap/>
            <w:vAlign w:val="bottom"/>
            <w:hideMark/>
          </w:tcPr>
          <w:p w14:paraId="0E1118FF"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77 517,16 </w:t>
            </w:r>
          </w:p>
        </w:tc>
        <w:tc>
          <w:tcPr>
            <w:tcW w:w="434" w:type="pct"/>
            <w:tcBorders>
              <w:top w:val="nil"/>
              <w:left w:val="nil"/>
              <w:bottom w:val="single" w:sz="4" w:space="0" w:color="auto"/>
              <w:right w:val="single" w:sz="4" w:space="0" w:color="auto"/>
            </w:tcBorders>
            <w:shd w:val="clear" w:color="auto" w:fill="auto"/>
            <w:noWrap/>
            <w:vAlign w:val="bottom"/>
            <w:hideMark/>
          </w:tcPr>
          <w:p w14:paraId="40F89A52"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81 625,57 </w:t>
            </w:r>
          </w:p>
        </w:tc>
        <w:tc>
          <w:tcPr>
            <w:tcW w:w="434" w:type="pct"/>
            <w:tcBorders>
              <w:top w:val="nil"/>
              <w:left w:val="nil"/>
              <w:bottom w:val="single" w:sz="4" w:space="0" w:color="auto"/>
              <w:right w:val="single" w:sz="4" w:space="0" w:color="auto"/>
            </w:tcBorders>
            <w:shd w:val="clear" w:color="auto" w:fill="auto"/>
            <w:noWrap/>
            <w:vAlign w:val="bottom"/>
            <w:hideMark/>
          </w:tcPr>
          <w:p w14:paraId="1C4511A9"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85 951,73 </w:t>
            </w:r>
          </w:p>
        </w:tc>
        <w:tc>
          <w:tcPr>
            <w:tcW w:w="434" w:type="pct"/>
            <w:tcBorders>
              <w:top w:val="nil"/>
              <w:left w:val="nil"/>
              <w:bottom w:val="single" w:sz="4" w:space="0" w:color="auto"/>
              <w:right w:val="single" w:sz="4" w:space="0" w:color="auto"/>
            </w:tcBorders>
            <w:shd w:val="clear" w:color="auto" w:fill="auto"/>
            <w:noWrap/>
            <w:vAlign w:val="bottom"/>
            <w:hideMark/>
          </w:tcPr>
          <w:p w14:paraId="20C33A04"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90 507,17 </w:t>
            </w:r>
          </w:p>
        </w:tc>
        <w:tc>
          <w:tcPr>
            <w:tcW w:w="434" w:type="pct"/>
            <w:tcBorders>
              <w:top w:val="nil"/>
              <w:left w:val="nil"/>
              <w:bottom w:val="single" w:sz="4" w:space="0" w:color="auto"/>
              <w:right w:val="single" w:sz="4" w:space="0" w:color="auto"/>
            </w:tcBorders>
            <w:shd w:val="clear" w:color="auto" w:fill="auto"/>
            <w:noWrap/>
            <w:vAlign w:val="bottom"/>
            <w:hideMark/>
          </w:tcPr>
          <w:p w14:paraId="7C957913"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95 304,05 </w:t>
            </w:r>
          </w:p>
        </w:tc>
        <w:tc>
          <w:tcPr>
            <w:tcW w:w="434" w:type="pct"/>
            <w:tcBorders>
              <w:top w:val="nil"/>
              <w:left w:val="nil"/>
              <w:bottom w:val="single" w:sz="4" w:space="0" w:color="auto"/>
              <w:right w:val="single" w:sz="4" w:space="0" w:color="auto"/>
            </w:tcBorders>
            <w:shd w:val="clear" w:color="auto" w:fill="auto"/>
            <w:noWrap/>
            <w:vAlign w:val="bottom"/>
            <w:hideMark/>
          </w:tcPr>
          <w:p w14:paraId="0D52D500"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100 355,17 </w:t>
            </w:r>
          </w:p>
        </w:tc>
        <w:tc>
          <w:tcPr>
            <w:tcW w:w="434" w:type="pct"/>
            <w:tcBorders>
              <w:top w:val="nil"/>
              <w:left w:val="nil"/>
              <w:bottom w:val="single" w:sz="4" w:space="0" w:color="auto"/>
              <w:right w:val="single" w:sz="4" w:space="0" w:color="auto"/>
            </w:tcBorders>
            <w:shd w:val="clear" w:color="auto" w:fill="auto"/>
            <w:noWrap/>
            <w:vAlign w:val="bottom"/>
            <w:hideMark/>
          </w:tcPr>
          <w:p w14:paraId="3DC227A8"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 xml:space="preserve">105 673,99 </w:t>
            </w:r>
          </w:p>
        </w:tc>
      </w:tr>
      <w:tr w:rsidR="003475A0" w:rsidRPr="003475A0" w14:paraId="0A7EFB6D"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0BC496AD"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PPK</w:t>
            </w:r>
          </w:p>
        </w:tc>
        <w:tc>
          <w:tcPr>
            <w:tcW w:w="434" w:type="pct"/>
            <w:tcBorders>
              <w:top w:val="nil"/>
              <w:left w:val="nil"/>
              <w:bottom w:val="single" w:sz="4" w:space="0" w:color="auto"/>
              <w:right w:val="single" w:sz="4" w:space="0" w:color="auto"/>
            </w:tcBorders>
            <w:shd w:val="clear" w:color="auto" w:fill="auto"/>
            <w:noWrap/>
            <w:vAlign w:val="bottom"/>
            <w:hideMark/>
          </w:tcPr>
          <w:p w14:paraId="0FD525E5"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37 286,44 </w:t>
            </w:r>
          </w:p>
        </w:tc>
        <w:tc>
          <w:tcPr>
            <w:tcW w:w="434" w:type="pct"/>
            <w:tcBorders>
              <w:top w:val="nil"/>
              <w:left w:val="nil"/>
              <w:bottom w:val="single" w:sz="4" w:space="0" w:color="auto"/>
              <w:right w:val="single" w:sz="4" w:space="0" w:color="auto"/>
            </w:tcBorders>
            <w:shd w:val="clear" w:color="auto" w:fill="auto"/>
            <w:noWrap/>
            <w:vAlign w:val="bottom"/>
            <w:hideMark/>
          </w:tcPr>
          <w:p w14:paraId="7F1B7AC2"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42 802,22 </w:t>
            </w:r>
          </w:p>
        </w:tc>
        <w:tc>
          <w:tcPr>
            <w:tcW w:w="434" w:type="pct"/>
            <w:tcBorders>
              <w:top w:val="nil"/>
              <w:left w:val="nil"/>
              <w:bottom w:val="single" w:sz="4" w:space="0" w:color="auto"/>
              <w:right w:val="single" w:sz="4" w:space="0" w:color="auto"/>
            </w:tcBorders>
            <w:shd w:val="clear" w:color="auto" w:fill="auto"/>
            <w:noWrap/>
            <w:vAlign w:val="bottom"/>
            <w:hideMark/>
          </w:tcPr>
          <w:p w14:paraId="5C4169FF"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45 070,74 </w:t>
            </w:r>
          </w:p>
        </w:tc>
        <w:tc>
          <w:tcPr>
            <w:tcW w:w="434" w:type="pct"/>
            <w:tcBorders>
              <w:top w:val="nil"/>
              <w:left w:val="nil"/>
              <w:bottom w:val="single" w:sz="4" w:space="0" w:color="auto"/>
              <w:right w:val="single" w:sz="4" w:space="0" w:color="auto"/>
            </w:tcBorders>
            <w:shd w:val="clear" w:color="auto" w:fill="auto"/>
            <w:noWrap/>
            <w:vAlign w:val="bottom"/>
            <w:hideMark/>
          </w:tcPr>
          <w:p w14:paraId="548C4FD9"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47 459,49 </w:t>
            </w:r>
          </w:p>
        </w:tc>
        <w:tc>
          <w:tcPr>
            <w:tcW w:w="434" w:type="pct"/>
            <w:tcBorders>
              <w:top w:val="nil"/>
              <w:left w:val="nil"/>
              <w:bottom w:val="single" w:sz="4" w:space="0" w:color="auto"/>
              <w:right w:val="single" w:sz="4" w:space="0" w:color="auto"/>
            </w:tcBorders>
            <w:shd w:val="clear" w:color="auto" w:fill="auto"/>
            <w:noWrap/>
            <w:vAlign w:val="bottom"/>
            <w:hideMark/>
          </w:tcPr>
          <w:p w14:paraId="25E02D79"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49 974,84 </w:t>
            </w:r>
          </w:p>
        </w:tc>
        <w:tc>
          <w:tcPr>
            <w:tcW w:w="434" w:type="pct"/>
            <w:tcBorders>
              <w:top w:val="nil"/>
              <w:left w:val="nil"/>
              <w:bottom w:val="single" w:sz="4" w:space="0" w:color="auto"/>
              <w:right w:val="single" w:sz="4" w:space="0" w:color="auto"/>
            </w:tcBorders>
            <w:shd w:val="clear" w:color="auto" w:fill="auto"/>
            <w:noWrap/>
            <w:vAlign w:val="bottom"/>
            <w:hideMark/>
          </w:tcPr>
          <w:p w14:paraId="243D352E"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52 623,51 </w:t>
            </w:r>
          </w:p>
        </w:tc>
        <w:tc>
          <w:tcPr>
            <w:tcW w:w="434" w:type="pct"/>
            <w:tcBorders>
              <w:top w:val="nil"/>
              <w:left w:val="nil"/>
              <w:bottom w:val="single" w:sz="4" w:space="0" w:color="auto"/>
              <w:right w:val="single" w:sz="4" w:space="0" w:color="auto"/>
            </w:tcBorders>
            <w:shd w:val="clear" w:color="auto" w:fill="auto"/>
            <w:noWrap/>
            <w:vAlign w:val="bottom"/>
            <w:hideMark/>
          </w:tcPr>
          <w:p w14:paraId="5B2DDE5B"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55 412,55 </w:t>
            </w:r>
          </w:p>
        </w:tc>
        <w:tc>
          <w:tcPr>
            <w:tcW w:w="434" w:type="pct"/>
            <w:tcBorders>
              <w:top w:val="nil"/>
              <w:left w:val="nil"/>
              <w:bottom w:val="single" w:sz="4" w:space="0" w:color="auto"/>
              <w:right w:val="single" w:sz="4" w:space="0" w:color="auto"/>
            </w:tcBorders>
            <w:shd w:val="clear" w:color="auto" w:fill="auto"/>
            <w:noWrap/>
            <w:vAlign w:val="bottom"/>
            <w:hideMark/>
          </w:tcPr>
          <w:p w14:paraId="09B82F31"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58 349,42 </w:t>
            </w:r>
          </w:p>
        </w:tc>
        <w:tc>
          <w:tcPr>
            <w:tcW w:w="434" w:type="pct"/>
            <w:tcBorders>
              <w:top w:val="nil"/>
              <w:left w:val="nil"/>
              <w:bottom w:val="single" w:sz="4" w:space="0" w:color="auto"/>
              <w:right w:val="single" w:sz="4" w:space="0" w:color="auto"/>
            </w:tcBorders>
            <w:shd w:val="clear" w:color="auto" w:fill="auto"/>
            <w:noWrap/>
            <w:vAlign w:val="bottom"/>
            <w:hideMark/>
          </w:tcPr>
          <w:p w14:paraId="79F70E04"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61 441,94 </w:t>
            </w:r>
          </w:p>
        </w:tc>
        <w:tc>
          <w:tcPr>
            <w:tcW w:w="434" w:type="pct"/>
            <w:tcBorders>
              <w:top w:val="nil"/>
              <w:left w:val="nil"/>
              <w:bottom w:val="single" w:sz="4" w:space="0" w:color="auto"/>
              <w:right w:val="single" w:sz="4" w:space="0" w:color="auto"/>
            </w:tcBorders>
            <w:shd w:val="clear" w:color="auto" w:fill="auto"/>
            <w:noWrap/>
            <w:vAlign w:val="bottom"/>
            <w:hideMark/>
          </w:tcPr>
          <w:p w14:paraId="15E19788"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64 698,36 </w:t>
            </w:r>
          </w:p>
        </w:tc>
      </w:tr>
      <w:tr w:rsidR="003475A0" w:rsidRPr="003475A0" w14:paraId="55199698"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44802EDB"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ZFŚS</w:t>
            </w:r>
          </w:p>
        </w:tc>
        <w:tc>
          <w:tcPr>
            <w:tcW w:w="434" w:type="pct"/>
            <w:tcBorders>
              <w:top w:val="nil"/>
              <w:left w:val="nil"/>
              <w:bottom w:val="single" w:sz="4" w:space="0" w:color="auto"/>
              <w:right w:val="single" w:sz="4" w:space="0" w:color="auto"/>
            </w:tcBorders>
            <w:shd w:val="clear" w:color="auto" w:fill="auto"/>
            <w:noWrap/>
            <w:vAlign w:val="bottom"/>
            <w:hideMark/>
          </w:tcPr>
          <w:p w14:paraId="0492727C"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64 908,00 </w:t>
            </w:r>
          </w:p>
        </w:tc>
        <w:tc>
          <w:tcPr>
            <w:tcW w:w="434" w:type="pct"/>
            <w:tcBorders>
              <w:top w:val="nil"/>
              <w:left w:val="nil"/>
              <w:bottom w:val="single" w:sz="4" w:space="0" w:color="auto"/>
              <w:right w:val="single" w:sz="4" w:space="0" w:color="auto"/>
            </w:tcBorders>
            <w:shd w:val="clear" w:color="auto" w:fill="auto"/>
            <w:noWrap/>
            <w:vAlign w:val="bottom"/>
            <w:hideMark/>
          </w:tcPr>
          <w:p w14:paraId="013EBA3F"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68 672,66 </w:t>
            </w:r>
          </w:p>
        </w:tc>
        <w:tc>
          <w:tcPr>
            <w:tcW w:w="434" w:type="pct"/>
            <w:tcBorders>
              <w:top w:val="nil"/>
              <w:left w:val="nil"/>
              <w:bottom w:val="single" w:sz="4" w:space="0" w:color="auto"/>
              <w:right w:val="single" w:sz="4" w:space="0" w:color="auto"/>
            </w:tcBorders>
            <w:shd w:val="clear" w:color="auto" w:fill="auto"/>
            <w:noWrap/>
            <w:vAlign w:val="bottom"/>
            <w:hideMark/>
          </w:tcPr>
          <w:p w14:paraId="5E7BA308"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72 312,32 </w:t>
            </w:r>
          </w:p>
        </w:tc>
        <w:tc>
          <w:tcPr>
            <w:tcW w:w="434" w:type="pct"/>
            <w:tcBorders>
              <w:top w:val="nil"/>
              <w:left w:val="nil"/>
              <w:bottom w:val="single" w:sz="4" w:space="0" w:color="auto"/>
              <w:right w:val="single" w:sz="4" w:space="0" w:color="auto"/>
            </w:tcBorders>
            <w:shd w:val="clear" w:color="auto" w:fill="auto"/>
            <w:noWrap/>
            <w:vAlign w:val="bottom"/>
            <w:hideMark/>
          </w:tcPr>
          <w:p w14:paraId="482A40D3"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76 144,87 </w:t>
            </w:r>
          </w:p>
        </w:tc>
        <w:tc>
          <w:tcPr>
            <w:tcW w:w="434" w:type="pct"/>
            <w:tcBorders>
              <w:top w:val="nil"/>
              <w:left w:val="nil"/>
              <w:bottom w:val="single" w:sz="4" w:space="0" w:color="auto"/>
              <w:right w:val="single" w:sz="4" w:space="0" w:color="auto"/>
            </w:tcBorders>
            <w:shd w:val="clear" w:color="auto" w:fill="auto"/>
            <w:noWrap/>
            <w:vAlign w:val="bottom"/>
            <w:hideMark/>
          </w:tcPr>
          <w:p w14:paraId="1805B892"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80 104,40 </w:t>
            </w:r>
          </w:p>
        </w:tc>
        <w:tc>
          <w:tcPr>
            <w:tcW w:w="434" w:type="pct"/>
            <w:tcBorders>
              <w:top w:val="nil"/>
              <w:left w:val="nil"/>
              <w:bottom w:val="single" w:sz="4" w:space="0" w:color="auto"/>
              <w:right w:val="single" w:sz="4" w:space="0" w:color="auto"/>
            </w:tcBorders>
            <w:shd w:val="clear" w:color="auto" w:fill="auto"/>
            <w:noWrap/>
            <w:vAlign w:val="bottom"/>
            <w:hideMark/>
          </w:tcPr>
          <w:p w14:paraId="2E866B51"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84 269,83 </w:t>
            </w:r>
          </w:p>
        </w:tc>
        <w:tc>
          <w:tcPr>
            <w:tcW w:w="434" w:type="pct"/>
            <w:tcBorders>
              <w:top w:val="nil"/>
              <w:left w:val="nil"/>
              <w:bottom w:val="single" w:sz="4" w:space="0" w:color="auto"/>
              <w:right w:val="single" w:sz="4" w:space="0" w:color="auto"/>
            </w:tcBorders>
            <w:shd w:val="clear" w:color="auto" w:fill="auto"/>
            <w:noWrap/>
            <w:vAlign w:val="bottom"/>
            <w:hideMark/>
          </w:tcPr>
          <w:p w14:paraId="75CFD7B1"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88 567,59 </w:t>
            </w:r>
          </w:p>
        </w:tc>
        <w:tc>
          <w:tcPr>
            <w:tcW w:w="434" w:type="pct"/>
            <w:tcBorders>
              <w:top w:val="nil"/>
              <w:left w:val="nil"/>
              <w:bottom w:val="single" w:sz="4" w:space="0" w:color="auto"/>
              <w:right w:val="single" w:sz="4" w:space="0" w:color="auto"/>
            </w:tcBorders>
            <w:shd w:val="clear" w:color="auto" w:fill="auto"/>
            <w:noWrap/>
            <w:vAlign w:val="bottom"/>
            <w:hideMark/>
          </w:tcPr>
          <w:p w14:paraId="41929644"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92 995,97 </w:t>
            </w:r>
          </w:p>
        </w:tc>
        <w:tc>
          <w:tcPr>
            <w:tcW w:w="434" w:type="pct"/>
            <w:tcBorders>
              <w:top w:val="nil"/>
              <w:left w:val="nil"/>
              <w:bottom w:val="single" w:sz="4" w:space="0" w:color="auto"/>
              <w:right w:val="single" w:sz="4" w:space="0" w:color="auto"/>
            </w:tcBorders>
            <w:shd w:val="clear" w:color="auto" w:fill="auto"/>
            <w:noWrap/>
            <w:vAlign w:val="bottom"/>
            <w:hideMark/>
          </w:tcPr>
          <w:p w14:paraId="2F9B7703"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97 645,77 </w:t>
            </w:r>
          </w:p>
        </w:tc>
        <w:tc>
          <w:tcPr>
            <w:tcW w:w="434" w:type="pct"/>
            <w:tcBorders>
              <w:top w:val="nil"/>
              <w:left w:val="nil"/>
              <w:bottom w:val="single" w:sz="4" w:space="0" w:color="auto"/>
              <w:right w:val="single" w:sz="4" w:space="0" w:color="auto"/>
            </w:tcBorders>
            <w:shd w:val="clear" w:color="auto" w:fill="auto"/>
            <w:noWrap/>
            <w:vAlign w:val="bottom"/>
            <w:hideMark/>
          </w:tcPr>
          <w:p w14:paraId="7A316C6D"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102 528,06 </w:t>
            </w:r>
          </w:p>
        </w:tc>
      </w:tr>
      <w:tr w:rsidR="003475A0" w:rsidRPr="003475A0" w14:paraId="7B884432"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51B32EF1"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wyposażenie stanowisk</w:t>
            </w:r>
          </w:p>
        </w:tc>
        <w:tc>
          <w:tcPr>
            <w:tcW w:w="434" w:type="pct"/>
            <w:tcBorders>
              <w:top w:val="nil"/>
              <w:left w:val="nil"/>
              <w:bottom w:val="single" w:sz="4" w:space="0" w:color="auto"/>
              <w:right w:val="single" w:sz="4" w:space="0" w:color="auto"/>
            </w:tcBorders>
            <w:shd w:val="clear" w:color="auto" w:fill="auto"/>
            <w:noWrap/>
            <w:vAlign w:val="bottom"/>
            <w:hideMark/>
          </w:tcPr>
          <w:p w14:paraId="621CB8B4"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360 000,00 </w:t>
            </w:r>
          </w:p>
        </w:tc>
        <w:tc>
          <w:tcPr>
            <w:tcW w:w="434" w:type="pct"/>
            <w:tcBorders>
              <w:top w:val="nil"/>
              <w:left w:val="nil"/>
              <w:bottom w:val="single" w:sz="4" w:space="0" w:color="auto"/>
              <w:right w:val="single" w:sz="4" w:space="0" w:color="auto"/>
            </w:tcBorders>
            <w:shd w:val="clear" w:color="auto" w:fill="auto"/>
            <w:noWrap/>
            <w:vAlign w:val="bottom"/>
            <w:hideMark/>
          </w:tcPr>
          <w:p w14:paraId="02E6B37A"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677FF9E1"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33A20D2D"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6AE0390F"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36F9D9C1"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2A238AC5"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308F7040"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09D20213"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58A63691"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r>
      <w:tr w:rsidR="003475A0" w:rsidRPr="003475A0" w14:paraId="5D68F9D2"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35AD251B" w14:textId="77777777" w:rsidR="003475A0" w:rsidRPr="003475A0" w:rsidRDefault="003475A0" w:rsidP="003475A0">
            <w:pPr>
              <w:spacing w:line="240" w:lineRule="auto"/>
              <w:rPr>
                <w:rFonts w:eastAsia="Times New Roman" w:cs="Calibri"/>
                <w:b/>
                <w:bCs/>
                <w:color w:val="000000"/>
                <w:lang w:eastAsia="pl-PL"/>
              </w:rPr>
            </w:pPr>
            <w:r w:rsidRPr="003475A0">
              <w:rPr>
                <w:rFonts w:eastAsia="Times New Roman" w:cs="Calibri"/>
                <w:b/>
                <w:bCs/>
                <w:color w:val="000000"/>
                <w:lang w:eastAsia="pl-PL"/>
              </w:rPr>
              <w:t>razem</w:t>
            </w:r>
          </w:p>
        </w:tc>
        <w:tc>
          <w:tcPr>
            <w:tcW w:w="434" w:type="pct"/>
            <w:tcBorders>
              <w:top w:val="nil"/>
              <w:left w:val="nil"/>
              <w:bottom w:val="single" w:sz="4" w:space="0" w:color="auto"/>
              <w:right w:val="single" w:sz="4" w:space="0" w:color="auto"/>
            </w:tcBorders>
            <w:shd w:val="clear" w:color="auto" w:fill="auto"/>
            <w:noWrap/>
            <w:vAlign w:val="bottom"/>
            <w:hideMark/>
          </w:tcPr>
          <w:p w14:paraId="4E7548DC"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2 947 957,00 </w:t>
            </w:r>
          </w:p>
        </w:tc>
        <w:tc>
          <w:tcPr>
            <w:tcW w:w="434" w:type="pct"/>
            <w:tcBorders>
              <w:top w:val="nil"/>
              <w:left w:val="nil"/>
              <w:bottom w:val="single" w:sz="4" w:space="0" w:color="auto"/>
              <w:right w:val="single" w:sz="4" w:space="0" w:color="auto"/>
            </w:tcBorders>
            <w:shd w:val="clear" w:color="auto" w:fill="auto"/>
            <w:noWrap/>
            <w:vAlign w:val="bottom"/>
            <w:hideMark/>
          </w:tcPr>
          <w:p w14:paraId="047907C7"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2 964 956,30 </w:t>
            </w:r>
          </w:p>
        </w:tc>
        <w:tc>
          <w:tcPr>
            <w:tcW w:w="434" w:type="pct"/>
            <w:tcBorders>
              <w:top w:val="nil"/>
              <w:left w:val="nil"/>
              <w:bottom w:val="single" w:sz="4" w:space="0" w:color="auto"/>
              <w:right w:val="single" w:sz="4" w:space="0" w:color="auto"/>
            </w:tcBorders>
            <w:shd w:val="clear" w:color="auto" w:fill="auto"/>
            <w:noWrap/>
            <w:vAlign w:val="bottom"/>
            <w:hideMark/>
          </w:tcPr>
          <w:p w14:paraId="322C0754"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3 122 098,98 </w:t>
            </w:r>
          </w:p>
        </w:tc>
        <w:tc>
          <w:tcPr>
            <w:tcW w:w="434" w:type="pct"/>
            <w:tcBorders>
              <w:top w:val="nil"/>
              <w:left w:val="nil"/>
              <w:bottom w:val="single" w:sz="4" w:space="0" w:color="auto"/>
              <w:right w:val="single" w:sz="4" w:space="0" w:color="auto"/>
            </w:tcBorders>
            <w:shd w:val="clear" w:color="auto" w:fill="auto"/>
            <w:noWrap/>
            <w:vAlign w:val="bottom"/>
            <w:hideMark/>
          </w:tcPr>
          <w:p w14:paraId="5E21F788"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3 287 570,23 </w:t>
            </w:r>
          </w:p>
        </w:tc>
        <w:tc>
          <w:tcPr>
            <w:tcW w:w="434" w:type="pct"/>
            <w:tcBorders>
              <w:top w:val="nil"/>
              <w:left w:val="nil"/>
              <w:bottom w:val="single" w:sz="4" w:space="0" w:color="auto"/>
              <w:right w:val="single" w:sz="4" w:space="0" w:color="auto"/>
            </w:tcBorders>
            <w:shd w:val="clear" w:color="auto" w:fill="auto"/>
            <w:noWrap/>
            <w:vAlign w:val="bottom"/>
            <w:hideMark/>
          </w:tcPr>
          <w:p w14:paraId="58220A53"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3 461 735,31 </w:t>
            </w:r>
          </w:p>
        </w:tc>
        <w:tc>
          <w:tcPr>
            <w:tcW w:w="434" w:type="pct"/>
            <w:tcBorders>
              <w:top w:val="nil"/>
              <w:left w:val="nil"/>
              <w:bottom w:val="single" w:sz="4" w:space="0" w:color="auto"/>
              <w:right w:val="single" w:sz="4" w:space="0" w:color="auto"/>
            </w:tcBorders>
            <w:shd w:val="clear" w:color="auto" w:fill="auto"/>
            <w:noWrap/>
            <w:vAlign w:val="bottom"/>
            <w:hideMark/>
          </w:tcPr>
          <w:p w14:paraId="2CF2FDE7"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3 645 127,18 </w:t>
            </w:r>
          </w:p>
        </w:tc>
        <w:tc>
          <w:tcPr>
            <w:tcW w:w="434" w:type="pct"/>
            <w:tcBorders>
              <w:top w:val="nil"/>
              <w:left w:val="nil"/>
              <w:bottom w:val="single" w:sz="4" w:space="0" w:color="auto"/>
              <w:right w:val="single" w:sz="4" w:space="0" w:color="auto"/>
            </w:tcBorders>
            <w:shd w:val="clear" w:color="auto" w:fill="auto"/>
            <w:noWrap/>
            <w:vAlign w:val="bottom"/>
            <w:hideMark/>
          </w:tcPr>
          <w:p w14:paraId="0103420A"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3 838 150,38 </w:t>
            </w:r>
          </w:p>
        </w:tc>
        <w:tc>
          <w:tcPr>
            <w:tcW w:w="434" w:type="pct"/>
            <w:tcBorders>
              <w:top w:val="nil"/>
              <w:left w:val="nil"/>
              <w:bottom w:val="single" w:sz="4" w:space="0" w:color="auto"/>
              <w:right w:val="single" w:sz="4" w:space="0" w:color="auto"/>
            </w:tcBorders>
            <w:shd w:val="clear" w:color="auto" w:fill="auto"/>
            <w:noWrap/>
            <w:vAlign w:val="bottom"/>
            <w:hideMark/>
          </w:tcPr>
          <w:p w14:paraId="7509392B"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4 041 306,64 </w:t>
            </w:r>
          </w:p>
        </w:tc>
        <w:tc>
          <w:tcPr>
            <w:tcW w:w="434" w:type="pct"/>
            <w:tcBorders>
              <w:top w:val="nil"/>
              <w:left w:val="nil"/>
              <w:bottom w:val="single" w:sz="4" w:space="0" w:color="auto"/>
              <w:right w:val="single" w:sz="4" w:space="0" w:color="auto"/>
            </w:tcBorders>
            <w:shd w:val="clear" w:color="auto" w:fill="auto"/>
            <w:noWrap/>
            <w:vAlign w:val="bottom"/>
            <w:hideMark/>
          </w:tcPr>
          <w:p w14:paraId="7DE32805"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4 255 216,91 </w:t>
            </w:r>
          </w:p>
        </w:tc>
        <w:tc>
          <w:tcPr>
            <w:tcW w:w="434" w:type="pct"/>
            <w:tcBorders>
              <w:top w:val="nil"/>
              <w:left w:val="nil"/>
              <w:bottom w:val="single" w:sz="4" w:space="0" w:color="auto"/>
              <w:right w:val="single" w:sz="4" w:space="0" w:color="auto"/>
            </w:tcBorders>
            <w:shd w:val="clear" w:color="auto" w:fill="auto"/>
            <w:noWrap/>
            <w:vAlign w:val="bottom"/>
            <w:hideMark/>
          </w:tcPr>
          <w:p w14:paraId="0E8347DF"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4 480 450,47 </w:t>
            </w:r>
          </w:p>
        </w:tc>
      </w:tr>
    </w:tbl>
    <w:p w14:paraId="6D3E45BE" w14:textId="77777777" w:rsidR="00DA1182" w:rsidRDefault="00DA1182" w:rsidP="00DA1182">
      <w:pPr>
        <w:rPr>
          <w:lang w:eastAsia="pl-PL"/>
        </w:rPr>
      </w:pPr>
    </w:p>
    <w:tbl>
      <w:tblPr>
        <w:tblW w:w="5000" w:type="pct"/>
        <w:tblCellMar>
          <w:left w:w="70" w:type="dxa"/>
          <w:right w:w="70" w:type="dxa"/>
        </w:tblCellMar>
        <w:tblLook w:val="04A0" w:firstRow="1" w:lastRow="0" w:firstColumn="1" w:lastColumn="0" w:noHBand="0" w:noVBand="1"/>
      </w:tblPr>
      <w:tblGrid>
        <w:gridCol w:w="2233"/>
        <w:gridCol w:w="1347"/>
        <w:gridCol w:w="1347"/>
        <w:gridCol w:w="1347"/>
        <w:gridCol w:w="1347"/>
        <w:gridCol w:w="1347"/>
        <w:gridCol w:w="1347"/>
        <w:gridCol w:w="1347"/>
        <w:gridCol w:w="1347"/>
        <w:gridCol w:w="1347"/>
        <w:gridCol w:w="1338"/>
      </w:tblGrid>
      <w:tr w:rsidR="003475A0" w:rsidRPr="003475A0" w14:paraId="47D5F324" w14:textId="77777777" w:rsidTr="004E3D9A">
        <w:trPr>
          <w:trHeight w:val="290"/>
        </w:trPr>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38159" w14:textId="77777777" w:rsidR="003475A0" w:rsidRPr="003475A0" w:rsidRDefault="003475A0" w:rsidP="003475A0">
            <w:pPr>
              <w:spacing w:line="240" w:lineRule="auto"/>
              <w:rPr>
                <w:rFonts w:eastAsia="Times New Roman" w:cs="Calibri"/>
                <w:b/>
                <w:bCs/>
                <w:color w:val="000000"/>
                <w:lang w:eastAsia="pl-PL"/>
              </w:rPr>
            </w:pPr>
            <w:r w:rsidRPr="003475A0">
              <w:rPr>
                <w:rFonts w:eastAsia="Times New Roman" w:cs="Calibri"/>
                <w:b/>
                <w:bCs/>
                <w:color w:val="000000"/>
                <w:lang w:eastAsia="pl-PL"/>
              </w:rPr>
              <w:t>SAMORZĄDY</w:t>
            </w:r>
          </w:p>
        </w:tc>
        <w:tc>
          <w:tcPr>
            <w:tcW w:w="4337" w:type="pct"/>
            <w:gridSpan w:val="10"/>
            <w:tcBorders>
              <w:top w:val="single" w:sz="4" w:space="0" w:color="auto"/>
              <w:left w:val="nil"/>
              <w:bottom w:val="single" w:sz="4" w:space="0" w:color="auto"/>
              <w:right w:val="single" w:sz="4" w:space="0" w:color="000000"/>
            </w:tcBorders>
            <w:shd w:val="clear" w:color="auto" w:fill="auto"/>
            <w:noWrap/>
            <w:vAlign w:val="bottom"/>
            <w:hideMark/>
          </w:tcPr>
          <w:p w14:paraId="3A8628BF"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 </w:t>
            </w:r>
          </w:p>
        </w:tc>
      </w:tr>
      <w:tr w:rsidR="003475A0" w:rsidRPr="003475A0" w14:paraId="6834B818"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75DD780D" w14:textId="77777777" w:rsidR="003475A0" w:rsidRPr="003475A0" w:rsidRDefault="003475A0" w:rsidP="003475A0">
            <w:pPr>
              <w:spacing w:line="240" w:lineRule="auto"/>
              <w:rPr>
                <w:rFonts w:eastAsia="Times New Roman" w:cs="Calibri"/>
                <w:b/>
                <w:bCs/>
                <w:color w:val="000000"/>
                <w:lang w:eastAsia="pl-PL"/>
              </w:rPr>
            </w:pPr>
            <w:r w:rsidRPr="003475A0">
              <w:rPr>
                <w:rFonts w:eastAsia="Times New Roman" w:cs="Calibri"/>
                <w:b/>
                <w:bCs/>
                <w:color w:val="000000"/>
                <w:lang w:eastAsia="pl-PL"/>
              </w:rPr>
              <w:t>rodzaj wydatku/rok</w:t>
            </w:r>
          </w:p>
        </w:tc>
        <w:tc>
          <w:tcPr>
            <w:tcW w:w="434" w:type="pct"/>
            <w:tcBorders>
              <w:top w:val="nil"/>
              <w:left w:val="nil"/>
              <w:bottom w:val="single" w:sz="4" w:space="0" w:color="auto"/>
              <w:right w:val="single" w:sz="4" w:space="0" w:color="auto"/>
            </w:tcBorders>
            <w:shd w:val="clear" w:color="auto" w:fill="auto"/>
            <w:noWrap/>
            <w:vAlign w:val="bottom"/>
            <w:hideMark/>
          </w:tcPr>
          <w:p w14:paraId="4C5391F8"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2026</w:t>
            </w:r>
          </w:p>
        </w:tc>
        <w:tc>
          <w:tcPr>
            <w:tcW w:w="434" w:type="pct"/>
            <w:tcBorders>
              <w:top w:val="nil"/>
              <w:left w:val="nil"/>
              <w:bottom w:val="single" w:sz="4" w:space="0" w:color="auto"/>
              <w:right w:val="single" w:sz="4" w:space="0" w:color="auto"/>
            </w:tcBorders>
            <w:shd w:val="clear" w:color="auto" w:fill="auto"/>
            <w:noWrap/>
            <w:vAlign w:val="bottom"/>
            <w:hideMark/>
          </w:tcPr>
          <w:p w14:paraId="3D13ABB0"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2027</w:t>
            </w:r>
          </w:p>
        </w:tc>
        <w:tc>
          <w:tcPr>
            <w:tcW w:w="434" w:type="pct"/>
            <w:tcBorders>
              <w:top w:val="nil"/>
              <w:left w:val="nil"/>
              <w:bottom w:val="single" w:sz="4" w:space="0" w:color="auto"/>
              <w:right w:val="single" w:sz="4" w:space="0" w:color="auto"/>
            </w:tcBorders>
            <w:shd w:val="clear" w:color="auto" w:fill="auto"/>
            <w:noWrap/>
            <w:vAlign w:val="bottom"/>
            <w:hideMark/>
          </w:tcPr>
          <w:p w14:paraId="36AE5B8D"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2028</w:t>
            </w:r>
          </w:p>
        </w:tc>
        <w:tc>
          <w:tcPr>
            <w:tcW w:w="434" w:type="pct"/>
            <w:tcBorders>
              <w:top w:val="nil"/>
              <w:left w:val="nil"/>
              <w:bottom w:val="single" w:sz="4" w:space="0" w:color="auto"/>
              <w:right w:val="single" w:sz="4" w:space="0" w:color="auto"/>
            </w:tcBorders>
            <w:shd w:val="clear" w:color="auto" w:fill="auto"/>
            <w:noWrap/>
            <w:vAlign w:val="bottom"/>
            <w:hideMark/>
          </w:tcPr>
          <w:p w14:paraId="59FAF72E"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2029</w:t>
            </w:r>
          </w:p>
        </w:tc>
        <w:tc>
          <w:tcPr>
            <w:tcW w:w="434" w:type="pct"/>
            <w:tcBorders>
              <w:top w:val="nil"/>
              <w:left w:val="nil"/>
              <w:bottom w:val="single" w:sz="4" w:space="0" w:color="auto"/>
              <w:right w:val="single" w:sz="4" w:space="0" w:color="auto"/>
            </w:tcBorders>
            <w:shd w:val="clear" w:color="auto" w:fill="auto"/>
            <w:noWrap/>
            <w:vAlign w:val="bottom"/>
            <w:hideMark/>
          </w:tcPr>
          <w:p w14:paraId="0BE97A14"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2030</w:t>
            </w:r>
          </w:p>
        </w:tc>
        <w:tc>
          <w:tcPr>
            <w:tcW w:w="434" w:type="pct"/>
            <w:tcBorders>
              <w:top w:val="nil"/>
              <w:left w:val="nil"/>
              <w:bottom w:val="single" w:sz="4" w:space="0" w:color="auto"/>
              <w:right w:val="single" w:sz="4" w:space="0" w:color="auto"/>
            </w:tcBorders>
            <w:shd w:val="clear" w:color="auto" w:fill="auto"/>
            <w:noWrap/>
            <w:vAlign w:val="bottom"/>
            <w:hideMark/>
          </w:tcPr>
          <w:p w14:paraId="16FD06FE"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2031</w:t>
            </w:r>
          </w:p>
        </w:tc>
        <w:tc>
          <w:tcPr>
            <w:tcW w:w="434" w:type="pct"/>
            <w:tcBorders>
              <w:top w:val="nil"/>
              <w:left w:val="nil"/>
              <w:bottom w:val="single" w:sz="4" w:space="0" w:color="auto"/>
              <w:right w:val="single" w:sz="4" w:space="0" w:color="auto"/>
            </w:tcBorders>
            <w:shd w:val="clear" w:color="auto" w:fill="auto"/>
            <w:noWrap/>
            <w:vAlign w:val="bottom"/>
            <w:hideMark/>
          </w:tcPr>
          <w:p w14:paraId="0401FAD2"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2032</w:t>
            </w:r>
          </w:p>
        </w:tc>
        <w:tc>
          <w:tcPr>
            <w:tcW w:w="434" w:type="pct"/>
            <w:tcBorders>
              <w:top w:val="nil"/>
              <w:left w:val="nil"/>
              <w:bottom w:val="single" w:sz="4" w:space="0" w:color="auto"/>
              <w:right w:val="single" w:sz="4" w:space="0" w:color="auto"/>
            </w:tcBorders>
            <w:shd w:val="clear" w:color="auto" w:fill="auto"/>
            <w:noWrap/>
            <w:vAlign w:val="bottom"/>
            <w:hideMark/>
          </w:tcPr>
          <w:p w14:paraId="5AFFF4C6"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2033</w:t>
            </w:r>
          </w:p>
        </w:tc>
        <w:tc>
          <w:tcPr>
            <w:tcW w:w="434" w:type="pct"/>
            <w:tcBorders>
              <w:top w:val="nil"/>
              <w:left w:val="nil"/>
              <w:bottom w:val="single" w:sz="4" w:space="0" w:color="auto"/>
              <w:right w:val="single" w:sz="4" w:space="0" w:color="auto"/>
            </w:tcBorders>
            <w:shd w:val="clear" w:color="auto" w:fill="auto"/>
            <w:noWrap/>
            <w:vAlign w:val="bottom"/>
            <w:hideMark/>
          </w:tcPr>
          <w:p w14:paraId="285E2965"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2034</w:t>
            </w:r>
          </w:p>
        </w:tc>
        <w:tc>
          <w:tcPr>
            <w:tcW w:w="434" w:type="pct"/>
            <w:tcBorders>
              <w:top w:val="nil"/>
              <w:left w:val="nil"/>
              <w:bottom w:val="single" w:sz="4" w:space="0" w:color="auto"/>
              <w:right w:val="single" w:sz="4" w:space="0" w:color="auto"/>
            </w:tcBorders>
            <w:shd w:val="clear" w:color="auto" w:fill="auto"/>
            <w:noWrap/>
            <w:vAlign w:val="bottom"/>
            <w:hideMark/>
          </w:tcPr>
          <w:p w14:paraId="3F66DCE3"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2035</w:t>
            </w:r>
          </w:p>
        </w:tc>
      </w:tr>
      <w:tr w:rsidR="003475A0" w:rsidRPr="003475A0" w14:paraId="76AEBC59" w14:textId="77777777" w:rsidTr="004E3D9A">
        <w:trPr>
          <w:trHeight w:val="290"/>
        </w:trPr>
        <w:tc>
          <w:tcPr>
            <w:tcW w:w="663" w:type="pct"/>
            <w:tcBorders>
              <w:top w:val="nil"/>
              <w:left w:val="single" w:sz="4" w:space="0" w:color="auto"/>
              <w:bottom w:val="dotted" w:sz="4" w:space="0" w:color="auto"/>
              <w:right w:val="single" w:sz="4" w:space="0" w:color="auto"/>
            </w:tcBorders>
            <w:shd w:val="clear" w:color="auto" w:fill="auto"/>
            <w:noWrap/>
            <w:vAlign w:val="bottom"/>
            <w:hideMark/>
          </w:tcPr>
          <w:p w14:paraId="4987636F"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wynagrodzenia</w:t>
            </w:r>
          </w:p>
        </w:tc>
        <w:tc>
          <w:tcPr>
            <w:tcW w:w="434" w:type="pct"/>
            <w:tcBorders>
              <w:top w:val="nil"/>
              <w:left w:val="nil"/>
              <w:bottom w:val="dotted" w:sz="4" w:space="0" w:color="auto"/>
              <w:right w:val="single" w:sz="4" w:space="0" w:color="auto"/>
            </w:tcBorders>
            <w:shd w:val="clear" w:color="000000" w:fill="FFFFFF"/>
            <w:noWrap/>
            <w:vAlign w:val="bottom"/>
            <w:hideMark/>
          </w:tcPr>
          <w:p w14:paraId="69FE76AF"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1 657 175,04 </w:t>
            </w:r>
          </w:p>
        </w:tc>
        <w:tc>
          <w:tcPr>
            <w:tcW w:w="434" w:type="pct"/>
            <w:tcBorders>
              <w:top w:val="nil"/>
              <w:left w:val="nil"/>
              <w:bottom w:val="dotted" w:sz="4" w:space="0" w:color="auto"/>
              <w:right w:val="single" w:sz="4" w:space="0" w:color="auto"/>
            </w:tcBorders>
            <w:shd w:val="clear" w:color="000000" w:fill="FFFFFF"/>
            <w:noWrap/>
            <w:vAlign w:val="bottom"/>
            <w:hideMark/>
          </w:tcPr>
          <w:p w14:paraId="621BFDD9"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1 902 320,94 </w:t>
            </w:r>
          </w:p>
        </w:tc>
        <w:tc>
          <w:tcPr>
            <w:tcW w:w="434" w:type="pct"/>
            <w:tcBorders>
              <w:top w:val="nil"/>
              <w:left w:val="nil"/>
              <w:bottom w:val="dotted" w:sz="4" w:space="0" w:color="auto"/>
              <w:right w:val="single" w:sz="4" w:space="0" w:color="auto"/>
            </w:tcBorders>
            <w:shd w:val="clear" w:color="000000" w:fill="FFFFFF"/>
            <w:noWrap/>
            <w:vAlign w:val="bottom"/>
            <w:hideMark/>
          </w:tcPr>
          <w:p w14:paraId="66E66BB6"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2 003 143,95 </w:t>
            </w:r>
          </w:p>
        </w:tc>
        <w:tc>
          <w:tcPr>
            <w:tcW w:w="434" w:type="pct"/>
            <w:tcBorders>
              <w:top w:val="nil"/>
              <w:left w:val="nil"/>
              <w:bottom w:val="dotted" w:sz="4" w:space="0" w:color="auto"/>
              <w:right w:val="single" w:sz="4" w:space="0" w:color="auto"/>
            </w:tcBorders>
            <w:shd w:val="clear" w:color="000000" w:fill="FFFFFF"/>
            <w:noWrap/>
            <w:vAlign w:val="bottom"/>
            <w:hideMark/>
          </w:tcPr>
          <w:p w14:paraId="30BF04F4"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2 109 310,58 </w:t>
            </w:r>
          </w:p>
        </w:tc>
        <w:tc>
          <w:tcPr>
            <w:tcW w:w="434" w:type="pct"/>
            <w:tcBorders>
              <w:top w:val="nil"/>
              <w:left w:val="nil"/>
              <w:bottom w:val="dotted" w:sz="4" w:space="0" w:color="auto"/>
              <w:right w:val="single" w:sz="4" w:space="0" w:color="auto"/>
            </w:tcBorders>
            <w:shd w:val="clear" w:color="000000" w:fill="FFFFFF"/>
            <w:noWrap/>
            <w:vAlign w:val="bottom"/>
            <w:hideMark/>
          </w:tcPr>
          <w:p w14:paraId="2B2DC455"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2 221 104,04 </w:t>
            </w:r>
          </w:p>
        </w:tc>
        <w:tc>
          <w:tcPr>
            <w:tcW w:w="434" w:type="pct"/>
            <w:tcBorders>
              <w:top w:val="nil"/>
              <w:left w:val="nil"/>
              <w:bottom w:val="dotted" w:sz="4" w:space="0" w:color="auto"/>
              <w:right w:val="single" w:sz="4" w:space="0" w:color="auto"/>
            </w:tcBorders>
            <w:shd w:val="clear" w:color="000000" w:fill="FFFFFF"/>
            <w:noWrap/>
            <w:vAlign w:val="bottom"/>
            <w:hideMark/>
          </w:tcPr>
          <w:p w14:paraId="15D1B37E"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2 338 822,56 </w:t>
            </w:r>
          </w:p>
        </w:tc>
        <w:tc>
          <w:tcPr>
            <w:tcW w:w="434" w:type="pct"/>
            <w:tcBorders>
              <w:top w:val="nil"/>
              <w:left w:val="nil"/>
              <w:bottom w:val="dotted" w:sz="4" w:space="0" w:color="auto"/>
              <w:right w:val="single" w:sz="4" w:space="0" w:color="auto"/>
            </w:tcBorders>
            <w:shd w:val="clear" w:color="000000" w:fill="FFFFFF"/>
            <w:noWrap/>
            <w:vAlign w:val="bottom"/>
            <w:hideMark/>
          </w:tcPr>
          <w:p w14:paraId="28DFAE9C"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2 462 780,15 </w:t>
            </w:r>
          </w:p>
        </w:tc>
        <w:tc>
          <w:tcPr>
            <w:tcW w:w="434" w:type="pct"/>
            <w:tcBorders>
              <w:top w:val="nil"/>
              <w:left w:val="nil"/>
              <w:bottom w:val="dotted" w:sz="4" w:space="0" w:color="auto"/>
              <w:right w:val="single" w:sz="4" w:space="0" w:color="auto"/>
            </w:tcBorders>
            <w:shd w:val="clear" w:color="000000" w:fill="FFFFFF"/>
            <w:noWrap/>
            <w:vAlign w:val="bottom"/>
            <w:hideMark/>
          </w:tcPr>
          <w:p w14:paraId="283A553D"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2 593 307,50 </w:t>
            </w:r>
          </w:p>
        </w:tc>
        <w:tc>
          <w:tcPr>
            <w:tcW w:w="434" w:type="pct"/>
            <w:tcBorders>
              <w:top w:val="nil"/>
              <w:left w:val="nil"/>
              <w:bottom w:val="dotted" w:sz="4" w:space="0" w:color="auto"/>
              <w:right w:val="single" w:sz="4" w:space="0" w:color="auto"/>
            </w:tcBorders>
            <w:shd w:val="clear" w:color="000000" w:fill="FFFFFF"/>
            <w:noWrap/>
            <w:vAlign w:val="bottom"/>
            <w:hideMark/>
          </w:tcPr>
          <w:p w14:paraId="60E4D256"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2 730 752,80 </w:t>
            </w:r>
          </w:p>
        </w:tc>
        <w:tc>
          <w:tcPr>
            <w:tcW w:w="434" w:type="pct"/>
            <w:tcBorders>
              <w:top w:val="nil"/>
              <w:left w:val="nil"/>
              <w:bottom w:val="dotted" w:sz="4" w:space="0" w:color="auto"/>
              <w:right w:val="single" w:sz="4" w:space="0" w:color="auto"/>
            </w:tcBorders>
            <w:shd w:val="clear" w:color="000000" w:fill="FFFFFF"/>
            <w:noWrap/>
            <w:vAlign w:val="bottom"/>
            <w:hideMark/>
          </w:tcPr>
          <w:p w14:paraId="45660A87"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2 875 482,70 </w:t>
            </w:r>
          </w:p>
        </w:tc>
      </w:tr>
      <w:tr w:rsidR="003475A0" w:rsidRPr="003475A0" w14:paraId="16516912" w14:textId="77777777" w:rsidTr="004E3D9A">
        <w:trPr>
          <w:trHeight w:val="290"/>
        </w:trPr>
        <w:tc>
          <w:tcPr>
            <w:tcW w:w="663" w:type="pct"/>
            <w:tcBorders>
              <w:top w:val="single" w:sz="4" w:space="0" w:color="auto"/>
              <w:left w:val="single" w:sz="4" w:space="0" w:color="auto"/>
              <w:bottom w:val="nil"/>
              <w:right w:val="single" w:sz="4" w:space="0" w:color="auto"/>
            </w:tcBorders>
            <w:shd w:val="clear" w:color="auto" w:fill="auto"/>
            <w:noWrap/>
            <w:vAlign w:val="bottom"/>
            <w:hideMark/>
          </w:tcPr>
          <w:p w14:paraId="287CA456"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w tym DWR</w:t>
            </w:r>
          </w:p>
        </w:tc>
        <w:tc>
          <w:tcPr>
            <w:tcW w:w="434" w:type="pct"/>
            <w:tcBorders>
              <w:top w:val="single" w:sz="4" w:space="0" w:color="auto"/>
              <w:left w:val="nil"/>
              <w:bottom w:val="nil"/>
              <w:right w:val="single" w:sz="4" w:space="0" w:color="auto"/>
            </w:tcBorders>
            <w:shd w:val="clear" w:color="000000" w:fill="FFFFFF"/>
            <w:noWrap/>
            <w:vAlign w:val="bottom"/>
            <w:hideMark/>
          </w:tcPr>
          <w:p w14:paraId="50B93069" w14:textId="77777777" w:rsidR="003475A0" w:rsidRPr="003475A0" w:rsidRDefault="003475A0" w:rsidP="003475A0">
            <w:pPr>
              <w:spacing w:line="240" w:lineRule="auto"/>
              <w:jc w:val="center"/>
              <w:rPr>
                <w:rFonts w:eastAsia="Times New Roman" w:cs="Calibri"/>
                <w:sz w:val="18"/>
                <w:szCs w:val="18"/>
                <w:lang w:eastAsia="pl-PL"/>
              </w:rPr>
            </w:pPr>
            <w:r w:rsidRPr="003475A0">
              <w:rPr>
                <w:rFonts w:eastAsia="Times New Roman" w:cs="Calibri"/>
                <w:sz w:val="18"/>
                <w:szCs w:val="18"/>
                <w:lang w:eastAsia="pl-PL"/>
              </w:rPr>
              <w:t>-</w:t>
            </w:r>
          </w:p>
        </w:tc>
        <w:tc>
          <w:tcPr>
            <w:tcW w:w="434" w:type="pct"/>
            <w:tcBorders>
              <w:top w:val="single" w:sz="4" w:space="0" w:color="auto"/>
              <w:left w:val="nil"/>
              <w:bottom w:val="nil"/>
              <w:right w:val="single" w:sz="4" w:space="0" w:color="auto"/>
            </w:tcBorders>
            <w:shd w:val="clear" w:color="000000" w:fill="FFFFFF"/>
            <w:noWrap/>
            <w:vAlign w:val="bottom"/>
            <w:hideMark/>
          </w:tcPr>
          <w:p w14:paraId="6B831CAF"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140 859,88 </w:t>
            </w:r>
          </w:p>
        </w:tc>
        <w:tc>
          <w:tcPr>
            <w:tcW w:w="434" w:type="pct"/>
            <w:tcBorders>
              <w:top w:val="single" w:sz="4" w:space="0" w:color="auto"/>
              <w:left w:val="nil"/>
              <w:bottom w:val="nil"/>
              <w:right w:val="single" w:sz="4" w:space="0" w:color="auto"/>
            </w:tcBorders>
            <w:shd w:val="clear" w:color="000000" w:fill="FFFFFF"/>
            <w:noWrap/>
            <w:vAlign w:val="bottom"/>
            <w:hideMark/>
          </w:tcPr>
          <w:p w14:paraId="1FF05F09"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161 697,28 </w:t>
            </w:r>
          </w:p>
        </w:tc>
        <w:tc>
          <w:tcPr>
            <w:tcW w:w="434" w:type="pct"/>
            <w:tcBorders>
              <w:top w:val="single" w:sz="4" w:space="0" w:color="auto"/>
              <w:left w:val="nil"/>
              <w:bottom w:val="nil"/>
              <w:right w:val="single" w:sz="4" w:space="0" w:color="auto"/>
            </w:tcBorders>
            <w:shd w:val="clear" w:color="000000" w:fill="FFFFFF"/>
            <w:noWrap/>
            <w:vAlign w:val="bottom"/>
            <w:hideMark/>
          </w:tcPr>
          <w:p w14:paraId="637AA0AD"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170 267,24 </w:t>
            </w:r>
          </w:p>
        </w:tc>
        <w:tc>
          <w:tcPr>
            <w:tcW w:w="434" w:type="pct"/>
            <w:tcBorders>
              <w:top w:val="single" w:sz="4" w:space="0" w:color="auto"/>
              <w:left w:val="nil"/>
              <w:bottom w:val="nil"/>
              <w:right w:val="single" w:sz="4" w:space="0" w:color="auto"/>
            </w:tcBorders>
            <w:shd w:val="clear" w:color="000000" w:fill="FFFFFF"/>
            <w:noWrap/>
            <w:vAlign w:val="bottom"/>
            <w:hideMark/>
          </w:tcPr>
          <w:p w14:paraId="727306D4"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179 291,40 </w:t>
            </w:r>
          </w:p>
        </w:tc>
        <w:tc>
          <w:tcPr>
            <w:tcW w:w="434" w:type="pct"/>
            <w:tcBorders>
              <w:top w:val="single" w:sz="4" w:space="0" w:color="auto"/>
              <w:left w:val="nil"/>
              <w:bottom w:val="nil"/>
              <w:right w:val="single" w:sz="4" w:space="0" w:color="auto"/>
            </w:tcBorders>
            <w:shd w:val="clear" w:color="000000" w:fill="FFFFFF"/>
            <w:noWrap/>
            <w:vAlign w:val="bottom"/>
            <w:hideMark/>
          </w:tcPr>
          <w:p w14:paraId="41D9E821"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188 793,84 </w:t>
            </w:r>
          </w:p>
        </w:tc>
        <w:tc>
          <w:tcPr>
            <w:tcW w:w="434" w:type="pct"/>
            <w:tcBorders>
              <w:top w:val="single" w:sz="4" w:space="0" w:color="auto"/>
              <w:left w:val="nil"/>
              <w:bottom w:val="nil"/>
              <w:right w:val="single" w:sz="4" w:space="0" w:color="auto"/>
            </w:tcBorders>
            <w:shd w:val="clear" w:color="000000" w:fill="FFFFFF"/>
            <w:noWrap/>
            <w:vAlign w:val="bottom"/>
            <w:hideMark/>
          </w:tcPr>
          <w:p w14:paraId="5FAB103B"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198 799,92 </w:t>
            </w:r>
          </w:p>
        </w:tc>
        <w:tc>
          <w:tcPr>
            <w:tcW w:w="434" w:type="pct"/>
            <w:tcBorders>
              <w:top w:val="single" w:sz="4" w:space="0" w:color="auto"/>
              <w:left w:val="nil"/>
              <w:bottom w:val="nil"/>
              <w:right w:val="single" w:sz="4" w:space="0" w:color="auto"/>
            </w:tcBorders>
            <w:shd w:val="clear" w:color="000000" w:fill="FFFFFF"/>
            <w:noWrap/>
            <w:vAlign w:val="bottom"/>
            <w:hideMark/>
          </w:tcPr>
          <w:p w14:paraId="409A83E5"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209 336,31 </w:t>
            </w:r>
          </w:p>
        </w:tc>
        <w:tc>
          <w:tcPr>
            <w:tcW w:w="434" w:type="pct"/>
            <w:tcBorders>
              <w:top w:val="single" w:sz="4" w:space="0" w:color="auto"/>
              <w:left w:val="nil"/>
              <w:bottom w:val="nil"/>
              <w:right w:val="single" w:sz="4" w:space="0" w:color="auto"/>
            </w:tcBorders>
            <w:shd w:val="clear" w:color="000000" w:fill="FFFFFF"/>
            <w:noWrap/>
            <w:vAlign w:val="bottom"/>
            <w:hideMark/>
          </w:tcPr>
          <w:p w14:paraId="02C2C794"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220 431,14 </w:t>
            </w:r>
          </w:p>
        </w:tc>
        <w:tc>
          <w:tcPr>
            <w:tcW w:w="434" w:type="pct"/>
            <w:tcBorders>
              <w:top w:val="single" w:sz="4" w:space="0" w:color="auto"/>
              <w:left w:val="nil"/>
              <w:bottom w:val="nil"/>
              <w:right w:val="single" w:sz="4" w:space="0" w:color="auto"/>
            </w:tcBorders>
            <w:shd w:val="clear" w:color="000000" w:fill="FFFFFF"/>
            <w:noWrap/>
            <w:vAlign w:val="bottom"/>
            <w:hideMark/>
          </w:tcPr>
          <w:p w14:paraId="056F3503"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232 113,99 </w:t>
            </w:r>
          </w:p>
        </w:tc>
      </w:tr>
      <w:tr w:rsidR="003475A0" w:rsidRPr="003475A0" w14:paraId="34FFF039" w14:textId="77777777" w:rsidTr="004E3D9A">
        <w:trPr>
          <w:trHeight w:val="290"/>
        </w:trPr>
        <w:tc>
          <w:tcPr>
            <w:tcW w:w="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8BC1"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ubezp. społ.</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30564CDC"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280 559,73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79CF58B4"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322 062,94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228AE7DB"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339 132,27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45ED76C7"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357 106,28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41F28F4D"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376 032,91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1170631A"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395 962,66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1F96A607"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416 948,68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716C1C41"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439 046,96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5B84CEEA"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462 316,45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1102D707"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486 819,22 </w:t>
            </w:r>
          </w:p>
        </w:tc>
      </w:tr>
      <w:tr w:rsidR="003475A0" w:rsidRPr="003475A0" w14:paraId="295B3116"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59AF9BE3" w14:textId="77777777" w:rsidR="003475A0" w:rsidRPr="003475A0" w:rsidRDefault="003475A0" w:rsidP="003475A0">
            <w:pPr>
              <w:spacing w:line="240" w:lineRule="auto"/>
              <w:jc w:val="right"/>
              <w:rPr>
                <w:rFonts w:eastAsia="Times New Roman" w:cs="Calibri"/>
                <w:color w:val="000000"/>
                <w:sz w:val="18"/>
                <w:szCs w:val="18"/>
                <w:lang w:eastAsia="pl-PL"/>
              </w:rPr>
            </w:pPr>
            <w:r w:rsidRPr="003475A0">
              <w:rPr>
                <w:rFonts w:eastAsia="Times New Roman" w:cs="Calibri"/>
                <w:color w:val="000000"/>
                <w:sz w:val="18"/>
                <w:szCs w:val="18"/>
                <w:lang w:eastAsia="pl-PL"/>
              </w:rPr>
              <w:t>FP</w:t>
            </w:r>
          </w:p>
        </w:tc>
        <w:tc>
          <w:tcPr>
            <w:tcW w:w="434" w:type="pct"/>
            <w:tcBorders>
              <w:top w:val="nil"/>
              <w:left w:val="nil"/>
              <w:bottom w:val="nil"/>
              <w:right w:val="single" w:sz="4" w:space="0" w:color="auto"/>
            </w:tcBorders>
            <w:shd w:val="clear" w:color="000000" w:fill="FFFFFF"/>
            <w:noWrap/>
            <w:vAlign w:val="bottom"/>
            <w:hideMark/>
          </w:tcPr>
          <w:p w14:paraId="40FC43DC"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40 600,79 </w:t>
            </w:r>
          </w:p>
        </w:tc>
        <w:tc>
          <w:tcPr>
            <w:tcW w:w="434" w:type="pct"/>
            <w:tcBorders>
              <w:top w:val="nil"/>
              <w:left w:val="nil"/>
              <w:bottom w:val="nil"/>
              <w:right w:val="single" w:sz="4" w:space="0" w:color="auto"/>
            </w:tcBorders>
            <w:shd w:val="clear" w:color="000000" w:fill="FFFFFF"/>
            <w:noWrap/>
            <w:vAlign w:val="bottom"/>
            <w:hideMark/>
          </w:tcPr>
          <w:p w14:paraId="28C41415"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46 606,86 </w:t>
            </w:r>
          </w:p>
        </w:tc>
        <w:tc>
          <w:tcPr>
            <w:tcW w:w="434" w:type="pct"/>
            <w:tcBorders>
              <w:top w:val="nil"/>
              <w:left w:val="nil"/>
              <w:bottom w:val="nil"/>
              <w:right w:val="single" w:sz="4" w:space="0" w:color="auto"/>
            </w:tcBorders>
            <w:shd w:val="clear" w:color="000000" w:fill="FFFFFF"/>
            <w:noWrap/>
            <w:vAlign w:val="bottom"/>
            <w:hideMark/>
          </w:tcPr>
          <w:p w14:paraId="05433636"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49 077,03 </w:t>
            </w:r>
          </w:p>
        </w:tc>
        <w:tc>
          <w:tcPr>
            <w:tcW w:w="434" w:type="pct"/>
            <w:tcBorders>
              <w:top w:val="nil"/>
              <w:left w:val="nil"/>
              <w:bottom w:val="nil"/>
              <w:right w:val="single" w:sz="4" w:space="0" w:color="auto"/>
            </w:tcBorders>
            <w:shd w:val="clear" w:color="000000" w:fill="FFFFFF"/>
            <w:noWrap/>
            <w:vAlign w:val="bottom"/>
            <w:hideMark/>
          </w:tcPr>
          <w:p w14:paraId="7E835B27"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51 678,11 </w:t>
            </w:r>
          </w:p>
        </w:tc>
        <w:tc>
          <w:tcPr>
            <w:tcW w:w="434" w:type="pct"/>
            <w:tcBorders>
              <w:top w:val="nil"/>
              <w:left w:val="nil"/>
              <w:bottom w:val="nil"/>
              <w:right w:val="single" w:sz="4" w:space="0" w:color="auto"/>
            </w:tcBorders>
            <w:shd w:val="clear" w:color="000000" w:fill="FFFFFF"/>
            <w:noWrap/>
            <w:vAlign w:val="bottom"/>
            <w:hideMark/>
          </w:tcPr>
          <w:p w14:paraId="104CE773"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54 417,05 </w:t>
            </w:r>
          </w:p>
        </w:tc>
        <w:tc>
          <w:tcPr>
            <w:tcW w:w="434" w:type="pct"/>
            <w:tcBorders>
              <w:top w:val="nil"/>
              <w:left w:val="nil"/>
              <w:bottom w:val="nil"/>
              <w:right w:val="single" w:sz="4" w:space="0" w:color="auto"/>
            </w:tcBorders>
            <w:shd w:val="clear" w:color="000000" w:fill="FFFFFF"/>
            <w:noWrap/>
            <w:vAlign w:val="bottom"/>
            <w:hideMark/>
          </w:tcPr>
          <w:p w14:paraId="7157D90D"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57 301,15 </w:t>
            </w:r>
          </w:p>
        </w:tc>
        <w:tc>
          <w:tcPr>
            <w:tcW w:w="434" w:type="pct"/>
            <w:tcBorders>
              <w:top w:val="nil"/>
              <w:left w:val="nil"/>
              <w:bottom w:val="nil"/>
              <w:right w:val="single" w:sz="4" w:space="0" w:color="auto"/>
            </w:tcBorders>
            <w:shd w:val="clear" w:color="000000" w:fill="FFFFFF"/>
            <w:noWrap/>
            <w:vAlign w:val="bottom"/>
            <w:hideMark/>
          </w:tcPr>
          <w:p w14:paraId="522EC35B"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60 338,11 </w:t>
            </w:r>
          </w:p>
        </w:tc>
        <w:tc>
          <w:tcPr>
            <w:tcW w:w="434" w:type="pct"/>
            <w:tcBorders>
              <w:top w:val="nil"/>
              <w:left w:val="nil"/>
              <w:bottom w:val="nil"/>
              <w:right w:val="single" w:sz="4" w:space="0" w:color="auto"/>
            </w:tcBorders>
            <w:shd w:val="clear" w:color="000000" w:fill="FFFFFF"/>
            <w:noWrap/>
            <w:vAlign w:val="bottom"/>
            <w:hideMark/>
          </w:tcPr>
          <w:p w14:paraId="670948CE"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63 536,03 </w:t>
            </w:r>
          </w:p>
        </w:tc>
        <w:tc>
          <w:tcPr>
            <w:tcW w:w="434" w:type="pct"/>
            <w:tcBorders>
              <w:top w:val="nil"/>
              <w:left w:val="nil"/>
              <w:bottom w:val="nil"/>
              <w:right w:val="single" w:sz="4" w:space="0" w:color="auto"/>
            </w:tcBorders>
            <w:shd w:val="clear" w:color="000000" w:fill="FFFFFF"/>
            <w:noWrap/>
            <w:vAlign w:val="bottom"/>
            <w:hideMark/>
          </w:tcPr>
          <w:p w14:paraId="6A3B035D"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66 903,44 </w:t>
            </w:r>
          </w:p>
        </w:tc>
        <w:tc>
          <w:tcPr>
            <w:tcW w:w="434" w:type="pct"/>
            <w:tcBorders>
              <w:top w:val="nil"/>
              <w:left w:val="nil"/>
              <w:bottom w:val="nil"/>
              <w:right w:val="single" w:sz="4" w:space="0" w:color="auto"/>
            </w:tcBorders>
            <w:shd w:val="clear" w:color="000000" w:fill="FFFFFF"/>
            <w:noWrap/>
            <w:vAlign w:val="bottom"/>
            <w:hideMark/>
          </w:tcPr>
          <w:p w14:paraId="74FD02A4" w14:textId="77777777" w:rsidR="003475A0" w:rsidRPr="003475A0" w:rsidRDefault="003475A0" w:rsidP="003475A0">
            <w:pPr>
              <w:spacing w:line="240" w:lineRule="auto"/>
              <w:jc w:val="right"/>
              <w:rPr>
                <w:rFonts w:eastAsia="Times New Roman" w:cs="Calibri"/>
                <w:sz w:val="18"/>
                <w:szCs w:val="18"/>
                <w:lang w:eastAsia="pl-PL"/>
              </w:rPr>
            </w:pPr>
            <w:r w:rsidRPr="003475A0">
              <w:rPr>
                <w:rFonts w:eastAsia="Times New Roman" w:cs="Calibri"/>
                <w:sz w:val="18"/>
                <w:szCs w:val="18"/>
                <w:lang w:eastAsia="pl-PL"/>
              </w:rPr>
              <w:t xml:space="preserve">70 449,33 </w:t>
            </w:r>
          </w:p>
        </w:tc>
      </w:tr>
      <w:tr w:rsidR="003475A0" w:rsidRPr="003475A0" w14:paraId="236B5C4E"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2A76D4DD"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PPK</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2BD0DAC8"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24 857,63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066602DA"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28 534,81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128810A8"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30 047,16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08F3BDFF"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31 639,66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09CCA5A0"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33 316,56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0AFA9144"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35 082,34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49A3A2A3"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36 941,70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25A32540"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38 899,61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7ED8E083"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40 961,29 </w:t>
            </w:r>
          </w:p>
        </w:tc>
        <w:tc>
          <w:tcPr>
            <w:tcW w:w="434" w:type="pct"/>
            <w:tcBorders>
              <w:top w:val="single" w:sz="4" w:space="0" w:color="auto"/>
              <w:left w:val="nil"/>
              <w:bottom w:val="single" w:sz="4" w:space="0" w:color="auto"/>
              <w:right w:val="single" w:sz="4" w:space="0" w:color="auto"/>
            </w:tcBorders>
            <w:shd w:val="clear" w:color="000000" w:fill="FFFFFF"/>
            <w:noWrap/>
            <w:vAlign w:val="bottom"/>
            <w:hideMark/>
          </w:tcPr>
          <w:p w14:paraId="612A00BE"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43 132,24 </w:t>
            </w:r>
          </w:p>
        </w:tc>
      </w:tr>
      <w:tr w:rsidR="003475A0" w:rsidRPr="003475A0" w14:paraId="6B0122DE"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68C0E9A9"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ZFŚS</w:t>
            </w:r>
          </w:p>
        </w:tc>
        <w:tc>
          <w:tcPr>
            <w:tcW w:w="434" w:type="pct"/>
            <w:tcBorders>
              <w:top w:val="nil"/>
              <w:left w:val="nil"/>
              <w:bottom w:val="single" w:sz="4" w:space="0" w:color="auto"/>
              <w:right w:val="single" w:sz="4" w:space="0" w:color="auto"/>
            </w:tcBorders>
            <w:shd w:val="clear" w:color="000000" w:fill="FFFFFF"/>
            <w:noWrap/>
            <w:vAlign w:val="bottom"/>
            <w:hideMark/>
          </w:tcPr>
          <w:p w14:paraId="4BD0E39E"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43 272,00 </w:t>
            </w:r>
          </w:p>
        </w:tc>
        <w:tc>
          <w:tcPr>
            <w:tcW w:w="434" w:type="pct"/>
            <w:tcBorders>
              <w:top w:val="nil"/>
              <w:left w:val="nil"/>
              <w:bottom w:val="single" w:sz="4" w:space="0" w:color="auto"/>
              <w:right w:val="single" w:sz="4" w:space="0" w:color="auto"/>
            </w:tcBorders>
            <w:shd w:val="clear" w:color="000000" w:fill="FFFFFF"/>
            <w:noWrap/>
            <w:vAlign w:val="bottom"/>
            <w:hideMark/>
          </w:tcPr>
          <w:p w14:paraId="27B8FB78"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45 781,78 </w:t>
            </w:r>
          </w:p>
        </w:tc>
        <w:tc>
          <w:tcPr>
            <w:tcW w:w="434" w:type="pct"/>
            <w:tcBorders>
              <w:top w:val="nil"/>
              <w:left w:val="nil"/>
              <w:bottom w:val="single" w:sz="4" w:space="0" w:color="auto"/>
              <w:right w:val="single" w:sz="4" w:space="0" w:color="auto"/>
            </w:tcBorders>
            <w:shd w:val="clear" w:color="000000" w:fill="FFFFFF"/>
            <w:noWrap/>
            <w:vAlign w:val="bottom"/>
            <w:hideMark/>
          </w:tcPr>
          <w:p w14:paraId="7E93E09D"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48 208,21 </w:t>
            </w:r>
          </w:p>
        </w:tc>
        <w:tc>
          <w:tcPr>
            <w:tcW w:w="434" w:type="pct"/>
            <w:tcBorders>
              <w:top w:val="nil"/>
              <w:left w:val="nil"/>
              <w:bottom w:val="single" w:sz="4" w:space="0" w:color="auto"/>
              <w:right w:val="single" w:sz="4" w:space="0" w:color="auto"/>
            </w:tcBorders>
            <w:shd w:val="clear" w:color="000000" w:fill="FFFFFF"/>
            <w:noWrap/>
            <w:vAlign w:val="bottom"/>
            <w:hideMark/>
          </w:tcPr>
          <w:p w14:paraId="0A1CE5D1"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50 763,25 </w:t>
            </w:r>
          </w:p>
        </w:tc>
        <w:tc>
          <w:tcPr>
            <w:tcW w:w="434" w:type="pct"/>
            <w:tcBorders>
              <w:top w:val="nil"/>
              <w:left w:val="nil"/>
              <w:bottom w:val="single" w:sz="4" w:space="0" w:color="auto"/>
              <w:right w:val="single" w:sz="4" w:space="0" w:color="auto"/>
            </w:tcBorders>
            <w:shd w:val="clear" w:color="000000" w:fill="FFFFFF"/>
            <w:noWrap/>
            <w:vAlign w:val="bottom"/>
            <w:hideMark/>
          </w:tcPr>
          <w:p w14:paraId="11A9434B"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53 402,93 </w:t>
            </w:r>
          </w:p>
        </w:tc>
        <w:tc>
          <w:tcPr>
            <w:tcW w:w="434" w:type="pct"/>
            <w:tcBorders>
              <w:top w:val="nil"/>
              <w:left w:val="nil"/>
              <w:bottom w:val="single" w:sz="4" w:space="0" w:color="auto"/>
              <w:right w:val="single" w:sz="4" w:space="0" w:color="auto"/>
            </w:tcBorders>
            <w:shd w:val="clear" w:color="000000" w:fill="FFFFFF"/>
            <w:noWrap/>
            <w:vAlign w:val="bottom"/>
            <w:hideMark/>
          </w:tcPr>
          <w:p w14:paraId="258748D9"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56 179,89 </w:t>
            </w:r>
          </w:p>
        </w:tc>
        <w:tc>
          <w:tcPr>
            <w:tcW w:w="434" w:type="pct"/>
            <w:tcBorders>
              <w:top w:val="nil"/>
              <w:left w:val="nil"/>
              <w:bottom w:val="single" w:sz="4" w:space="0" w:color="auto"/>
              <w:right w:val="single" w:sz="4" w:space="0" w:color="auto"/>
            </w:tcBorders>
            <w:shd w:val="clear" w:color="000000" w:fill="FFFFFF"/>
            <w:noWrap/>
            <w:vAlign w:val="bottom"/>
            <w:hideMark/>
          </w:tcPr>
          <w:p w14:paraId="520273F0"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59 045,06 </w:t>
            </w:r>
          </w:p>
        </w:tc>
        <w:tc>
          <w:tcPr>
            <w:tcW w:w="434" w:type="pct"/>
            <w:tcBorders>
              <w:top w:val="nil"/>
              <w:left w:val="nil"/>
              <w:bottom w:val="single" w:sz="4" w:space="0" w:color="auto"/>
              <w:right w:val="single" w:sz="4" w:space="0" w:color="auto"/>
            </w:tcBorders>
            <w:shd w:val="clear" w:color="000000" w:fill="FFFFFF"/>
            <w:noWrap/>
            <w:vAlign w:val="bottom"/>
            <w:hideMark/>
          </w:tcPr>
          <w:p w14:paraId="4326A67D"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61 997,31 </w:t>
            </w:r>
          </w:p>
        </w:tc>
        <w:tc>
          <w:tcPr>
            <w:tcW w:w="434" w:type="pct"/>
            <w:tcBorders>
              <w:top w:val="nil"/>
              <w:left w:val="nil"/>
              <w:bottom w:val="single" w:sz="4" w:space="0" w:color="auto"/>
              <w:right w:val="single" w:sz="4" w:space="0" w:color="auto"/>
            </w:tcBorders>
            <w:shd w:val="clear" w:color="000000" w:fill="FFFFFF"/>
            <w:noWrap/>
            <w:vAlign w:val="bottom"/>
            <w:hideMark/>
          </w:tcPr>
          <w:p w14:paraId="3CCDDD41"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65 097,18 </w:t>
            </w:r>
          </w:p>
        </w:tc>
        <w:tc>
          <w:tcPr>
            <w:tcW w:w="434" w:type="pct"/>
            <w:tcBorders>
              <w:top w:val="nil"/>
              <w:left w:val="nil"/>
              <w:bottom w:val="single" w:sz="4" w:space="0" w:color="auto"/>
              <w:right w:val="single" w:sz="4" w:space="0" w:color="auto"/>
            </w:tcBorders>
            <w:shd w:val="clear" w:color="000000" w:fill="FFFFFF"/>
            <w:noWrap/>
            <w:vAlign w:val="bottom"/>
            <w:hideMark/>
          </w:tcPr>
          <w:p w14:paraId="40ADEA45" w14:textId="77777777" w:rsidR="003475A0" w:rsidRPr="003475A0" w:rsidRDefault="003475A0" w:rsidP="003475A0">
            <w:pPr>
              <w:spacing w:line="240" w:lineRule="auto"/>
              <w:jc w:val="right"/>
              <w:rPr>
                <w:rFonts w:eastAsia="Times New Roman" w:cs="Calibri"/>
                <w:lang w:eastAsia="pl-PL"/>
              </w:rPr>
            </w:pPr>
            <w:r w:rsidRPr="003475A0">
              <w:rPr>
                <w:rFonts w:eastAsia="Times New Roman" w:cs="Calibri"/>
                <w:lang w:eastAsia="pl-PL"/>
              </w:rPr>
              <w:t xml:space="preserve">68 352,04 </w:t>
            </w:r>
          </w:p>
        </w:tc>
      </w:tr>
      <w:tr w:rsidR="003475A0" w:rsidRPr="003475A0" w14:paraId="577E5B4B"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25A39BA1" w14:textId="77777777" w:rsidR="003475A0" w:rsidRPr="003475A0" w:rsidRDefault="003475A0" w:rsidP="003475A0">
            <w:pPr>
              <w:spacing w:line="240" w:lineRule="auto"/>
              <w:rPr>
                <w:rFonts w:eastAsia="Times New Roman" w:cs="Calibri"/>
                <w:color w:val="000000"/>
                <w:lang w:eastAsia="pl-PL"/>
              </w:rPr>
            </w:pPr>
            <w:r w:rsidRPr="003475A0">
              <w:rPr>
                <w:rFonts w:eastAsia="Times New Roman" w:cs="Calibri"/>
                <w:color w:val="000000"/>
                <w:lang w:eastAsia="pl-PL"/>
              </w:rPr>
              <w:t>wyposażenie stanowisk</w:t>
            </w:r>
          </w:p>
        </w:tc>
        <w:tc>
          <w:tcPr>
            <w:tcW w:w="434" w:type="pct"/>
            <w:tcBorders>
              <w:top w:val="nil"/>
              <w:left w:val="nil"/>
              <w:bottom w:val="single" w:sz="4" w:space="0" w:color="auto"/>
              <w:right w:val="single" w:sz="4" w:space="0" w:color="auto"/>
            </w:tcBorders>
            <w:shd w:val="clear" w:color="auto" w:fill="auto"/>
            <w:noWrap/>
            <w:vAlign w:val="bottom"/>
            <w:hideMark/>
          </w:tcPr>
          <w:p w14:paraId="1096486E" w14:textId="77777777" w:rsidR="003475A0" w:rsidRPr="003475A0" w:rsidRDefault="003475A0" w:rsidP="003475A0">
            <w:pPr>
              <w:spacing w:line="240" w:lineRule="auto"/>
              <w:jc w:val="right"/>
              <w:rPr>
                <w:rFonts w:eastAsia="Times New Roman" w:cs="Calibri"/>
                <w:color w:val="000000"/>
                <w:lang w:eastAsia="pl-PL"/>
              </w:rPr>
            </w:pPr>
            <w:r w:rsidRPr="003475A0">
              <w:rPr>
                <w:rFonts w:eastAsia="Times New Roman" w:cs="Calibri"/>
                <w:color w:val="000000"/>
                <w:lang w:eastAsia="pl-PL"/>
              </w:rPr>
              <w:t xml:space="preserve">240 000,00 </w:t>
            </w:r>
          </w:p>
        </w:tc>
        <w:tc>
          <w:tcPr>
            <w:tcW w:w="434" w:type="pct"/>
            <w:tcBorders>
              <w:top w:val="nil"/>
              <w:left w:val="nil"/>
              <w:bottom w:val="single" w:sz="4" w:space="0" w:color="auto"/>
              <w:right w:val="single" w:sz="4" w:space="0" w:color="auto"/>
            </w:tcBorders>
            <w:shd w:val="clear" w:color="auto" w:fill="auto"/>
            <w:noWrap/>
            <w:vAlign w:val="bottom"/>
            <w:hideMark/>
          </w:tcPr>
          <w:p w14:paraId="70656EBD"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7E562D23"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4B0E87E2"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077FBFCC"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4AEDAEA7"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1B5229B1"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3A1629CB"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7F4E16F3"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c>
          <w:tcPr>
            <w:tcW w:w="434" w:type="pct"/>
            <w:tcBorders>
              <w:top w:val="nil"/>
              <w:left w:val="nil"/>
              <w:bottom w:val="single" w:sz="4" w:space="0" w:color="auto"/>
              <w:right w:val="single" w:sz="4" w:space="0" w:color="auto"/>
            </w:tcBorders>
            <w:shd w:val="clear" w:color="auto" w:fill="auto"/>
            <w:noWrap/>
            <w:vAlign w:val="bottom"/>
            <w:hideMark/>
          </w:tcPr>
          <w:p w14:paraId="71D3700B" w14:textId="77777777" w:rsidR="003475A0" w:rsidRPr="003475A0" w:rsidRDefault="003475A0" w:rsidP="003475A0">
            <w:pPr>
              <w:spacing w:line="240" w:lineRule="auto"/>
              <w:jc w:val="center"/>
              <w:rPr>
                <w:rFonts w:eastAsia="Times New Roman" w:cs="Calibri"/>
                <w:color w:val="000000"/>
                <w:lang w:eastAsia="pl-PL"/>
              </w:rPr>
            </w:pPr>
            <w:r w:rsidRPr="003475A0">
              <w:rPr>
                <w:rFonts w:eastAsia="Times New Roman" w:cs="Calibri"/>
                <w:color w:val="000000"/>
                <w:lang w:eastAsia="pl-PL"/>
              </w:rPr>
              <w:t>-</w:t>
            </w:r>
          </w:p>
        </w:tc>
      </w:tr>
      <w:tr w:rsidR="003475A0" w:rsidRPr="003475A0" w14:paraId="4B476514" w14:textId="77777777" w:rsidTr="004E3D9A">
        <w:trPr>
          <w:trHeight w:val="290"/>
        </w:trPr>
        <w:tc>
          <w:tcPr>
            <w:tcW w:w="663" w:type="pct"/>
            <w:tcBorders>
              <w:top w:val="nil"/>
              <w:left w:val="single" w:sz="4" w:space="0" w:color="auto"/>
              <w:bottom w:val="single" w:sz="4" w:space="0" w:color="auto"/>
              <w:right w:val="single" w:sz="4" w:space="0" w:color="auto"/>
            </w:tcBorders>
            <w:shd w:val="clear" w:color="auto" w:fill="auto"/>
            <w:noWrap/>
            <w:vAlign w:val="bottom"/>
            <w:hideMark/>
          </w:tcPr>
          <w:p w14:paraId="25812B7B" w14:textId="77777777" w:rsidR="003475A0" w:rsidRPr="003475A0" w:rsidRDefault="003475A0" w:rsidP="003475A0">
            <w:pPr>
              <w:spacing w:line="240" w:lineRule="auto"/>
              <w:rPr>
                <w:rFonts w:eastAsia="Times New Roman" w:cs="Calibri"/>
                <w:b/>
                <w:bCs/>
                <w:color w:val="000000"/>
                <w:lang w:eastAsia="pl-PL"/>
              </w:rPr>
            </w:pPr>
            <w:r w:rsidRPr="003475A0">
              <w:rPr>
                <w:rFonts w:eastAsia="Times New Roman" w:cs="Calibri"/>
                <w:b/>
                <w:bCs/>
                <w:color w:val="000000"/>
                <w:lang w:eastAsia="pl-PL"/>
              </w:rPr>
              <w:t>razem</w:t>
            </w:r>
          </w:p>
        </w:tc>
        <w:tc>
          <w:tcPr>
            <w:tcW w:w="434" w:type="pct"/>
            <w:tcBorders>
              <w:top w:val="nil"/>
              <w:left w:val="nil"/>
              <w:bottom w:val="single" w:sz="4" w:space="0" w:color="auto"/>
              <w:right w:val="single" w:sz="4" w:space="0" w:color="auto"/>
            </w:tcBorders>
            <w:shd w:val="clear" w:color="auto" w:fill="auto"/>
            <w:noWrap/>
            <w:vAlign w:val="bottom"/>
            <w:hideMark/>
          </w:tcPr>
          <w:p w14:paraId="676DE25A"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1 965 304,67 </w:t>
            </w:r>
          </w:p>
        </w:tc>
        <w:tc>
          <w:tcPr>
            <w:tcW w:w="434" w:type="pct"/>
            <w:tcBorders>
              <w:top w:val="nil"/>
              <w:left w:val="nil"/>
              <w:bottom w:val="single" w:sz="4" w:space="0" w:color="auto"/>
              <w:right w:val="single" w:sz="4" w:space="0" w:color="auto"/>
            </w:tcBorders>
            <w:shd w:val="clear" w:color="auto" w:fill="auto"/>
            <w:noWrap/>
            <w:vAlign w:val="bottom"/>
            <w:hideMark/>
          </w:tcPr>
          <w:p w14:paraId="7D917A46"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1 976 637,53 </w:t>
            </w:r>
          </w:p>
        </w:tc>
        <w:tc>
          <w:tcPr>
            <w:tcW w:w="434" w:type="pct"/>
            <w:tcBorders>
              <w:top w:val="nil"/>
              <w:left w:val="nil"/>
              <w:bottom w:val="single" w:sz="4" w:space="0" w:color="auto"/>
              <w:right w:val="single" w:sz="4" w:space="0" w:color="auto"/>
            </w:tcBorders>
            <w:shd w:val="clear" w:color="auto" w:fill="auto"/>
            <w:noWrap/>
            <w:vAlign w:val="bottom"/>
            <w:hideMark/>
          </w:tcPr>
          <w:p w14:paraId="510CB8A1"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2 081 399,32 </w:t>
            </w:r>
          </w:p>
        </w:tc>
        <w:tc>
          <w:tcPr>
            <w:tcW w:w="434" w:type="pct"/>
            <w:tcBorders>
              <w:top w:val="nil"/>
              <w:left w:val="nil"/>
              <w:bottom w:val="single" w:sz="4" w:space="0" w:color="auto"/>
              <w:right w:val="single" w:sz="4" w:space="0" w:color="auto"/>
            </w:tcBorders>
            <w:shd w:val="clear" w:color="auto" w:fill="auto"/>
            <w:noWrap/>
            <w:vAlign w:val="bottom"/>
            <w:hideMark/>
          </w:tcPr>
          <w:p w14:paraId="7013D339"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2 191 713,49 </w:t>
            </w:r>
          </w:p>
        </w:tc>
        <w:tc>
          <w:tcPr>
            <w:tcW w:w="434" w:type="pct"/>
            <w:tcBorders>
              <w:top w:val="nil"/>
              <w:left w:val="nil"/>
              <w:bottom w:val="single" w:sz="4" w:space="0" w:color="auto"/>
              <w:right w:val="single" w:sz="4" w:space="0" w:color="auto"/>
            </w:tcBorders>
            <w:shd w:val="clear" w:color="auto" w:fill="auto"/>
            <w:noWrap/>
            <w:vAlign w:val="bottom"/>
            <w:hideMark/>
          </w:tcPr>
          <w:p w14:paraId="439B30A3"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2 307 823,54 </w:t>
            </w:r>
          </w:p>
        </w:tc>
        <w:tc>
          <w:tcPr>
            <w:tcW w:w="434" w:type="pct"/>
            <w:tcBorders>
              <w:top w:val="nil"/>
              <w:left w:val="nil"/>
              <w:bottom w:val="single" w:sz="4" w:space="0" w:color="auto"/>
              <w:right w:val="single" w:sz="4" w:space="0" w:color="auto"/>
            </w:tcBorders>
            <w:shd w:val="clear" w:color="auto" w:fill="auto"/>
            <w:noWrap/>
            <w:vAlign w:val="bottom"/>
            <w:hideMark/>
          </w:tcPr>
          <w:p w14:paraId="33A5ABAA"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2 430 084,78 </w:t>
            </w:r>
          </w:p>
        </w:tc>
        <w:tc>
          <w:tcPr>
            <w:tcW w:w="434" w:type="pct"/>
            <w:tcBorders>
              <w:top w:val="nil"/>
              <w:left w:val="nil"/>
              <w:bottom w:val="single" w:sz="4" w:space="0" w:color="auto"/>
              <w:right w:val="single" w:sz="4" w:space="0" w:color="auto"/>
            </w:tcBorders>
            <w:shd w:val="clear" w:color="auto" w:fill="auto"/>
            <w:noWrap/>
            <w:vAlign w:val="bottom"/>
            <w:hideMark/>
          </w:tcPr>
          <w:p w14:paraId="75B7796A"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2 558 766,92 </w:t>
            </w:r>
          </w:p>
        </w:tc>
        <w:tc>
          <w:tcPr>
            <w:tcW w:w="434" w:type="pct"/>
            <w:tcBorders>
              <w:top w:val="nil"/>
              <w:left w:val="nil"/>
              <w:bottom w:val="single" w:sz="4" w:space="0" w:color="auto"/>
              <w:right w:val="single" w:sz="4" w:space="0" w:color="auto"/>
            </w:tcBorders>
            <w:shd w:val="clear" w:color="auto" w:fill="auto"/>
            <w:noWrap/>
            <w:vAlign w:val="bottom"/>
            <w:hideMark/>
          </w:tcPr>
          <w:p w14:paraId="1AB9BD7D"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2 694 204,43 </w:t>
            </w:r>
          </w:p>
        </w:tc>
        <w:tc>
          <w:tcPr>
            <w:tcW w:w="434" w:type="pct"/>
            <w:tcBorders>
              <w:top w:val="nil"/>
              <w:left w:val="nil"/>
              <w:bottom w:val="single" w:sz="4" w:space="0" w:color="auto"/>
              <w:right w:val="single" w:sz="4" w:space="0" w:color="auto"/>
            </w:tcBorders>
            <w:shd w:val="clear" w:color="auto" w:fill="auto"/>
            <w:noWrap/>
            <w:vAlign w:val="bottom"/>
            <w:hideMark/>
          </w:tcPr>
          <w:p w14:paraId="62A72020"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2 836 811,27 </w:t>
            </w:r>
          </w:p>
        </w:tc>
        <w:tc>
          <w:tcPr>
            <w:tcW w:w="434" w:type="pct"/>
            <w:tcBorders>
              <w:top w:val="nil"/>
              <w:left w:val="nil"/>
              <w:bottom w:val="single" w:sz="4" w:space="0" w:color="auto"/>
              <w:right w:val="single" w:sz="4" w:space="0" w:color="auto"/>
            </w:tcBorders>
            <w:shd w:val="clear" w:color="auto" w:fill="auto"/>
            <w:noWrap/>
            <w:vAlign w:val="bottom"/>
            <w:hideMark/>
          </w:tcPr>
          <w:p w14:paraId="408862E9" w14:textId="77777777" w:rsidR="003475A0" w:rsidRPr="003475A0" w:rsidRDefault="003475A0" w:rsidP="003475A0">
            <w:pPr>
              <w:spacing w:line="240" w:lineRule="auto"/>
              <w:jc w:val="right"/>
              <w:rPr>
                <w:rFonts w:eastAsia="Times New Roman" w:cs="Calibri"/>
                <w:b/>
                <w:bCs/>
                <w:color w:val="000000"/>
                <w:lang w:eastAsia="pl-PL"/>
              </w:rPr>
            </w:pPr>
            <w:r w:rsidRPr="003475A0">
              <w:rPr>
                <w:rFonts w:eastAsia="Times New Roman" w:cs="Calibri"/>
                <w:b/>
                <w:bCs/>
                <w:color w:val="000000"/>
                <w:lang w:eastAsia="pl-PL"/>
              </w:rPr>
              <w:t xml:space="preserve">2 986 966,98 </w:t>
            </w:r>
          </w:p>
        </w:tc>
      </w:tr>
    </w:tbl>
    <w:p w14:paraId="38E43CEF" w14:textId="77777777" w:rsidR="00803064" w:rsidRDefault="00803064" w:rsidP="00DA1182">
      <w:pPr>
        <w:rPr>
          <w:lang w:eastAsia="pl-PL"/>
        </w:rPr>
      </w:pPr>
    </w:p>
    <w:p w14:paraId="7E235C2B" w14:textId="048EB1ED" w:rsidR="00183AF1" w:rsidRDefault="00183AF1" w:rsidP="00183AF1">
      <w:pPr>
        <w:rPr>
          <w:sz w:val="2"/>
          <w:szCs w:val="2"/>
          <w:lang w:eastAsia="pl-PL"/>
        </w:rPr>
      </w:pPr>
    </w:p>
    <w:p w14:paraId="60ADF9A8" w14:textId="77777777" w:rsidR="00183AF1" w:rsidRPr="00183AF1" w:rsidRDefault="00183AF1" w:rsidP="00183AF1">
      <w:pPr>
        <w:rPr>
          <w:sz w:val="2"/>
          <w:szCs w:val="2"/>
          <w:lang w:eastAsia="pl-PL"/>
        </w:rPr>
      </w:pPr>
    </w:p>
    <w:p w14:paraId="3E1362E4" w14:textId="77777777" w:rsidR="00183AF1" w:rsidRPr="00183AF1" w:rsidRDefault="00183AF1" w:rsidP="00183AF1">
      <w:pPr>
        <w:rPr>
          <w:sz w:val="2"/>
          <w:szCs w:val="2"/>
          <w:lang w:eastAsia="pl-PL"/>
        </w:rPr>
      </w:pPr>
    </w:p>
    <w:p w14:paraId="1E932CBF" w14:textId="77777777" w:rsidR="00183AF1" w:rsidRPr="00183AF1" w:rsidRDefault="00183AF1" w:rsidP="00183AF1">
      <w:pPr>
        <w:rPr>
          <w:sz w:val="2"/>
          <w:szCs w:val="2"/>
          <w:lang w:eastAsia="pl-PL"/>
        </w:rPr>
      </w:pPr>
    </w:p>
    <w:p w14:paraId="1AA52C18" w14:textId="77777777" w:rsidR="00183AF1" w:rsidRPr="00183AF1" w:rsidRDefault="00183AF1" w:rsidP="00183AF1">
      <w:pPr>
        <w:rPr>
          <w:sz w:val="2"/>
          <w:szCs w:val="2"/>
          <w:lang w:eastAsia="pl-PL"/>
        </w:rPr>
      </w:pPr>
    </w:p>
    <w:p w14:paraId="0F591679" w14:textId="77777777" w:rsidR="00183AF1" w:rsidRPr="00183AF1" w:rsidRDefault="00183AF1" w:rsidP="00183AF1">
      <w:pPr>
        <w:rPr>
          <w:sz w:val="2"/>
          <w:szCs w:val="2"/>
          <w:lang w:eastAsia="pl-PL"/>
        </w:rPr>
      </w:pPr>
    </w:p>
    <w:p w14:paraId="46B188E4" w14:textId="77777777" w:rsidR="00183AF1" w:rsidRPr="00183AF1" w:rsidRDefault="00183AF1" w:rsidP="00183AF1">
      <w:pPr>
        <w:rPr>
          <w:sz w:val="2"/>
          <w:szCs w:val="2"/>
          <w:lang w:eastAsia="pl-PL"/>
        </w:rPr>
      </w:pPr>
    </w:p>
    <w:p w14:paraId="0053F129" w14:textId="77777777" w:rsidR="00183AF1" w:rsidRPr="00183AF1" w:rsidRDefault="00183AF1" w:rsidP="00183AF1">
      <w:pPr>
        <w:rPr>
          <w:sz w:val="2"/>
          <w:szCs w:val="2"/>
          <w:lang w:eastAsia="pl-PL"/>
        </w:rPr>
      </w:pPr>
    </w:p>
    <w:p w14:paraId="4596CDAB" w14:textId="77777777" w:rsidR="00183AF1" w:rsidRPr="00183AF1" w:rsidRDefault="00183AF1" w:rsidP="00183AF1">
      <w:pPr>
        <w:rPr>
          <w:sz w:val="2"/>
          <w:szCs w:val="2"/>
          <w:lang w:eastAsia="pl-PL"/>
        </w:rPr>
      </w:pPr>
    </w:p>
    <w:p w14:paraId="1C263EEB" w14:textId="77777777" w:rsidR="00183AF1" w:rsidRPr="00183AF1" w:rsidRDefault="00183AF1" w:rsidP="00183AF1">
      <w:pPr>
        <w:rPr>
          <w:sz w:val="2"/>
          <w:szCs w:val="2"/>
          <w:lang w:eastAsia="pl-PL"/>
        </w:rPr>
      </w:pPr>
    </w:p>
    <w:p w14:paraId="31C7735D" w14:textId="77777777" w:rsidR="00183AF1" w:rsidRPr="00183AF1" w:rsidRDefault="00183AF1" w:rsidP="00183AF1">
      <w:pPr>
        <w:rPr>
          <w:sz w:val="2"/>
          <w:szCs w:val="2"/>
          <w:lang w:eastAsia="pl-PL"/>
        </w:rPr>
      </w:pPr>
    </w:p>
    <w:p w14:paraId="10BA6CDB" w14:textId="77777777" w:rsidR="00183AF1" w:rsidRPr="00183AF1" w:rsidRDefault="00183AF1" w:rsidP="00183AF1">
      <w:pPr>
        <w:rPr>
          <w:sz w:val="2"/>
          <w:szCs w:val="2"/>
          <w:lang w:eastAsia="pl-PL"/>
        </w:rPr>
      </w:pPr>
    </w:p>
    <w:p w14:paraId="1359747D" w14:textId="77777777" w:rsidR="00183AF1" w:rsidRPr="00183AF1" w:rsidRDefault="00183AF1" w:rsidP="00183AF1">
      <w:pPr>
        <w:rPr>
          <w:sz w:val="2"/>
          <w:szCs w:val="2"/>
          <w:lang w:eastAsia="pl-PL"/>
        </w:rPr>
      </w:pPr>
    </w:p>
    <w:p w14:paraId="6A26A51B" w14:textId="77777777" w:rsidR="00183AF1" w:rsidRPr="00183AF1" w:rsidRDefault="00183AF1" w:rsidP="00183AF1">
      <w:pPr>
        <w:rPr>
          <w:sz w:val="2"/>
          <w:szCs w:val="2"/>
          <w:lang w:eastAsia="pl-PL"/>
        </w:rPr>
      </w:pPr>
    </w:p>
    <w:p w14:paraId="7085EC69" w14:textId="77777777" w:rsidR="00183AF1" w:rsidRPr="00183AF1" w:rsidRDefault="00183AF1" w:rsidP="00183AF1">
      <w:pPr>
        <w:rPr>
          <w:sz w:val="2"/>
          <w:szCs w:val="2"/>
          <w:lang w:eastAsia="pl-PL"/>
        </w:rPr>
      </w:pPr>
    </w:p>
    <w:p w14:paraId="01A7449B" w14:textId="77777777" w:rsidR="00183AF1" w:rsidRPr="00183AF1" w:rsidRDefault="00183AF1" w:rsidP="00183AF1">
      <w:pPr>
        <w:rPr>
          <w:sz w:val="2"/>
          <w:szCs w:val="2"/>
          <w:lang w:eastAsia="pl-PL"/>
        </w:rPr>
      </w:pPr>
    </w:p>
    <w:p w14:paraId="0C9CCE04" w14:textId="77777777" w:rsidR="00183AF1" w:rsidRPr="00183AF1" w:rsidRDefault="00183AF1" w:rsidP="00183AF1">
      <w:pPr>
        <w:rPr>
          <w:sz w:val="2"/>
          <w:szCs w:val="2"/>
          <w:lang w:eastAsia="pl-PL"/>
        </w:rPr>
      </w:pPr>
    </w:p>
    <w:p w14:paraId="542A73F5" w14:textId="77777777" w:rsidR="00183AF1" w:rsidRPr="00183AF1" w:rsidRDefault="00183AF1" w:rsidP="00183AF1">
      <w:pPr>
        <w:rPr>
          <w:sz w:val="2"/>
          <w:szCs w:val="2"/>
          <w:lang w:eastAsia="pl-PL"/>
        </w:rPr>
      </w:pPr>
    </w:p>
    <w:p w14:paraId="104700FE" w14:textId="77777777" w:rsidR="00183AF1" w:rsidRPr="00183AF1" w:rsidRDefault="00183AF1" w:rsidP="00183AF1">
      <w:pPr>
        <w:rPr>
          <w:sz w:val="2"/>
          <w:szCs w:val="2"/>
          <w:lang w:eastAsia="pl-PL"/>
        </w:rPr>
      </w:pPr>
    </w:p>
    <w:p w14:paraId="3714FC64" w14:textId="77777777" w:rsidR="00183AF1" w:rsidRPr="00183AF1" w:rsidRDefault="00183AF1" w:rsidP="00183AF1">
      <w:pPr>
        <w:rPr>
          <w:sz w:val="2"/>
          <w:szCs w:val="2"/>
          <w:lang w:eastAsia="pl-PL"/>
        </w:rPr>
      </w:pPr>
    </w:p>
    <w:p w14:paraId="551E3873" w14:textId="77777777" w:rsidR="00183AF1" w:rsidRPr="00183AF1" w:rsidRDefault="00183AF1" w:rsidP="00183AF1">
      <w:pPr>
        <w:rPr>
          <w:sz w:val="2"/>
          <w:szCs w:val="2"/>
          <w:lang w:eastAsia="pl-PL"/>
        </w:rPr>
      </w:pPr>
    </w:p>
    <w:p w14:paraId="5B66F3DC" w14:textId="77777777" w:rsidR="00183AF1" w:rsidRPr="00183AF1" w:rsidRDefault="00183AF1" w:rsidP="00183AF1">
      <w:pPr>
        <w:rPr>
          <w:sz w:val="2"/>
          <w:szCs w:val="2"/>
          <w:lang w:eastAsia="pl-PL"/>
        </w:rPr>
      </w:pPr>
    </w:p>
    <w:p w14:paraId="598C8876" w14:textId="77777777" w:rsidR="00183AF1" w:rsidRPr="00183AF1" w:rsidRDefault="00183AF1" w:rsidP="00183AF1">
      <w:pPr>
        <w:rPr>
          <w:sz w:val="2"/>
          <w:szCs w:val="2"/>
          <w:lang w:eastAsia="pl-PL"/>
        </w:rPr>
      </w:pPr>
    </w:p>
    <w:p w14:paraId="5A939C67" w14:textId="77777777" w:rsidR="00183AF1" w:rsidRPr="00183AF1" w:rsidRDefault="00183AF1" w:rsidP="00183AF1">
      <w:pPr>
        <w:rPr>
          <w:sz w:val="2"/>
          <w:szCs w:val="2"/>
          <w:lang w:eastAsia="pl-PL"/>
        </w:rPr>
      </w:pPr>
    </w:p>
    <w:p w14:paraId="23DFEFAB" w14:textId="77777777" w:rsidR="00183AF1" w:rsidRPr="00183AF1" w:rsidRDefault="00183AF1" w:rsidP="00183AF1">
      <w:pPr>
        <w:rPr>
          <w:sz w:val="2"/>
          <w:szCs w:val="2"/>
          <w:lang w:eastAsia="pl-PL"/>
        </w:rPr>
      </w:pPr>
    </w:p>
    <w:p w14:paraId="78BB80D6" w14:textId="77777777" w:rsidR="00183AF1" w:rsidRPr="00183AF1" w:rsidRDefault="00183AF1" w:rsidP="00183AF1">
      <w:pPr>
        <w:rPr>
          <w:sz w:val="2"/>
          <w:szCs w:val="2"/>
          <w:lang w:eastAsia="pl-PL"/>
        </w:rPr>
      </w:pPr>
    </w:p>
    <w:p w14:paraId="61F09821" w14:textId="77777777" w:rsidR="00183AF1" w:rsidRPr="00183AF1" w:rsidRDefault="00183AF1" w:rsidP="00183AF1">
      <w:pPr>
        <w:rPr>
          <w:sz w:val="2"/>
          <w:szCs w:val="2"/>
          <w:lang w:eastAsia="pl-PL"/>
        </w:rPr>
      </w:pPr>
    </w:p>
    <w:p w14:paraId="02E78D90" w14:textId="77777777" w:rsidR="00183AF1" w:rsidRPr="00183AF1" w:rsidRDefault="00183AF1" w:rsidP="00183AF1">
      <w:pPr>
        <w:rPr>
          <w:sz w:val="2"/>
          <w:szCs w:val="2"/>
          <w:lang w:eastAsia="pl-PL"/>
        </w:rPr>
      </w:pPr>
    </w:p>
    <w:p w14:paraId="7A603EF1" w14:textId="77777777" w:rsidR="00183AF1" w:rsidRPr="00183AF1" w:rsidRDefault="00183AF1" w:rsidP="00183AF1">
      <w:pPr>
        <w:rPr>
          <w:sz w:val="2"/>
          <w:szCs w:val="2"/>
          <w:lang w:eastAsia="pl-PL"/>
        </w:rPr>
      </w:pPr>
    </w:p>
    <w:p w14:paraId="2C748F8A" w14:textId="77777777" w:rsidR="00183AF1" w:rsidRPr="00183AF1" w:rsidRDefault="00183AF1" w:rsidP="00183AF1">
      <w:pPr>
        <w:rPr>
          <w:sz w:val="2"/>
          <w:szCs w:val="2"/>
          <w:lang w:eastAsia="pl-PL"/>
        </w:rPr>
      </w:pPr>
    </w:p>
    <w:p w14:paraId="12F23D21" w14:textId="77777777" w:rsidR="00183AF1" w:rsidRPr="00183AF1" w:rsidRDefault="00183AF1" w:rsidP="00183AF1">
      <w:pPr>
        <w:rPr>
          <w:sz w:val="2"/>
          <w:szCs w:val="2"/>
          <w:lang w:eastAsia="pl-PL"/>
        </w:rPr>
      </w:pPr>
    </w:p>
    <w:p w14:paraId="497CDA30" w14:textId="77777777" w:rsidR="00183AF1" w:rsidRPr="00183AF1" w:rsidRDefault="00183AF1" w:rsidP="00183AF1">
      <w:pPr>
        <w:rPr>
          <w:sz w:val="2"/>
          <w:szCs w:val="2"/>
          <w:lang w:eastAsia="pl-PL"/>
        </w:rPr>
      </w:pPr>
    </w:p>
    <w:p w14:paraId="6F73B00D" w14:textId="1225E7C9" w:rsidR="00183AF1" w:rsidRPr="00183AF1" w:rsidRDefault="00183AF1" w:rsidP="00183AF1">
      <w:pPr>
        <w:tabs>
          <w:tab w:val="left" w:pos="3975"/>
        </w:tabs>
        <w:rPr>
          <w:sz w:val="2"/>
          <w:szCs w:val="2"/>
          <w:lang w:eastAsia="pl-PL"/>
        </w:rPr>
      </w:pPr>
      <w:r>
        <w:rPr>
          <w:sz w:val="2"/>
          <w:szCs w:val="2"/>
          <w:lang w:eastAsia="pl-PL"/>
        </w:rPr>
        <w:tab/>
      </w:r>
    </w:p>
    <w:p w14:paraId="5FFF4A7C" w14:textId="77777777" w:rsidR="00183AF1" w:rsidRPr="00183AF1" w:rsidRDefault="00183AF1" w:rsidP="00183AF1">
      <w:pPr>
        <w:rPr>
          <w:sz w:val="2"/>
          <w:szCs w:val="2"/>
          <w:lang w:eastAsia="pl-PL"/>
        </w:rPr>
      </w:pPr>
    </w:p>
    <w:p w14:paraId="30B8B25A" w14:textId="77777777" w:rsidR="00183AF1" w:rsidRPr="00183AF1" w:rsidRDefault="00183AF1" w:rsidP="00183AF1">
      <w:pPr>
        <w:rPr>
          <w:sz w:val="2"/>
          <w:szCs w:val="2"/>
          <w:lang w:eastAsia="pl-PL"/>
        </w:rPr>
      </w:pPr>
    </w:p>
    <w:p w14:paraId="4452170F" w14:textId="77777777" w:rsidR="00183AF1" w:rsidRPr="00183AF1" w:rsidRDefault="00183AF1" w:rsidP="00183AF1">
      <w:pPr>
        <w:rPr>
          <w:sz w:val="2"/>
          <w:szCs w:val="2"/>
          <w:lang w:eastAsia="pl-PL"/>
        </w:rPr>
      </w:pPr>
    </w:p>
    <w:p w14:paraId="135A87D8" w14:textId="77777777" w:rsidR="00183AF1" w:rsidRPr="00183AF1" w:rsidRDefault="00183AF1" w:rsidP="00183AF1">
      <w:pPr>
        <w:rPr>
          <w:sz w:val="2"/>
          <w:szCs w:val="2"/>
          <w:lang w:eastAsia="pl-PL"/>
        </w:rPr>
      </w:pPr>
    </w:p>
    <w:p w14:paraId="6F983642" w14:textId="77777777" w:rsidR="00183AF1" w:rsidRPr="00183AF1" w:rsidRDefault="00183AF1" w:rsidP="00183AF1">
      <w:pPr>
        <w:rPr>
          <w:sz w:val="2"/>
          <w:szCs w:val="2"/>
          <w:lang w:eastAsia="pl-PL"/>
        </w:rPr>
      </w:pPr>
    </w:p>
    <w:p w14:paraId="209FD041" w14:textId="77777777" w:rsidR="00183AF1" w:rsidRPr="00183AF1" w:rsidRDefault="00183AF1" w:rsidP="00183AF1">
      <w:pPr>
        <w:rPr>
          <w:sz w:val="2"/>
          <w:szCs w:val="2"/>
          <w:lang w:eastAsia="pl-PL"/>
        </w:rPr>
      </w:pPr>
    </w:p>
    <w:p w14:paraId="161806B4" w14:textId="77777777" w:rsidR="00183AF1" w:rsidRPr="00183AF1" w:rsidRDefault="00183AF1" w:rsidP="00183AF1">
      <w:pPr>
        <w:rPr>
          <w:sz w:val="2"/>
          <w:szCs w:val="2"/>
          <w:lang w:eastAsia="pl-PL"/>
        </w:rPr>
      </w:pPr>
    </w:p>
    <w:p w14:paraId="6E86847F" w14:textId="77777777" w:rsidR="00183AF1" w:rsidRPr="00183AF1" w:rsidRDefault="00183AF1" w:rsidP="00183AF1">
      <w:pPr>
        <w:rPr>
          <w:sz w:val="2"/>
          <w:szCs w:val="2"/>
          <w:lang w:eastAsia="pl-PL"/>
        </w:rPr>
      </w:pPr>
    </w:p>
    <w:p w14:paraId="4594BA41" w14:textId="77777777" w:rsidR="00183AF1" w:rsidRPr="00183AF1" w:rsidRDefault="00183AF1" w:rsidP="00183AF1">
      <w:pPr>
        <w:rPr>
          <w:sz w:val="2"/>
          <w:szCs w:val="2"/>
          <w:lang w:eastAsia="pl-PL"/>
        </w:rPr>
      </w:pPr>
    </w:p>
    <w:p w14:paraId="7F59D564" w14:textId="77777777" w:rsidR="00183AF1" w:rsidRPr="00183AF1" w:rsidRDefault="00183AF1" w:rsidP="00183AF1">
      <w:pPr>
        <w:rPr>
          <w:sz w:val="2"/>
          <w:szCs w:val="2"/>
          <w:lang w:eastAsia="pl-PL"/>
        </w:rPr>
      </w:pPr>
    </w:p>
    <w:p w14:paraId="54F04E00" w14:textId="77777777" w:rsidR="00183AF1" w:rsidRPr="00183AF1" w:rsidRDefault="00183AF1" w:rsidP="00183AF1">
      <w:pPr>
        <w:rPr>
          <w:sz w:val="2"/>
          <w:szCs w:val="2"/>
          <w:lang w:eastAsia="pl-PL"/>
        </w:rPr>
      </w:pPr>
    </w:p>
    <w:p w14:paraId="23487D2B" w14:textId="77777777" w:rsidR="00183AF1" w:rsidRPr="00183AF1" w:rsidRDefault="00183AF1" w:rsidP="00183AF1">
      <w:pPr>
        <w:rPr>
          <w:sz w:val="2"/>
          <w:szCs w:val="2"/>
          <w:lang w:eastAsia="pl-PL"/>
        </w:rPr>
      </w:pPr>
    </w:p>
    <w:p w14:paraId="457F3231" w14:textId="29CDCEBD" w:rsidR="00183AF1" w:rsidRPr="00183AF1" w:rsidRDefault="00183AF1" w:rsidP="00183AF1">
      <w:pPr>
        <w:tabs>
          <w:tab w:val="left" w:pos="2760"/>
        </w:tabs>
        <w:rPr>
          <w:sz w:val="2"/>
          <w:szCs w:val="2"/>
          <w:lang w:eastAsia="pl-PL"/>
        </w:rPr>
      </w:pPr>
      <w:r>
        <w:rPr>
          <w:sz w:val="2"/>
          <w:szCs w:val="2"/>
          <w:lang w:eastAsia="pl-PL"/>
        </w:rPr>
        <w:tab/>
      </w:r>
    </w:p>
    <w:p w14:paraId="37025A54" w14:textId="77777777" w:rsidR="00183AF1" w:rsidRPr="00183AF1" w:rsidRDefault="00183AF1" w:rsidP="00183AF1">
      <w:pPr>
        <w:rPr>
          <w:sz w:val="2"/>
          <w:szCs w:val="2"/>
          <w:lang w:eastAsia="pl-PL"/>
        </w:rPr>
      </w:pPr>
    </w:p>
    <w:p w14:paraId="4D796C46" w14:textId="77777777" w:rsidR="00183AF1" w:rsidRPr="00183AF1" w:rsidRDefault="00183AF1" w:rsidP="00183AF1">
      <w:pPr>
        <w:rPr>
          <w:sz w:val="2"/>
          <w:szCs w:val="2"/>
          <w:lang w:eastAsia="pl-PL"/>
        </w:rPr>
      </w:pPr>
    </w:p>
    <w:p w14:paraId="7642D319" w14:textId="77777777" w:rsidR="00183AF1" w:rsidRPr="00183AF1" w:rsidRDefault="00183AF1" w:rsidP="00183AF1">
      <w:pPr>
        <w:rPr>
          <w:sz w:val="2"/>
          <w:szCs w:val="2"/>
          <w:lang w:eastAsia="pl-PL"/>
        </w:rPr>
      </w:pPr>
    </w:p>
    <w:p w14:paraId="0883DEC1" w14:textId="77777777" w:rsidR="00183AF1" w:rsidRPr="00183AF1" w:rsidRDefault="00183AF1" w:rsidP="00183AF1">
      <w:pPr>
        <w:rPr>
          <w:sz w:val="2"/>
          <w:szCs w:val="2"/>
          <w:lang w:eastAsia="pl-PL"/>
        </w:rPr>
      </w:pPr>
    </w:p>
    <w:p w14:paraId="54767614" w14:textId="77777777" w:rsidR="00183AF1" w:rsidRPr="00183AF1" w:rsidRDefault="00183AF1" w:rsidP="00183AF1">
      <w:pPr>
        <w:rPr>
          <w:sz w:val="2"/>
          <w:szCs w:val="2"/>
          <w:lang w:eastAsia="pl-PL"/>
        </w:rPr>
      </w:pPr>
    </w:p>
    <w:p w14:paraId="191B24A4" w14:textId="77777777" w:rsidR="00183AF1" w:rsidRPr="00183AF1" w:rsidRDefault="00183AF1" w:rsidP="00183AF1">
      <w:pPr>
        <w:rPr>
          <w:sz w:val="2"/>
          <w:szCs w:val="2"/>
          <w:lang w:eastAsia="pl-PL"/>
        </w:rPr>
      </w:pPr>
    </w:p>
    <w:p w14:paraId="1C857412" w14:textId="77777777" w:rsidR="00183AF1" w:rsidRPr="00183AF1" w:rsidRDefault="00183AF1" w:rsidP="00183AF1">
      <w:pPr>
        <w:rPr>
          <w:sz w:val="2"/>
          <w:szCs w:val="2"/>
          <w:lang w:eastAsia="pl-PL"/>
        </w:rPr>
      </w:pPr>
    </w:p>
    <w:p w14:paraId="31B6BBCC" w14:textId="77777777" w:rsidR="00183AF1" w:rsidRPr="00183AF1" w:rsidRDefault="00183AF1" w:rsidP="00183AF1">
      <w:pPr>
        <w:rPr>
          <w:sz w:val="2"/>
          <w:szCs w:val="2"/>
          <w:lang w:eastAsia="pl-PL"/>
        </w:rPr>
      </w:pPr>
    </w:p>
    <w:p w14:paraId="5F0B08D9" w14:textId="77777777" w:rsidR="00183AF1" w:rsidRPr="00183AF1" w:rsidRDefault="00183AF1" w:rsidP="00183AF1">
      <w:pPr>
        <w:rPr>
          <w:sz w:val="2"/>
          <w:szCs w:val="2"/>
          <w:lang w:eastAsia="pl-PL"/>
        </w:rPr>
      </w:pPr>
    </w:p>
    <w:p w14:paraId="750FB02B" w14:textId="77777777" w:rsidR="00183AF1" w:rsidRPr="00183AF1" w:rsidRDefault="00183AF1" w:rsidP="00183AF1">
      <w:pPr>
        <w:rPr>
          <w:sz w:val="2"/>
          <w:szCs w:val="2"/>
          <w:lang w:eastAsia="pl-PL"/>
        </w:rPr>
      </w:pPr>
    </w:p>
    <w:p w14:paraId="20B13F82" w14:textId="77777777" w:rsidR="00183AF1" w:rsidRPr="00183AF1" w:rsidRDefault="00183AF1" w:rsidP="00183AF1">
      <w:pPr>
        <w:rPr>
          <w:sz w:val="2"/>
          <w:szCs w:val="2"/>
          <w:lang w:eastAsia="pl-PL"/>
        </w:rPr>
      </w:pPr>
    </w:p>
    <w:p w14:paraId="45906A18" w14:textId="77777777" w:rsidR="00183AF1" w:rsidRPr="00183AF1" w:rsidRDefault="00183AF1" w:rsidP="00183AF1">
      <w:pPr>
        <w:rPr>
          <w:sz w:val="2"/>
          <w:szCs w:val="2"/>
          <w:lang w:eastAsia="pl-PL"/>
        </w:rPr>
      </w:pPr>
    </w:p>
    <w:p w14:paraId="35E60A04" w14:textId="77777777" w:rsidR="00183AF1" w:rsidRPr="00183AF1" w:rsidRDefault="00183AF1" w:rsidP="00183AF1">
      <w:pPr>
        <w:rPr>
          <w:sz w:val="2"/>
          <w:szCs w:val="2"/>
          <w:lang w:eastAsia="pl-PL"/>
        </w:rPr>
      </w:pPr>
    </w:p>
    <w:p w14:paraId="096EC28B" w14:textId="77777777" w:rsidR="00183AF1" w:rsidRPr="00183AF1" w:rsidRDefault="00183AF1" w:rsidP="00183AF1">
      <w:pPr>
        <w:rPr>
          <w:sz w:val="2"/>
          <w:szCs w:val="2"/>
          <w:lang w:eastAsia="pl-PL"/>
        </w:rPr>
      </w:pPr>
    </w:p>
    <w:p w14:paraId="5E3B20DD" w14:textId="77777777" w:rsidR="00183AF1" w:rsidRPr="00183AF1" w:rsidRDefault="00183AF1" w:rsidP="00183AF1">
      <w:pPr>
        <w:rPr>
          <w:sz w:val="2"/>
          <w:szCs w:val="2"/>
          <w:lang w:eastAsia="pl-PL"/>
        </w:rPr>
      </w:pPr>
    </w:p>
    <w:p w14:paraId="55861CE9" w14:textId="77777777" w:rsidR="00183AF1" w:rsidRPr="00183AF1" w:rsidRDefault="00183AF1" w:rsidP="00183AF1">
      <w:pPr>
        <w:rPr>
          <w:sz w:val="2"/>
          <w:szCs w:val="2"/>
          <w:lang w:eastAsia="pl-PL"/>
        </w:rPr>
      </w:pPr>
    </w:p>
    <w:p w14:paraId="2069CCA2" w14:textId="77777777" w:rsidR="00183AF1" w:rsidRPr="00183AF1" w:rsidRDefault="00183AF1" w:rsidP="00183AF1">
      <w:pPr>
        <w:rPr>
          <w:sz w:val="2"/>
          <w:szCs w:val="2"/>
          <w:lang w:eastAsia="pl-PL"/>
        </w:rPr>
      </w:pPr>
    </w:p>
    <w:p w14:paraId="3AD23DD7" w14:textId="77777777" w:rsidR="00183AF1" w:rsidRPr="00183AF1" w:rsidRDefault="00183AF1" w:rsidP="00183AF1">
      <w:pPr>
        <w:rPr>
          <w:sz w:val="2"/>
          <w:szCs w:val="2"/>
          <w:lang w:eastAsia="pl-PL"/>
        </w:rPr>
      </w:pPr>
    </w:p>
    <w:p w14:paraId="11290A82" w14:textId="77777777" w:rsidR="00183AF1" w:rsidRPr="00183AF1" w:rsidRDefault="00183AF1" w:rsidP="00183AF1">
      <w:pPr>
        <w:rPr>
          <w:sz w:val="2"/>
          <w:szCs w:val="2"/>
          <w:lang w:eastAsia="pl-PL"/>
        </w:rPr>
      </w:pPr>
    </w:p>
    <w:p w14:paraId="783BDB94" w14:textId="77777777" w:rsidR="00183AF1" w:rsidRPr="00183AF1" w:rsidRDefault="00183AF1" w:rsidP="00183AF1">
      <w:pPr>
        <w:rPr>
          <w:sz w:val="2"/>
          <w:szCs w:val="2"/>
          <w:lang w:eastAsia="pl-PL"/>
        </w:rPr>
      </w:pPr>
    </w:p>
    <w:p w14:paraId="29026E1F" w14:textId="77777777" w:rsidR="00183AF1" w:rsidRPr="00183AF1" w:rsidRDefault="00183AF1" w:rsidP="00183AF1">
      <w:pPr>
        <w:rPr>
          <w:sz w:val="2"/>
          <w:szCs w:val="2"/>
          <w:lang w:eastAsia="pl-PL"/>
        </w:rPr>
      </w:pPr>
    </w:p>
    <w:p w14:paraId="19335A52" w14:textId="77777777" w:rsidR="00183AF1" w:rsidRPr="00183AF1" w:rsidRDefault="00183AF1" w:rsidP="00183AF1">
      <w:pPr>
        <w:rPr>
          <w:sz w:val="2"/>
          <w:szCs w:val="2"/>
          <w:lang w:eastAsia="pl-PL"/>
        </w:rPr>
      </w:pPr>
    </w:p>
    <w:p w14:paraId="006B81AA" w14:textId="77777777" w:rsidR="00183AF1" w:rsidRPr="00183AF1" w:rsidRDefault="00183AF1" w:rsidP="00183AF1">
      <w:pPr>
        <w:rPr>
          <w:sz w:val="2"/>
          <w:szCs w:val="2"/>
          <w:lang w:eastAsia="pl-PL"/>
        </w:rPr>
      </w:pPr>
    </w:p>
    <w:p w14:paraId="156404AB" w14:textId="77777777" w:rsidR="00183AF1" w:rsidRPr="00183AF1" w:rsidRDefault="00183AF1" w:rsidP="00183AF1">
      <w:pPr>
        <w:rPr>
          <w:sz w:val="2"/>
          <w:szCs w:val="2"/>
          <w:lang w:eastAsia="pl-PL"/>
        </w:rPr>
      </w:pPr>
    </w:p>
    <w:p w14:paraId="4A9D1F0F" w14:textId="77777777" w:rsidR="00183AF1" w:rsidRPr="00183AF1" w:rsidRDefault="00183AF1" w:rsidP="00183AF1">
      <w:pPr>
        <w:rPr>
          <w:sz w:val="2"/>
          <w:szCs w:val="2"/>
          <w:lang w:eastAsia="pl-PL"/>
        </w:rPr>
      </w:pPr>
    </w:p>
    <w:p w14:paraId="642B4D4F" w14:textId="77777777" w:rsidR="00183AF1" w:rsidRPr="00183AF1" w:rsidRDefault="00183AF1" w:rsidP="00183AF1">
      <w:pPr>
        <w:rPr>
          <w:sz w:val="2"/>
          <w:szCs w:val="2"/>
          <w:lang w:eastAsia="pl-PL"/>
        </w:rPr>
      </w:pPr>
    </w:p>
    <w:p w14:paraId="33A96467" w14:textId="77777777" w:rsidR="00183AF1" w:rsidRPr="00183AF1" w:rsidRDefault="00183AF1" w:rsidP="00183AF1">
      <w:pPr>
        <w:rPr>
          <w:sz w:val="2"/>
          <w:szCs w:val="2"/>
          <w:lang w:eastAsia="pl-PL"/>
        </w:rPr>
      </w:pPr>
    </w:p>
    <w:p w14:paraId="5F1B6046" w14:textId="77777777" w:rsidR="00183AF1" w:rsidRPr="00183AF1" w:rsidRDefault="00183AF1" w:rsidP="00183AF1">
      <w:pPr>
        <w:rPr>
          <w:sz w:val="2"/>
          <w:szCs w:val="2"/>
          <w:lang w:eastAsia="pl-PL"/>
        </w:rPr>
      </w:pPr>
    </w:p>
    <w:p w14:paraId="6B61692B" w14:textId="77777777" w:rsidR="00183AF1" w:rsidRPr="00183AF1" w:rsidRDefault="00183AF1" w:rsidP="00183AF1">
      <w:pPr>
        <w:rPr>
          <w:sz w:val="2"/>
          <w:szCs w:val="2"/>
          <w:lang w:eastAsia="pl-PL"/>
        </w:rPr>
      </w:pPr>
    </w:p>
    <w:p w14:paraId="62230F81" w14:textId="77777777" w:rsidR="00183AF1" w:rsidRPr="00183AF1" w:rsidRDefault="00183AF1" w:rsidP="00183AF1">
      <w:pPr>
        <w:rPr>
          <w:sz w:val="2"/>
          <w:szCs w:val="2"/>
          <w:lang w:eastAsia="pl-PL"/>
        </w:rPr>
      </w:pPr>
    </w:p>
    <w:p w14:paraId="61203BB4" w14:textId="77777777" w:rsidR="00183AF1" w:rsidRPr="00183AF1" w:rsidRDefault="00183AF1" w:rsidP="00183AF1">
      <w:pPr>
        <w:rPr>
          <w:sz w:val="2"/>
          <w:szCs w:val="2"/>
          <w:lang w:eastAsia="pl-PL"/>
        </w:rPr>
      </w:pPr>
    </w:p>
    <w:p w14:paraId="75915988" w14:textId="77777777" w:rsidR="00183AF1" w:rsidRPr="00183AF1" w:rsidRDefault="00183AF1" w:rsidP="00183AF1">
      <w:pPr>
        <w:rPr>
          <w:sz w:val="2"/>
          <w:szCs w:val="2"/>
          <w:lang w:eastAsia="pl-PL"/>
        </w:rPr>
      </w:pPr>
    </w:p>
    <w:p w14:paraId="6FB7CDD4" w14:textId="77777777" w:rsidR="00183AF1" w:rsidRPr="00183AF1" w:rsidRDefault="00183AF1" w:rsidP="00183AF1">
      <w:pPr>
        <w:rPr>
          <w:sz w:val="2"/>
          <w:szCs w:val="2"/>
          <w:lang w:eastAsia="pl-PL"/>
        </w:rPr>
      </w:pPr>
    </w:p>
    <w:p w14:paraId="7C5F5ABD" w14:textId="77777777" w:rsidR="00183AF1" w:rsidRPr="00183AF1" w:rsidRDefault="00183AF1" w:rsidP="00183AF1">
      <w:pPr>
        <w:rPr>
          <w:sz w:val="2"/>
          <w:szCs w:val="2"/>
          <w:lang w:eastAsia="pl-PL"/>
        </w:rPr>
      </w:pPr>
    </w:p>
    <w:p w14:paraId="4EA958A7" w14:textId="77777777" w:rsidR="00183AF1" w:rsidRPr="00183AF1" w:rsidRDefault="00183AF1" w:rsidP="00183AF1">
      <w:pPr>
        <w:rPr>
          <w:sz w:val="2"/>
          <w:szCs w:val="2"/>
          <w:lang w:eastAsia="pl-PL"/>
        </w:rPr>
      </w:pPr>
    </w:p>
    <w:p w14:paraId="0672D786" w14:textId="77777777" w:rsidR="00183AF1" w:rsidRPr="00183AF1" w:rsidRDefault="00183AF1" w:rsidP="00183AF1">
      <w:pPr>
        <w:rPr>
          <w:sz w:val="2"/>
          <w:szCs w:val="2"/>
          <w:lang w:eastAsia="pl-PL"/>
        </w:rPr>
      </w:pPr>
    </w:p>
    <w:p w14:paraId="1831E8F2" w14:textId="77777777" w:rsidR="00183AF1" w:rsidRPr="00183AF1" w:rsidRDefault="00183AF1" w:rsidP="00183AF1">
      <w:pPr>
        <w:rPr>
          <w:sz w:val="2"/>
          <w:szCs w:val="2"/>
          <w:lang w:eastAsia="pl-PL"/>
        </w:rPr>
      </w:pPr>
    </w:p>
    <w:p w14:paraId="2F2C3AD5" w14:textId="77777777" w:rsidR="00183AF1" w:rsidRPr="00183AF1" w:rsidRDefault="00183AF1" w:rsidP="00183AF1">
      <w:pPr>
        <w:rPr>
          <w:sz w:val="2"/>
          <w:szCs w:val="2"/>
          <w:lang w:eastAsia="pl-PL"/>
        </w:rPr>
      </w:pPr>
    </w:p>
    <w:p w14:paraId="1142C925" w14:textId="77777777" w:rsidR="00183AF1" w:rsidRPr="00183AF1" w:rsidRDefault="00183AF1" w:rsidP="00183AF1">
      <w:pPr>
        <w:rPr>
          <w:sz w:val="2"/>
          <w:szCs w:val="2"/>
          <w:lang w:eastAsia="pl-PL"/>
        </w:rPr>
      </w:pPr>
    </w:p>
    <w:p w14:paraId="7C5A37B1" w14:textId="77777777" w:rsidR="00183AF1" w:rsidRPr="00183AF1" w:rsidRDefault="00183AF1" w:rsidP="00183AF1">
      <w:pPr>
        <w:rPr>
          <w:sz w:val="2"/>
          <w:szCs w:val="2"/>
          <w:lang w:eastAsia="pl-PL"/>
        </w:rPr>
      </w:pPr>
    </w:p>
    <w:p w14:paraId="19C7E688" w14:textId="77777777" w:rsidR="00183AF1" w:rsidRPr="00183AF1" w:rsidRDefault="00183AF1" w:rsidP="00183AF1">
      <w:pPr>
        <w:rPr>
          <w:sz w:val="2"/>
          <w:szCs w:val="2"/>
          <w:lang w:eastAsia="pl-PL"/>
        </w:rPr>
      </w:pPr>
    </w:p>
    <w:p w14:paraId="4CEC5E43" w14:textId="77777777" w:rsidR="00183AF1" w:rsidRPr="00183AF1" w:rsidRDefault="00183AF1" w:rsidP="00183AF1">
      <w:pPr>
        <w:rPr>
          <w:sz w:val="2"/>
          <w:szCs w:val="2"/>
          <w:lang w:eastAsia="pl-PL"/>
        </w:rPr>
      </w:pPr>
    </w:p>
    <w:p w14:paraId="63ADDC0F" w14:textId="77777777" w:rsidR="00183AF1" w:rsidRPr="00183AF1" w:rsidRDefault="00183AF1" w:rsidP="00183AF1">
      <w:pPr>
        <w:rPr>
          <w:sz w:val="2"/>
          <w:szCs w:val="2"/>
          <w:lang w:eastAsia="pl-PL"/>
        </w:rPr>
      </w:pPr>
    </w:p>
    <w:p w14:paraId="72E0FAE7" w14:textId="77777777" w:rsidR="00183AF1" w:rsidRPr="00183AF1" w:rsidRDefault="00183AF1" w:rsidP="00183AF1">
      <w:pPr>
        <w:rPr>
          <w:sz w:val="2"/>
          <w:szCs w:val="2"/>
          <w:lang w:eastAsia="pl-PL"/>
        </w:rPr>
      </w:pPr>
    </w:p>
    <w:p w14:paraId="5B536640" w14:textId="77777777" w:rsidR="00183AF1" w:rsidRPr="00183AF1" w:rsidRDefault="00183AF1" w:rsidP="00183AF1">
      <w:pPr>
        <w:rPr>
          <w:sz w:val="2"/>
          <w:szCs w:val="2"/>
          <w:lang w:eastAsia="pl-PL"/>
        </w:rPr>
      </w:pPr>
    </w:p>
    <w:p w14:paraId="2927F71F" w14:textId="77777777" w:rsidR="00183AF1" w:rsidRPr="00183AF1" w:rsidRDefault="00183AF1" w:rsidP="00183AF1">
      <w:pPr>
        <w:rPr>
          <w:sz w:val="2"/>
          <w:szCs w:val="2"/>
          <w:lang w:eastAsia="pl-PL"/>
        </w:rPr>
      </w:pPr>
    </w:p>
    <w:p w14:paraId="22B737FE" w14:textId="77777777" w:rsidR="00183AF1" w:rsidRPr="00183AF1" w:rsidRDefault="00183AF1" w:rsidP="00183AF1">
      <w:pPr>
        <w:rPr>
          <w:sz w:val="2"/>
          <w:szCs w:val="2"/>
          <w:lang w:eastAsia="pl-PL"/>
        </w:rPr>
      </w:pPr>
    </w:p>
    <w:p w14:paraId="15FB86AA" w14:textId="77777777" w:rsidR="00183AF1" w:rsidRPr="00183AF1" w:rsidRDefault="00183AF1" w:rsidP="00183AF1">
      <w:pPr>
        <w:rPr>
          <w:sz w:val="2"/>
          <w:szCs w:val="2"/>
          <w:lang w:eastAsia="pl-PL"/>
        </w:rPr>
      </w:pPr>
    </w:p>
    <w:p w14:paraId="1185190A" w14:textId="77777777" w:rsidR="00183AF1" w:rsidRPr="00183AF1" w:rsidRDefault="00183AF1" w:rsidP="00183AF1">
      <w:pPr>
        <w:rPr>
          <w:sz w:val="2"/>
          <w:szCs w:val="2"/>
          <w:lang w:eastAsia="pl-PL"/>
        </w:rPr>
      </w:pPr>
    </w:p>
    <w:p w14:paraId="397E8C4A" w14:textId="77777777" w:rsidR="00183AF1" w:rsidRPr="00183AF1" w:rsidRDefault="00183AF1" w:rsidP="00183AF1">
      <w:pPr>
        <w:rPr>
          <w:sz w:val="2"/>
          <w:szCs w:val="2"/>
          <w:lang w:eastAsia="pl-PL"/>
        </w:rPr>
      </w:pPr>
    </w:p>
    <w:p w14:paraId="04EAF5A0" w14:textId="77777777" w:rsidR="00183AF1" w:rsidRPr="00183AF1" w:rsidRDefault="00183AF1" w:rsidP="00183AF1">
      <w:pPr>
        <w:rPr>
          <w:sz w:val="2"/>
          <w:szCs w:val="2"/>
          <w:lang w:eastAsia="pl-PL"/>
        </w:rPr>
      </w:pPr>
    </w:p>
    <w:p w14:paraId="08D90C1A" w14:textId="77777777" w:rsidR="00183AF1" w:rsidRPr="00183AF1" w:rsidRDefault="00183AF1" w:rsidP="00183AF1">
      <w:pPr>
        <w:rPr>
          <w:sz w:val="2"/>
          <w:szCs w:val="2"/>
          <w:lang w:eastAsia="pl-PL"/>
        </w:rPr>
      </w:pPr>
    </w:p>
    <w:p w14:paraId="0B9D8CF2" w14:textId="77777777" w:rsidR="00183AF1" w:rsidRPr="00183AF1" w:rsidRDefault="00183AF1" w:rsidP="00183AF1">
      <w:pPr>
        <w:rPr>
          <w:sz w:val="2"/>
          <w:szCs w:val="2"/>
          <w:lang w:eastAsia="pl-PL"/>
        </w:rPr>
      </w:pPr>
    </w:p>
    <w:p w14:paraId="216B0E5A" w14:textId="77777777" w:rsidR="00183AF1" w:rsidRPr="00183AF1" w:rsidRDefault="00183AF1" w:rsidP="00183AF1">
      <w:pPr>
        <w:rPr>
          <w:sz w:val="2"/>
          <w:szCs w:val="2"/>
          <w:lang w:eastAsia="pl-PL"/>
        </w:rPr>
      </w:pPr>
    </w:p>
    <w:p w14:paraId="0F5A14D0" w14:textId="77777777" w:rsidR="00183AF1" w:rsidRPr="00183AF1" w:rsidRDefault="00183AF1" w:rsidP="00183AF1">
      <w:pPr>
        <w:rPr>
          <w:sz w:val="2"/>
          <w:szCs w:val="2"/>
          <w:lang w:eastAsia="pl-PL"/>
        </w:rPr>
      </w:pPr>
    </w:p>
    <w:p w14:paraId="7B2DDEEB" w14:textId="77777777" w:rsidR="00183AF1" w:rsidRPr="006E4DFC" w:rsidRDefault="00183AF1" w:rsidP="006E4DFC">
      <w:pPr>
        <w:rPr>
          <w:sz w:val="2"/>
          <w:szCs w:val="2"/>
        </w:rPr>
      </w:pPr>
    </w:p>
    <w:sectPr w:rsidR="00183AF1" w:rsidRPr="006E4DFC" w:rsidSect="006E4DFC">
      <w:pgSz w:w="16838" w:h="11906" w:orient="landscape"/>
      <w:pgMar w:top="720" w:right="567" w:bottom="709" w:left="567"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8A10" w14:textId="77777777" w:rsidR="002D0EE7" w:rsidRDefault="002D0EE7" w:rsidP="00044739">
      <w:pPr>
        <w:spacing w:line="240" w:lineRule="auto"/>
      </w:pPr>
      <w:r>
        <w:separator/>
      </w:r>
    </w:p>
  </w:endnote>
  <w:endnote w:type="continuationSeparator" w:id="0">
    <w:p w14:paraId="2CCE811C" w14:textId="77777777" w:rsidR="002D0EE7" w:rsidRDefault="002D0EE7"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cumin Pro Condensed Medium">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265B4" w14:textId="77777777" w:rsidR="002D0EE7" w:rsidRDefault="002D0EE7" w:rsidP="00044739">
      <w:pPr>
        <w:spacing w:line="240" w:lineRule="auto"/>
      </w:pPr>
      <w:r>
        <w:separator/>
      </w:r>
    </w:p>
  </w:footnote>
  <w:footnote w:type="continuationSeparator" w:id="0">
    <w:p w14:paraId="2DB2493F" w14:textId="77777777" w:rsidR="002D0EE7" w:rsidRDefault="002D0EE7"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21D4"/>
    <w:multiLevelType w:val="hybridMultilevel"/>
    <w:tmpl w:val="2374A412"/>
    <w:lvl w:ilvl="0" w:tplc="077C616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120309"/>
    <w:multiLevelType w:val="hybridMultilevel"/>
    <w:tmpl w:val="1E3E72D8"/>
    <w:lvl w:ilvl="0" w:tplc="B82618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4792E"/>
    <w:multiLevelType w:val="hybridMultilevel"/>
    <w:tmpl w:val="9E0A6D0C"/>
    <w:lvl w:ilvl="0" w:tplc="D3FE4AD8">
      <w:start w:val="1"/>
      <w:numFmt w:val="bullet"/>
      <w:lvlText w:val=""/>
      <w:lvlJc w:val="left"/>
      <w:pPr>
        <w:ind w:left="720" w:hanging="360"/>
      </w:pPr>
      <w:rPr>
        <w:rFonts w:ascii="Symbol" w:hAnsi="Symbol" w:hint="default"/>
      </w:rPr>
    </w:lvl>
    <w:lvl w:ilvl="1" w:tplc="F6466A92">
      <w:numFmt w:val="bullet"/>
      <w:lvlText w:val="•"/>
      <w:lvlJc w:val="left"/>
      <w:pPr>
        <w:ind w:left="1440" w:hanging="360"/>
      </w:pPr>
      <w:rPr>
        <w:rFonts w:ascii="Times New Roman" w:eastAsia="Calibr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484423"/>
    <w:multiLevelType w:val="multilevel"/>
    <w:tmpl w:val="65EA2438"/>
    <w:styleLink w:val="Biecalista1"/>
    <w:lvl w:ilvl="0">
      <w:start w:val="1"/>
      <w:numFmt w:val="decimal"/>
      <w:lvlText w:val="%1."/>
      <w:lvlJc w:val="left"/>
      <w:pPr>
        <w:ind w:left="851" w:hanging="49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4D010B"/>
    <w:multiLevelType w:val="hybridMultilevel"/>
    <w:tmpl w:val="946422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551343B"/>
    <w:multiLevelType w:val="hybridMultilevel"/>
    <w:tmpl w:val="E5C2C4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7876F9D"/>
    <w:multiLevelType w:val="hybridMultilevel"/>
    <w:tmpl w:val="51CA05D0"/>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D53665"/>
    <w:multiLevelType w:val="hybridMultilevel"/>
    <w:tmpl w:val="E5C2C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C8218E1"/>
    <w:multiLevelType w:val="hybridMultilevel"/>
    <w:tmpl w:val="410CF3C8"/>
    <w:lvl w:ilvl="0" w:tplc="727CA1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55E65"/>
    <w:multiLevelType w:val="hybridMultilevel"/>
    <w:tmpl w:val="406E36D0"/>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F33288"/>
    <w:multiLevelType w:val="hybridMultilevel"/>
    <w:tmpl w:val="0F6E6D5E"/>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7C4BFC"/>
    <w:multiLevelType w:val="hybridMultilevel"/>
    <w:tmpl w:val="D93EB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84E5C"/>
    <w:multiLevelType w:val="hybridMultilevel"/>
    <w:tmpl w:val="B05C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E2FB2"/>
    <w:multiLevelType w:val="hybridMultilevel"/>
    <w:tmpl w:val="D3307DC2"/>
    <w:lvl w:ilvl="0" w:tplc="9DBE103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D73D1"/>
    <w:multiLevelType w:val="hybridMultilevel"/>
    <w:tmpl w:val="DA92D6DA"/>
    <w:lvl w:ilvl="0" w:tplc="FFFFFFFF">
      <w:start w:val="1"/>
      <w:numFmt w:val="upperRoman"/>
      <w:lvlText w:val="%1."/>
      <w:lvlJc w:val="righ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E3444A"/>
    <w:multiLevelType w:val="hybridMultilevel"/>
    <w:tmpl w:val="2F868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777B2F"/>
    <w:multiLevelType w:val="hybridMultilevel"/>
    <w:tmpl w:val="24346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0" w15:restartNumberingAfterBreak="0">
    <w:nsid w:val="148F70A5"/>
    <w:multiLevelType w:val="hybridMultilevel"/>
    <w:tmpl w:val="6A0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18006B"/>
    <w:multiLevelType w:val="hybridMultilevel"/>
    <w:tmpl w:val="2FEE0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B32558"/>
    <w:multiLevelType w:val="hybridMultilevel"/>
    <w:tmpl w:val="2430A6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A42983"/>
    <w:multiLevelType w:val="hybridMultilevel"/>
    <w:tmpl w:val="A1D4ADD8"/>
    <w:lvl w:ilvl="0" w:tplc="D102F33E">
      <w:start w:val="1"/>
      <w:numFmt w:val="lowerLetter"/>
      <w:lvlText w:val="1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2625DA"/>
    <w:multiLevelType w:val="hybridMultilevel"/>
    <w:tmpl w:val="A1CEF2B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E2E0CD2"/>
    <w:multiLevelType w:val="hybridMultilevel"/>
    <w:tmpl w:val="2C6EC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6C2A6F"/>
    <w:multiLevelType w:val="hybridMultilevel"/>
    <w:tmpl w:val="39C239AC"/>
    <w:lvl w:ilvl="0" w:tplc="F08CBFC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20B16514"/>
    <w:multiLevelType w:val="hybridMultilevel"/>
    <w:tmpl w:val="EAE050D8"/>
    <w:lvl w:ilvl="0" w:tplc="831A07F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C6611C"/>
    <w:multiLevelType w:val="hybridMultilevel"/>
    <w:tmpl w:val="541E89D6"/>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31"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33" w15:restartNumberingAfterBreak="0">
    <w:nsid w:val="22EC6CD5"/>
    <w:multiLevelType w:val="hybridMultilevel"/>
    <w:tmpl w:val="4F8E4B7C"/>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6315319"/>
    <w:multiLevelType w:val="hybridMultilevel"/>
    <w:tmpl w:val="6B24D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494319"/>
    <w:multiLevelType w:val="hybridMultilevel"/>
    <w:tmpl w:val="B9B6FAEA"/>
    <w:lvl w:ilvl="0" w:tplc="907C8B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862041B"/>
    <w:multiLevelType w:val="hybridMultilevel"/>
    <w:tmpl w:val="406E36D0"/>
    <w:lvl w:ilvl="0" w:tplc="98C8988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C9433C"/>
    <w:multiLevelType w:val="hybridMultilevel"/>
    <w:tmpl w:val="EC4E2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CC2D8D"/>
    <w:multiLevelType w:val="hybridMultilevel"/>
    <w:tmpl w:val="F0104656"/>
    <w:lvl w:ilvl="0" w:tplc="FFFFFFFF">
      <w:start w:val="1"/>
      <w:numFmt w:val="lowerLetter"/>
      <w:lvlText w:val="13%1."/>
      <w:lvlJc w:val="left"/>
      <w:pPr>
        <w:ind w:left="851" w:hanging="491"/>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062E44"/>
    <w:multiLevelType w:val="hybridMultilevel"/>
    <w:tmpl w:val="51488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5623B"/>
    <w:multiLevelType w:val="hybridMultilevel"/>
    <w:tmpl w:val="5B702F84"/>
    <w:lvl w:ilvl="0" w:tplc="D912390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054A2C"/>
    <w:multiLevelType w:val="hybridMultilevel"/>
    <w:tmpl w:val="6B784674"/>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43" w15:restartNumberingAfterBreak="0">
    <w:nsid w:val="323C5ABF"/>
    <w:multiLevelType w:val="hybridMultilevel"/>
    <w:tmpl w:val="E5C2C4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3032738"/>
    <w:multiLevelType w:val="hybridMultilevel"/>
    <w:tmpl w:val="DA14B678"/>
    <w:lvl w:ilvl="0" w:tplc="04150011">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5" w15:restartNumberingAfterBreak="0">
    <w:nsid w:val="34723022"/>
    <w:multiLevelType w:val="hybridMultilevel"/>
    <w:tmpl w:val="24A8A0DA"/>
    <w:lvl w:ilvl="0" w:tplc="12D00A46">
      <w:start w:val="1"/>
      <w:numFmt w:val="decimal"/>
      <w:lvlText w:val="%1."/>
      <w:lvlJc w:val="left"/>
      <w:pPr>
        <w:ind w:left="851" w:hanging="491"/>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EF0577"/>
    <w:multiLevelType w:val="hybridMultilevel"/>
    <w:tmpl w:val="DC24F6FE"/>
    <w:lvl w:ilvl="0" w:tplc="D3FE4A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6F1845"/>
    <w:multiLevelType w:val="hybridMultilevel"/>
    <w:tmpl w:val="87D47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8BD7536"/>
    <w:multiLevelType w:val="hybridMultilevel"/>
    <w:tmpl w:val="81A0413C"/>
    <w:lvl w:ilvl="0" w:tplc="3CFE51A4">
      <w:start w:val="1"/>
      <w:numFmt w:val="lowerLetter"/>
      <w:lvlText w:val="12%1."/>
      <w:lvlJc w:val="left"/>
      <w:pPr>
        <w:ind w:left="851" w:hanging="49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C32818"/>
    <w:multiLevelType w:val="hybridMultilevel"/>
    <w:tmpl w:val="D3D89DB6"/>
    <w:lvl w:ilvl="0" w:tplc="041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2"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53" w15:restartNumberingAfterBreak="0">
    <w:nsid w:val="3C0019BD"/>
    <w:multiLevelType w:val="hybridMultilevel"/>
    <w:tmpl w:val="5F768A44"/>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54" w15:restartNumberingAfterBreak="0">
    <w:nsid w:val="3E255169"/>
    <w:multiLevelType w:val="hybridMultilevel"/>
    <w:tmpl w:val="019E7FFA"/>
    <w:lvl w:ilvl="0" w:tplc="1774464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C810F2"/>
    <w:multiLevelType w:val="hybridMultilevel"/>
    <w:tmpl w:val="1862EE2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D75A8C"/>
    <w:multiLevelType w:val="hybridMultilevel"/>
    <w:tmpl w:val="F26A6DD2"/>
    <w:lvl w:ilvl="0" w:tplc="F1169E1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792635"/>
    <w:multiLevelType w:val="hybridMultilevel"/>
    <w:tmpl w:val="E1946FC6"/>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8" w15:restartNumberingAfterBreak="0">
    <w:nsid w:val="42E629E9"/>
    <w:multiLevelType w:val="hybridMultilevel"/>
    <w:tmpl w:val="4372FC82"/>
    <w:lvl w:ilvl="0" w:tplc="1DDABB2E">
      <w:start w:val="1"/>
      <w:numFmt w:val="lowerLetter"/>
      <w:lvlText w:val="16%1."/>
      <w:lvlJc w:val="left"/>
      <w:pPr>
        <w:ind w:left="851" w:hanging="49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3170FFE"/>
    <w:multiLevelType w:val="hybridMultilevel"/>
    <w:tmpl w:val="903A769C"/>
    <w:lvl w:ilvl="0" w:tplc="831A07F2">
      <w:start w:val="16"/>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60" w15:restartNumberingAfterBreak="0">
    <w:nsid w:val="43246E72"/>
    <w:multiLevelType w:val="hybridMultilevel"/>
    <w:tmpl w:val="9B348E4A"/>
    <w:lvl w:ilvl="0" w:tplc="0415000F">
      <w:start w:val="1"/>
      <w:numFmt w:val="decimal"/>
      <w:lvlText w:val="%1."/>
      <w:lvlJc w:val="left"/>
      <w:pPr>
        <w:ind w:left="851" w:hanging="49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54649BC"/>
    <w:multiLevelType w:val="hybridMultilevel"/>
    <w:tmpl w:val="0C62525A"/>
    <w:lvl w:ilvl="0" w:tplc="6BB8D67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B735FF"/>
    <w:multiLevelType w:val="hybridMultilevel"/>
    <w:tmpl w:val="826A893E"/>
    <w:lvl w:ilvl="0" w:tplc="BCF458D4">
      <w:start w:val="3"/>
      <w:numFmt w:val="upperRoman"/>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463B13"/>
    <w:multiLevelType w:val="hybridMultilevel"/>
    <w:tmpl w:val="1D4660B4"/>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4"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77051DD"/>
    <w:multiLevelType w:val="hybridMultilevel"/>
    <w:tmpl w:val="873EBD22"/>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78B5230"/>
    <w:multiLevelType w:val="hybridMultilevel"/>
    <w:tmpl w:val="E628399C"/>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7" w15:restartNumberingAfterBreak="0">
    <w:nsid w:val="489A7FFE"/>
    <w:multiLevelType w:val="hybridMultilevel"/>
    <w:tmpl w:val="2E5E36B4"/>
    <w:lvl w:ilvl="0" w:tplc="D14E2E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116002"/>
    <w:multiLevelType w:val="hybridMultilevel"/>
    <w:tmpl w:val="05307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70" w15:restartNumberingAfterBreak="0">
    <w:nsid w:val="4C42579A"/>
    <w:multiLevelType w:val="hybridMultilevel"/>
    <w:tmpl w:val="914812E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C5E76E1"/>
    <w:multiLevelType w:val="hybridMultilevel"/>
    <w:tmpl w:val="D51C2106"/>
    <w:lvl w:ilvl="0" w:tplc="527CDDC4">
      <w:start w:val="1"/>
      <w:numFmt w:val="bullet"/>
      <w:lvlText w:val=""/>
      <w:lvlJc w:val="left"/>
      <w:pPr>
        <w:ind w:left="720" w:hanging="360"/>
      </w:pPr>
      <w:rPr>
        <w:rFonts w:ascii="Symbol" w:hAnsi="Symbol" w:hint="default"/>
      </w:rPr>
    </w:lvl>
    <w:lvl w:ilvl="1" w:tplc="20C8079A">
      <w:start w:val="1"/>
      <w:numFmt w:val="bullet"/>
      <w:lvlText w:val="o"/>
      <w:lvlJc w:val="left"/>
      <w:pPr>
        <w:ind w:left="1440" w:hanging="360"/>
      </w:pPr>
      <w:rPr>
        <w:rFonts w:ascii="Courier New" w:hAnsi="Courier New" w:cs="Courier New" w:hint="default"/>
      </w:rPr>
    </w:lvl>
    <w:lvl w:ilvl="2" w:tplc="E58833EA">
      <w:start w:val="1"/>
      <w:numFmt w:val="bullet"/>
      <w:lvlText w:val=""/>
      <w:lvlJc w:val="left"/>
      <w:pPr>
        <w:ind w:left="2160" w:hanging="360"/>
      </w:pPr>
      <w:rPr>
        <w:rFonts w:ascii="Wingdings" w:hAnsi="Wingdings" w:hint="default"/>
      </w:rPr>
    </w:lvl>
    <w:lvl w:ilvl="3" w:tplc="F2483C04">
      <w:start w:val="1"/>
      <w:numFmt w:val="bullet"/>
      <w:lvlText w:val=""/>
      <w:lvlJc w:val="left"/>
      <w:pPr>
        <w:ind w:left="2880" w:hanging="360"/>
      </w:pPr>
      <w:rPr>
        <w:rFonts w:ascii="Symbol" w:hAnsi="Symbol" w:hint="default"/>
      </w:rPr>
    </w:lvl>
    <w:lvl w:ilvl="4" w:tplc="F4F28C2C">
      <w:start w:val="1"/>
      <w:numFmt w:val="bullet"/>
      <w:lvlText w:val="o"/>
      <w:lvlJc w:val="left"/>
      <w:pPr>
        <w:ind w:left="3600" w:hanging="360"/>
      </w:pPr>
      <w:rPr>
        <w:rFonts w:ascii="Courier New" w:hAnsi="Courier New" w:cs="Courier New" w:hint="default"/>
      </w:rPr>
    </w:lvl>
    <w:lvl w:ilvl="5" w:tplc="E72C457E">
      <w:start w:val="1"/>
      <w:numFmt w:val="bullet"/>
      <w:lvlText w:val=""/>
      <w:lvlJc w:val="left"/>
      <w:pPr>
        <w:ind w:left="4320" w:hanging="360"/>
      </w:pPr>
      <w:rPr>
        <w:rFonts w:ascii="Wingdings" w:hAnsi="Wingdings" w:hint="default"/>
      </w:rPr>
    </w:lvl>
    <w:lvl w:ilvl="6" w:tplc="6DAE36EA">
      <w:start w:val="1"/>
      <w:numFmt w:val="bullet"/>
      <w:lvlText w:val=""/>
      <w:lvlJc w:val="left"/>
      <w:pPr>
        <w:ind w:left="5040" w:hanging="360"/>
      </w:pPr>
      <w:rPr>
        <w:rFonts w:ascii="Symbol" w:hAnsi="Symbol" w:hint="default"/>
      </w:rPr>
    </w:lvl>
    <w:lvl w:ilvl="7" w:tplc="016A8C74">
      <w:start w:val="1"/>
      <w:numFmt w:val="bullet"/>
      <w:lvlText w:val="o"/>
      <w:lvlJc w:val="left"/>
      <w:pPr>
        <w:ind w:left="5760" w:hanging="360"/>
      </w:pPr>
      <w:rPr>
        <w:rFonts w:ascii="Courier New" w:hAnsi="Courier New" w:cs="Courier New" w:hint="default"/>
      </w:rPr>
    </w:lvl>
    <w:lvl w:ilvl="8" w:tplc="C62AAF62">
      <w:start w:val="1"/>
      <w:numFmt w:val="bullet"/>
      <w:lvlText w:val=""/>
      <w:lvlJc w:val="left"/>
      <w:pPr>
        <w:ind w:left="6480" w:hanging="360"/>
      </w:pPr>
      <w:rPr>
        <w:rFonts w:ascii="Wingdings" w:hAnsi="Wingdings" w:hint="default"/>
      </w:rPr>
    </w:lvl>
  </w:abstractNum>
  <w:abstractNum w:abstractNumId="72" w15:restartNumberingAfterBreak="0">
    <w:nsid w:val="4C6C04AF"/>
    <w:multiLevelType w:val="hybridMultilevel"/>
    <w:tmpl w:val="9C923198"/>
    <w:lvl w:ilvl="0" w:tplc="FFFFFFFF">
      <w:start w:val="1"/>
      <w:numFmt w:val="upperRoman"/>
      <w:lvlText w:val="%1."/>
      <w:lvlJc w:val="righ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CCA1DA2"/>
    <w:multiLevelType w:val="hybridMultilevel"/>
    <w:tmpl w:val="A44690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2C2499"/>
    <w:multiLevelType w:val="hybridMultilevel"/>
    <w:tmpl w:val="1EE8EB5C"/>
    <w:lvl w:ilvl="0" w:tplc="04150013">
      <w:start w:val="1"/>
      <w:numFmt w:val="upperRoman"/>
      <w:lvlText w:val="%1."/>
      <w:lvlJc w:val="righ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E2470D"/>
    <w:multiLevelType w:val="hybridMultilevel"/>
    <w:tmpl w:val="3CBA0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77" w15:restartNumberingAfterBreak="0">
    <w:nsid w:val="52C93AD3"/>
    <w:multiLevelType w:val="hybridMultilevel"/>
    <w:tmpl w:val="153AB838"/>
    <w:lvl w:ilvl="0" w:tplc="3A1E0E2C">
      <w:start w:val="1"/>
      <w:numFmt w:val="lowerLetter"/>
      <w:lvlText w:val="12%1."/>
      <w:lvlJc w:val="left"/>
      <w:pPr>
        <w:ind w:left="851" w:hanging="49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3470C0F"/>
    <w:multiLevelType w:val="hybridMultilevel"/>
    <w:tmpl w:val="F3E092AC"/>
    <w:lvl w:ilvl="0" w:tplc="105E3A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4B233A"/>
    <w:multiLevelType w:val="hybridMultilevel"/>
    <w:tmpl w:val="49886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7C3DBA"/>
    <w:multiLevelType w:val="hybridMultilevel"/>
    <w:tmpl w:val="92E2875E"/>
    <w:lvl w:ilvl="0" w:tplc="361E7042">
      <w:start w:val="1"/>
      <w:numFmt w:val="lowerLetter"/>
      <w:lvlText w:val="13%1."/>
      <w:lvlJc w:val="left"/>
      <w:pPr>
        <w:ind w:left="851" w:hanging="491"/>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C24579"/>
    <w:multiLevelType w:val="hybridMultilevel"/>
    <w:tmpl w:val="ED5471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83" w15:restartNumberingAfterBreak="0">
    <w:nsid w:val="59CE7AEA"/>
    <w:multiLevelType w:val="hybridMultilevel"/>
    <w:tmpl w:val="C9E2A17E"/>
    <w:lvl w:ilvl="0" w:tplc="63B80562">
      <w:start w:val="1"/>
      <w:numFmt w:val="lowerLetter"/>
      <w:lvlText w:val="16%1."/>
      <w:lvlJc w:val="left"/>
      <w:pPr>
        <w:ind w:left="851" w:hanging="4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6F47E4"/>
    <w:multiLevelType w:val="hybridMultilevel"/>
    <w:tmpl w:val="CD4EE5E2"/>
    <w:lvl w:ilvl="0" w:tplc="D102F33E">
      <w:start w:val="1"/>
      <w:numFmt w:val="lowerLetter"/>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F027AB"/>
    <w:multiLevelType w:val="hybridMultilevel"/>
    <w:tmpl w:val="F8F0D18A"/>
    <w:lvl w:ilvl="0" w:tplc="8506BE42">
      <w:start w:val="18"/>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9A1771"/>
    <w:multiLevelType w:val="hybridMultilevel"/>
    <w:tmpl w:val="C466FFF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5E2A2CE1"/>
    <w:multiLevelType w:val="hybridMultilevel"/>
    <w:tmpl w:val="DEF04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90" w15:restartNumberingAfterBreak="0">
    <w:nsid w:val="60E042C9"/>
    <w:multiLevelType w:val="hybridMultilevel"/>
    <w:tmpl w:val="F0104656"/>
    <w:lvl w:ilvl="0" w:tplc="0CCC6DDA">
      <w:start w:val="1"/>
      <w:numFmt w:val="lowerLetter"/>
      <w:lvlText w:val="13%1."/>
      <w:lvlJc w:val="left"/>
      <w:pPr>
        <w:ind w:left="851" w:hanging="491"/>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12F207D"/>
    <w:multiLevelType w:val="hybridMultilevel"/>
    <w:tmpl w:val="F0104656"/>
    <w:lvl w:ilvl="0" w:tplc="FFFFFFFF">
      <w:start w:val="1"/>
      <w:numFmt w:val="lowerLetter"/>
      <w:lvlText w:val="13%1."/>
      <w:lvlJc w:val="left"/>
      <w:pPr>
        <w:ind w:left="851" w:hanging="491"/>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66343E"/>
    <w:multiLevelType w:val="hybridMultilevel"/>
    <w:tmpl w:val="E728A8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95" w15:restartNumberingAfterBreak="0">
    <w:nsid w:val="62F80EF7"/>
    <w:multiLevelType w:val="hybridMultilevel"/>
    <w:tmpl w:val="B1466470"/>
    <w:lvl w:ilvl="0" w:tplc="9AEE02EA">
      <w:start w:val="14"/>
      <w:numFmt w:val="decimal"/>
      <w:lvlText w:val="%1."/>
      <w:lvlJc w:val="left"/>
      <w:pPr>
        <w:ind w:left="851" w:hanging="4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FA5A96"/>
    <w:multiLevelType w:val="hybridMultilevel"/>
    <w:tmpl w:val="00EC9D5A"/>
    <w:lvl w:ilvl="0" w:tplc="D3FE4A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3F04542"/>
    <w:multiLevelType w:val="hybridMultilevel"/>
    <w:tmpl w:val="4F6A2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4026179"/>
    <w:multiLevelType w:val="hybridMultilevel"/>
    <w:tmpl w:val="E5C2C4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64090B99"/>
    <w:multiLevelType w:val="hybridMultilevel"/>
    <w:tmpl w:val="4F8E4B7C"/>
    <w:lvl w:ilvl="0" w:tplc="4BE2A5D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DB6AF5"/>
    <w:multiLevelType w:val="hybridMultilevel"/>
    <w:tmpl w:val="6936C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0A49B3"/>
    <w:multiLevelType w:val="hybridMultilevel"/>
    <w:tmpl w:val="CBECCA9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403CCB"/>
    <w:multiLevelType w:val="hybridMultilevel"/>
    <w:tmpl w:val="08480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CC3A8B"/>
    <w:multiLevelType w:val="hybridMultilevel"/>
    <w:tmpl w:val="6E4835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4" w15:restartNumberingAfterBreak="0">
    <w:nsid w:val="69CC1162"/>
    <w:multiLevelType w:val="hybridMultilevel"/>
    <w:tmpl w:val="246E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AB74463"/>
    <w:multiLevelType w:val="hybridMultilevel"/>
    <w:tmpl w:val="3C7E2CC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15:restartNumberingAfterBreak="0">
    <w:nsid w:val="6BBB39EB"/>
    <w:multiLevelType w:val="hybridMultilevel"/>
    <w:tmpl w:val="0F6E6D5E"/>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CC51371"/>
    <w:multiLevelType w:val="hybridMultilevel"/>
    <w:tmpl w:val="784EBEA6"/>
    <w:lvl w:ilvl="0" w:tplc="A0CAFF8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A7722A"/>
    <w:multiLevelType w:val="hybridMultilevel"/>
    <w:tmpl w:val="E886E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DD857EE"/>
    <w:multiLevelType w:val="hybridMultilevel"/>
    <w:tmpl w:val="E0603EC8"/>
    <w:lvl w:ilvl="0" w:tplc="302C7F58">
      <w:start w:val="1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6ECD0947"/>
    <w:multiLevelType w:val="hybridMultilevel"/>
    <w:tmpl w:val="796CC924"/>
    <w:lvl w:ilvl="0" w:tplc="D0AAADB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70763842"/>
    <w:multiLevelType w:val="hybridMultilevel"/>
    <w:tmpl w:val="04EE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1629EE"/>
    <w:multiLevelType w:val="hybridMultilevel"/>
    <w:tmpl w:val="B13E2866"/>
    <w:lvl w:ilvl="0" w:tplc="A224C052">
      <w:start w:val="18"/>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FA57DB"/>
    <w:multiLevelType w:val="hybridMultilevel"/>
    <w:tmpl w:val="2FEE0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2FC00AF"/>
    <w:multiLevelType w:val="hybridMultilevel"/>
    <w:tmpl w:val="CBECCA9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30E216C"/>
    <w:multiLevelType w:val="hybridMultilevel"/>
    <w:tmpl w:val="C5027F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34D2E0C"/>
    <w:multiLevelType w:val="hybridMultilevel"/>
    <w:tmpl w:val="30EC4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62405AF"/>
    <w:multiLevelType w:val="multilevel"/>
    <w:tmpl w:val="0415001F"/>
    <w:lvl w:ilvl="0">
      <w:start w:val="1"/>
      <w:numFmt w:val="decimal"/>
      <w:lvlText w:val="%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19" w15:restartNumberingAfterBreak="0">
    <w:nsid w:val="77391A40"/>
    <w:multiLevelType w:val="hybridMultilevel"/>
    <w:tmpl w:val="0930D1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2E2384"/>
    <w:multiLevelType w:val="hybridMultilevel"/>
    <w:tmpl w:val="6EAEA748"/>
    <w:lvl w:ilvl="0" w:tplc="B2AC0D3A">
      <w:start w:val="14"/>
      <w:numFmt w:val="decimal"/>
      <w:lvlText w:val="%1."/>
      <w:lvlJc w:val="left"/>
      <w:pPr>
        <w:ind w:left="1571" w:hanging="49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8825E1"/>
    <w:multiLevelType w:val="hybridMultilevel"/>
    <w:tmpl w:val="9FE6E092"/>
    <w:lvl w:ilvl="0" w:tplc="054EE03C">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9F61D88"/>
    <w:multiLevelType w:val="hybridMultilevel"/>
    <w:tmpl w:val="E640B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7C407699"/>
    <w:multiLevelType w:val="hybridMultilevel"/>
    <w:tmpl w:val="3EFE06B4"/>
    <w:lvl w:ilvl="0" w:tplc="D6EC93F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DA20FE7"/>
    <w:multiLevelType w:val="hybridMultilevel"/>
    <w:tmpl w:val="0F6E6D5E"/>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BA120F"/>
    <w:multiLevelType w:val="hybridMultilevel"/>
    <w:tmpl w:val="E3141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DD533BA"/>
    <w:multiLevelType w:val="hybridMultilevel"/>
    <w:tmpl w:val="64021118"/>
    <w:lvl w:ilvl="0" w:tplc="E56E47A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F1068FB"/>
    <w:multiLevelType w:val="hybridMultilevel"/>
    <w:tmpl w:val="79BC8746"/>
    <w:lvl w:ilvl="0" w:tplc="D3FE4A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F79110A"/>
    <w:multiLevelType w:val="hybridMultilevel"/>
    <w:tmpl w:val="CBEE16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B34DB6"/>
    <w:multiLevelType w:val="hybridMultilevel"/>
    <w:tmpl w:val="E5C2C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FCA4A96"/>
    <w:multiLevelType w:val="hybridMultilevel"/>
    <w:tmpl w:val="54303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3520840">
    <w:abstractNumId w:val="27"/>
  </w:num>
  <w:num w:numId="2" w16cid:durableId="1870292273">
    <w:abstractNumId w:val="3"/>
  </w:num>
  <w:num w:numId="3" w16cid:durableId="1937863636">
    <w:abstractNumId w:val="49"/>
  </w:num>
  <w:num w:numId="4" w16cid:durableId="1344742223">
    <w:abstractNumId w:val="92"/>
  </w:num>
  <w:num w:numId="5" w16cid:durableId="1240292007">
    <w:abstractNumId w:val="10"/>
  </w:num>
  <w:num w:numId="6" w16cid:durableId="305205040">
    <w:abstractNumId w:val="35"/>
  </w:num>
  <w:num w:numId="7" w16cid:durableId="120154706">
    <w:abstractNumId w:val="64"/>
  </w:num>
  <w:num w:numId="8" w16cid:durableId="1038628241">
    <w:abstractNumId w:val="28"/>
  </w:num>
  <w:num w:numId="9" w16cid:durableId="1580561023">
    <w:abstractNumId w:val="76"/>
  </w:num>
  <w:num w:numId="10" w16cid:durableId="325404055">
    <w:abstractNumId w:val="52"/>
  </w:num>
  <w:num w:numId="11" w16cid:durableId="1948850824">
    <w:abstractNumId w:val="69"/>
  </w:num>
  <w:num w:numId="12" w16cid:durableId="663627985">
    <w:abstractNumId w:val="19"/>
  </w:num>
  <w:num w:numId="13" w16cid:durableId="2076051331">
    <w:abstractNumId w:val="51"/>
  </w:num>
  <w:num w:numId="14" w16cid:durableId="2013335836">
    <w:abstractNumId w:val="94"/>
  </w:num>
  <w:num w:numId="15" w16cid:durableId="1564102899">
    <w:abstractNumId w:val="82"/>
  </w:num>
  <w:num w:numId="16" w16cid:durableId="1290631038">
    <w:abstractNumId w:val="89"/>
  </w:num>
  <w:num w:numId="17" w16cid:durableId="983892057">
    <w:abstractNumId w:val="31"/>
  </w:num>
  <w:num w:numId="18" w16cid:durableId="1408922986">
    <w:abstractNumId w:val="111"/>
  </w:num>
  <w:num w:numId="19" w16cid:durableId="342974859">
    <w:abstractNumId w:val="123"/>
  </w:num>
  <w:num w:numId="20" w16cid:durableId="141771546">
    <w:abstractNumId w:val="87"/>
  </w:num>
  <w:num w:numId="21" w16cid:durableId="1042513699">
    <w:abstractNumId w:val="32"/>
  </w:num>
  <w:num w:numId="22" w16cid:durableId="180700761">
    <w:abstractNumId w:val="13"/>
  </w:num>
  <w:num w:numId="23" w16cid:durableId="404911113">
    <w:abstractNumId w:val="129"/>
  </w:num>
  <w:num w:numId="24" w16cid:durableId="397901456">
    <w:abstractNumId w:val="75"/>
  </w:num>
  <w:num w:numId="25" w16cid:durableId="1923682765">
    <w:abstractNumId w:val="44"/>
  </w:num>
  <w:num w:numId="26" w16cid:durableId="1601330341">
    <w:abstractNumId w:val="22"/>
  </w:num>
  <w:num w:numId="27" w16cid:durableId="1253780447">
    <w:abstractNumId w:val="18"/>
  </w:num>
  <w:num w:numId="28" w16cid:durableId="1620722838">
    <w:abstractNumId w:val="54"/>
  </w:num>
  <w:num w:numId="29" w16cid:durableId="1045715281">
    <w:abstractNumId w:val="40"/>
  </w:num>
  <w:num w:numId="30" w16cid:durableId="121192297">
    <w:abstractNumId w:val="122"/>
  </w:num>
  <w:num w:numId="31" w16cid:durableId="1676686960">
    <w:abstractNumId w:val="5"/>
  </w:num>
  <w:num w:numId="32" w16cid:durableId="1456831132">
    <w:abstractNumId w:val="30"/>
  </w:num>
  <w:num w:numId="33" w16cid:durableId="827600070">
    <w:abstractNumId w:val="42"/>
  </w:num>
  <w:num w:numId="34" w16cid:durableId="1076824749">
    <w:abstractNumId w:val="53"/>
  </w:num>
  <w:num w:numId="35" w16cid:durableId="1888905146">
    <w:abstractNumId w:val="118"/>
  </w:num>
  <w:num w:numId="36" w16cid:durableId="1489832138">
    <w:abstractNumId w:val="103"/>
  </w:num>
  <w:num w:numId="37" w16cid:durableId="2042122395">
    <w:abstractNumId w:val="65"/>
  </w:num>
  <w:num w:numId="38" w16cid:durableId="1125082009">
    <w:abstractNumId w:val="14"/>
  </w:num>
  <w:num w:numId="39" w16cid:durableId="842008966">
    <w:abstractNumId w:val="38"/>
  </w:num>
  <w:num w:numId="40" w16cid:durableId="1882748428">
    <w:abstractNumId w:val="20"/>
  </w:num>
  <w:num w:numId="41" w16cid:durableId="393969168">
    <w:abstractNumId w:val="7"/>
  </w:num>
  <w:num w:numId="42" w16cid:durableId="482045047">
    <w:abstractNumId w:val="24"/>
  </w:num>
  <w:num w:numId="43" w16cid:durableId="135091604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0574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1971190">
    <w:abstractNumId w:val="88"/>
  </w:num>
  <w:num w:numId="46" w16cid:durableId="1183130760">
    <w:abstractNumId w:val="9"/>
  </w:num>
  <w:num w:numId="47" w16cid:durableId="551498046">
    <w:abstractNumId w:val="57"/>
  </w:num>
  <w:num w:numId="48" w16cid:durableId="1336344748">
    <w:abstractNumId w:val="8"/>
  </w:num>
  <w:num w:numId="49" w16cid:durableId="800616658">
    <w:abstractNumId w:val="112"/>
  </w:num>
  <w:num w:numId="50" w16cid:durableId="1520436779">
    <w:abstractNumId w:val="100"/>
  </w:num>
  <w:num w:numId="51" w16cid:durableId="288509265">
    <w:abstractNumId w:val="97"/>
  </w:num>
  <w:num w:numId="52" w16cid:durableId="1807695916">
    <w:abstractNumId w:val="81"/>
  </w:num>
  <w:num w:numId="53" w16cid:durableId="143815594">
    <w:abstractNumId w:val="71"/>
  </w:num>
  <w:num w:numId="54" w16cid:durableId="1125778568">
    <w:abstractNumId w:val="96"/>
  </w:num>
  <w:num w:numId="55" w16cid:durableId="396438623">
    <w:abstractNumId w:val="2"/>
  </w:num>
  <w:num w:numId="56" w16cid:durableId="1401371552">
    <w:abstractNumId w:val="46"/>
  </w:num>
  <w:num w:numId="57" w16cid:durableId="1116368041">
    <w:abstractNumId w:val="6"/>
  </w:num>
  <w:num w:numId="58" w16cid:durableId="354037829">
    <w:abstractNumId w:val="34"/>
  </w:num>
  <w:num w:numId="59" w16cid:durableId="1845778091">
    <w:abstractNumId w:val="102"/>
  </w:num>
  <w:num w:numId="60" w16cid:durableId="742487387">
    <w:abstractNumId w:val="43"/>
  </w:num>
  <w:num w:numId="61" w16cid:durableId="511726993">
    <w:abstractNumId w:val="98"/>
  </w:num>
  <w:num w:numId="62" w16cid:durableId="1993874565">
    <w:abstractNumId w:val="63"/>
  </w:num>
  <w:num w:numId="63" w16cid:durableId="335765563">
    <w:abstractNumId w:val="117"/>
  </w:num>
  <w:num w:numId="64" w16cid:durableId="1826163480">
    <w:abstractNumId w:val="73"/>
  </w:num>
  <w:num w:numId="65" w16cid:durableId="1430732539">
    <w:abstractNumId w:val="66"/>
  </w:num>
  <w:num w:numId="66" w16cid:durableId="1495753850">
    <w:abstractNumId w:val="108"/>
  </w:num>
  <w:num w:numId="67" w16cid:durableId="1821458135">
    <w:abstractNumId w:val="131"/>
  </w:num>
  <w:num w:numId="68" w16cid:durableId="1309743982">
    <w:abstractNumId w:val="17"/>
  </w:num>
  <w:num w:numId="69" w16cid:durableId="2094624698">
    <w:abstractNumId w:val="128"/>
  </w:num>
  <w:num w:numId="70" w16cid:durableId="1062948226">
    <w:abstractNumId w:val="68"/>
  </w:num>
  <w:num w:numId="71" w16cid:durableId="383872022">
    <w:abstractNumId w:val="79"/>
  </w:num>
  <w:num w:numId="72" w16cid:durableId="565576018">
    <w:abstractNumId w:val="70"/>
  </w:num>
  <w:num w:numId="73" w16cid:durableId="1636637765">
    <w:abstractNumId w:val="50"/>
  </w:num>
  <w:num w:numId="74" w16cid:durableId="493490999">
    <w:abstractNumId w:val="45"/>
  </w:num>
  <w:num w:numId="75" w16cid:durableId="1909920630">
    <w:abstractNumId w:val="48"/>
  </w:num>
  <w:num w:numId="76" w16cid:durableId="1986078644">
    <w:abstractNumId w:val="80"/>
  </w:num>
  <w:num w:numId="77" w16cid:durableId="358046881">
    <w:abstractNumId w:val="83"/>
  </w:num>
  <w:num w:numId="78" w16cid:durableId="1247767371">
    <w:abstractNumId w:val="84"/>
  </w:num>
  <w:num w:numId="79" w16cid:durableId="361175053">
    <w:abstractNumId w:val="95"/>
  </w:num>
  <w:num w:numId="80" w16cid:durableId="1565489222">
    <w:abstractNumId w:val="113"/>
  </w:num>
  <w:num w:numId="81" w16cid:durableId="1764690132">
    <w:abstractNumId w:val="104"/>
  </w:num>
  <w:num w:numId="82" w16cid:durableId="1424646704">
    <w:abstractNumId w:val="60"/>
  </w:num>
  <w:num w:numId="83" w16cid:durableId="1625648668">
    <w:abstractNumId w:val="77"/>
  </w:num>
  <w:num w:numId="84" w16cid:durableId="1549683750">
    <w:abstractNumId w:val="90"/>
  </w:num>
  <w:num w:numId="85" w16cid:durableId="217058348">
    <w:abstractNumId w:val="58"/>
  </w:num>
  <w:num w:numId="86" w16cid:durableId="1079256103">
    <w:abstractNumId w:val="23"/>
  </w:num>
  <w:num w:numId="87" w16cid:durableId="1184900510">
    <w:abstractNumId w:val="74"/>
  </w:num>
  <w:num w:numId="88" w16cid:durableId="1593972621">
    <w:abstractNumId w:val="36"/>
  </w:num>
  <w:num w:numId="89" w16cid:durableId="1722440502">
    <w:abstractNumId w:val="120"/>
  </w:num>
  <w:num w:numId="90" w16cid:durableId="1135412282">
    <w:abstractNumId w:val="85"/>
  </w:num>
  <w:num w:numId="91" w16cid:durableId="2001080673">
    <w:abstractNumId w:val="101"/>
  </w:num>
  <w:num w:numId="92" w16cid:durableId="1751391749">
    <w:abstractNumId w:val="115"/>
  </w:num>
  <w:num w:numId="93" w16cid:durableId="1241792464">
    <w:abstractNumId w:val="125"/>
  </w:num>
  <w:num w:numId="94" w16cid:durableId="888882544">
    <w:abstractNumId w:val="4"/>
  </w:num>
  <w:num w:numId="95" w16cid:durableId="814494182">
    <w:abstractNumId w:val="55"/>
  </w:num>
  <w:num w:numId="96" w16cid:durableId="1330911579">
    <w:abstractNumId w:val="110"/>
  </w:num>
  <w:num w:numId="97" w16cid:durableId="901016326">
    <w:abstractNumId w:val="109"/>
  </w:num>
  <w:num w:numId="98" w16cid:durableId="1750231324">
    <w:abstractNumId w:val="21"/>
  </w:num>
  <w:num w:numId="99" w16cid:durableId="175727555">
    <w:abstractNumId w:val="93"/>
  </w:num>
  <w:num w:numId="100" w16cid:durableId="695617086">
    <w:abstractNumId w:val="121"/>
  </w:num>
  <w:num w:numId="101" w16cid:durableId="769857050">
    <w:abstractNumId w:val="106"/>
  </w:num>
  <w:num w:numId="102" w16cid:durableId="1011840521">
    <w:abstractNumId w:val="12"/>
  </w:num>
  <w:num w:numId="103" w16cid:durableId="819536048">
    <w:abstractNumId w:val="114"/>
  </w:num>
  <w:num w:numId="104" w16cid:durableId="762918214">
    <w:abstractNumId w:val="78"/>
  </w:num>
  <w:num w:numId="105" w16cid:durableId="616328095">
    <w:abstractNumId w:val="126"/>
  </w:num>
  <w:num w:numId="106" w16cid:durableId="1436556454">
    <w:abstractNumId w:val="47"/>
  </w:num>
  <w:num w:numId="107" w16cid:durableId="1528986581">
    <w:abstractNumId w:val="25"/>
  </w:num>
  <w:num w:numId="108" w16cid:durableId="1700858481">
    <w:abstractNumId w:val="119"/>
  </w:num>
  <w:num w:numId="109" w16cid:durableId="1672445472">
    <w:abstractNumId w:val="116"/>
  </w:num>
  <w:num w:numId="110" w16cid:durableId="266424738">
    <w:abstractNumId w:val="91"/>
  </w:num>
  <w:num w:numId="111" w16cid:durableId="1117138121">
    <w:abstractNumId w:val="39"/>
  </w:num>
  <w:num w:numId="112" w16cid:durableId="1514487848">
    <w:abstractNumId w:val="16"/>
  </w:num>
  <w:num w:numId="113" w16cid:durableId="561407274">
    <w:abstractNumId w:val="62"/>
  </w:num>
  <w:num w:numId="114" w16cid:durableId="689179965">
    <w:abstractNumId w:val="0"/>
  </w:num>
  <w:num w:numId="115" w16cid:durableId="931663433">
    <w:abstractNumId w:val="107"/>
  </w:num>
  <w:num w:numId="116" w16cid:durableId="1177430185">
    <w:abstractNumId w:val="15"/>
  </w:num>
  <w:num w:numId="117" w16cid:durableId="669451802">
    <w:abstractNumId w:val="61"/>
  </w:num>
  <w:num w:numId="118" w16cid:durableId="667904788">
    <w:abstractNumId w:val="29"/>
  </w:num>
  <w:num w:numId="119" w16cid:durableId="1264606769">
    <w:abstractNumId w:val="59"/>
  </w:num>
  <w:num w:numId="120" w16cid:durableId="423503126">
    <w:abstractNumId w:val="127"/>
  </w:num>
  <w:num w:numId="121" w16cid:durableId="1298956224">
    <w:abstractNumId w:val="72"/>
  </w:num>
  <w:num w:numId="122" w16cid:durableId="1188064631">
    <w:abstractNumId w:val="41"/>
  </w:num>
  <w:num w:numId="123" w16cid:durableId="114060290">
    <w:abstractNumId w:val="99"/>
  </w:num>
  <w:num w:numId="124" w16cid:durableId="1059520843">
    <w:abstractNumId w:val="67"/>
  </w:num>
  <w:num w:numId="125" w16cid:durableId="414596781">
    <w:abstractNumId w:val="37"/>
  </w:num>
  <w:num w:numId="126" w16cid:durableId="1426801941">
    <w:abstractNumId w:val="105"/>
  </w:num>
  <w:num w:numId="127" w16cid:durableId="1684622109">
    <w:abstractNumId w:val="86"/>
  </w:num>
  <w:num w:numId="128" w16cid:durableId="2083946477">
    <w:abstractNumId w:val="33"/>
  </w:num>
  <w:num w:numId="129" w16cid:durableId="343284373">
    <w:abstractNumId w:val="11"/>
  </w:num>
  <w:num w:numId="130" w16cid:durableId="2062898254">
    <w:abstractNumId w:val="1"/>
  </w:num>
  <w:num w:numId="131" w16cid:durableId="1247573102">
    <w:abstractNumId w:val="124"/>
  </w:num>
  <w:num w:numId="132" w16cid:durableId="1392775252">
    <w:abstractNumId w:val="26"/>
  </w:num>
  <w:num w:numId="133" w16cid:durableId="1451625483">
    <w:abstractNumId w:val="5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B"/>
    <w:rsid w:val="000008E5"/>
    <w:rsid w:val="00000EE2"/>
    <w:rsid w:val="000015EE"/>
    <w:rsid w:val="000022D5"/>
    <w:rsid w:val="00003351"/>
    <w:rsid w:val="000037BC"/>
    <w:rsid w:val="00004345"/>
    <w:rsid w:val="000043B9"/>
    <w:rsid w:val="00004C6A"/>
    <w:rsid w:val="000053EF"/>
    <w:rsid w:val="00005A4B"/>
    <w:rsid w:val="0001233A"/>
    <w:rsid w:val="000123CE"/>
    <w:rsid w:val="00012D11"/>
    <w:rsid w:val="00013EB5"/>
    <w:rsid w:val="00014F55"/>
    <w:rsid w:val="00015928"/>
    <w:rsid w:val="000175EB"/>
    <w:rsid w:val="00017C52"/>
    <w:rsid w:val="000212A9"/>
    <w:rsid w:val="00021BDF"/>
    <w:rsid w:val="00023836"/>
    <w:rsid w:val="00025C2D"/>
    <w:rsid w:val="00025F7F"/>
    <w:rsid w:val="00030139"/>
    <w:rsid w:val="00031507"/>
    <w:rsid w:val="0003409E"/>
    <w:rsid w:val="00034B6E"/>
    <w:rsid w:val="0003515B"/>
    <w:rsid w:val="000356A9"/>
    <w:rsid w:val="00036C13"/>
    <w:rsid w:val="000375F2"/>
    <w:rsid w:val="00037B97"/>
    <w:rsid w:val="0004316B"/>
    <w:rsid w:val="00044138"/>
    <w:rsid w:val="00044739"/>
    <w:rsid w:val="00046331"/>
    <w:rsid w:val="000463C5"/>
    <w:rsid w:val="0005017C"/>
    <w:rsid w:val="0005060C"/>
    <w:rsid w:val="00051637"/>
    <w:rsid w:val="00052C6B"/>
    <w:rsid w:val="0005400A"/>
    <w:rsid w:val="00056681"/>
    <w:rsid w:val="00057C02"/>
    <w:rsid w:val="00061216"/>
    <w:rsid w:val="0006208C"/>
    <w:rsid w:val="00062236"/>
    <w:rsid w:val="000648A7"/>
    <w:rsid w:val="0006618B"/>
    <w:rsid w:val="000670C0"/>
    <w:rsid w:val="00067B55"/>
    <w:rsid w:val="000701C6"/>
    <w:rsid w:val="00071B99"/>
    <w:rsid w:val="000756E5"/>
    <w:rsid w:val="00075DDC"/>
    <w:rsid w:val="0007704E"/>
    <w:rsid w:val="00077D84"/>
    <w:rsid w:val="000800BE"/>
    <w:rsid w:val="00080EC8"/>
    <w:rsid w:val="00082194"/>
    <w:rsid w:val="000834B5"/>
    <w:rsid w:val="00086914"/>
    <w:rsid w:val="00086DDA"/>
    <w:rsid w:val="000879AA"/>
    <w:rsid w:val="00087B76"/>
    <w:rsid w:val="00093E33"/>
    <w:rsid w:val="000944AC"/>
    <w:rsid w:val="00094578"/>
    <w:rsid w:val="00094CB9"/>
    <w:rsid w:val="000956B2"/>
    <w:rsid w:val="0009638D"/>
    <w:rsid w:val="000969E7"/>
    <w:rsid w:val="0009747E"/>
    <w:rsid w:val="0009799B"/>
    <w:rsid w:val="00097AF6"/>
    <w:rsid w:val="000A058C"/>
    <w:rsid w:val="000A23DE"/>
    <w:rsid w:val="000A4020"/>
    <w:rsid w:val="000A53AD"/>
    <w:rsid w:val="000A53DF"/>
    <w:rsid w:val="000A59EA"/>
    <w:rsid w:val="000A5E5A"/>
    <w:rsid w:val="000A5F38"/>
    <w:rsid w:val="000A60B4"/>
    <w:rsid w:val="000A6435"/>
    <w:rsid w:val="000A72F6"/>
    <w:rsid w:val="000B00B3"/>
    <w:rsid w:val="000B0DB3"/>
    <w:rsid w:val="000B31F2"/>
    <w:rsid w:val="000B4DBB"/>
    <w:rsid w:val="000B51AF"/>
    <w:rsid w:val="000B54FB"/>
    <w:rsid w:val="000B6FD6"/>
    <w:rsid w:val="000B7591"/>
    <w:rsid w:val="000C2734"/>
    <w:rsid w:val="000C29B0"/>
    <w:rsid w:val="000C30C0"/>
    <w:rsid w:val="000C409A"/>
    <w:rsid w:val="000C40C6"/>
    <w:rsid w:val="000C421E"/>
    <w:rsid w:val="000C6837"/>
    <w:rsid w:val="000C683F"/>
    <w:rsid w:val="000C76FC"/>
    <w:rsid w:val="000D1FAD"/>
    <w:rsid w:val="000D252D"/>
    <w:rsid w:val="000D38FC"/>
    <w:rsid w:val="000D4D90"/>
    <w:rsid w:val="000D5074"/>
    <w:rsid w:val="000D573F"/>
    <w:rsid w:val="000D7825"/>
    <w:rsid w:val="000E0F01"/>
    <w:rsid w:val="000E16AF"/>
    <w:rsid w:val="000E2D10"/>
    <w:rsid w:val="000E3E51"/>
    <w:rsid w:val="000E45AC"/>
    <w:rsid w:val="000E4AA1"/>
    <w:rsid w:val="000F1BA4"/>
    <w:rsid w:val="000F2874"/>
    <w:rsid w:val="000F3204"/>
    <w:rsid w:val="000F3C57"/>
    <w:rsid w:val="000F5945"/>
    <w:rsid w:val="00101FEC"/>
    <w:rsid w:val="001041AE"/>
    <w:rsid w:val="0010548B"/>
    <w:rsid w:val="00105B89"/>
    <w:rsid w:val="001072D1"/>
    <w:rsid w:val="00107847"/>
    <w:rsid w:val="00107D65"/>
    <w:rsid w:val="0011213E"/>
    <w:rsid w:val="0011429B"/>
    <w:rsid w:val="00114BFF"/>
    <w:rsid w:val="001152AF"/>
    <w:rsid w:val="00117017"/>
    <w:rsid w:val="00117B65"/>
    <w:rsid w:val="0012641C"/>
    <w:rsid w:val="00130E8E"/>
    <w:rsid w:val="0013216E"/>
    <w:rsid w:val="001324E7"/>
    <w:rsid w:val="00133BD5"/>
    <w:rsid w:val="00134104"/>
    <w:rsid w:val="001369AA"/>
    <w:rsid w:val="001401B5"/>
    <w:rsid w:val="001403AD"/>
    <w:rsid w:val="001413D7"/>
    <w:rsid w:val="001422B9"/>
    <w:rsid w:val="00144C84"/>
    <w:rsid w:val="00144DAB"/>
    <w:rsid w:val="00145ACD"/>
    <w:rsid w:val="00145F1C"/>
    <w:rsid w:val="00146495"/>
    <w:rsid w:val="0014665F"/>
    <w:rsid w:val="00147345"/>
    <w:rsid w:val="00151B5F"/>
    <w:rsid w:val="00152939"/>
    <w:rsid w:val="00153464"/>
    <w:rsid w:val="001541B3"/>
    <w:rsid w:val="00155B15"/>
    <w:rsid w:val="00161DF0"/>
    <w:rsid w:val="001625BE"/>
    <w:rsid w:val="00164320"/>
    <w:rsid w:val="001643A4"/>
    <w:rsid w:val="0016777F"/>
    <w:rsid w:val="001700CF"/>
    <w:rsid w:val="00170908"/>
    <w:rsid w:val="001727BB"/>
    <w:rsid w:val="00173028"/>
    <w:rsid w:val="00173345"/>
    <w:rsid w:val="0017367B"/>
    <w:rsid w:val="001778AA"/>
    <w:rsid w:val="00180D25"/>
    <w:rsid w:val="00181D92"/>
    <w:rsid w:val="0018318D"/>
    <w:rsid w:val="001839BB"/>
    <w:rsid w:val="00183AF1"/>
    <w:rsid w:val="001841D1"/>
    <w:rsid w:val="0018572C"/>
    <w:rsid w:val="00185FCD"/>
    <w:rsid w:val="00186F3E"/>
    <w:rsid w:val="00187E79"/>
    <w:rsid w:val="00187F0D"/>
    <w:rsid w:val="00192CC5"/>
    <w:rsid w:val="00192DC9"/>
    <w:rsid w:val="00192F5A"/>
    <w:rsid w:val="001956A7"/>
    <w:rsid w:val="00196B81"/>
    <w:rsid w:val="0019706C"/>
    <w:rsid w:val="001A118A"/>
    <w:rsid w:val="001A1DC4"/>
    <w:rsid w:val="001A2664"/>
    <w:rsid w:val="001A27F4"/>
    <w:rsid w:val="001A2D95"/>
    <w:rsid w:val="001B0B24"/>
    <w:rsid w:val="001B0D6F"/>
    <w:rsid w:val="001B1F26"/>
    <w:rsid w:val="001B3460"/>
    <w:rsid w:val="001B4CA1"/>
    <w:rsid w:val="001B5046"/>
    <w:rsid w:val="001B695B"/>
    <w:rsid w:val="001B75D8"/>
    <w:rsid w:val="001B7C6A"/>
    <w:rsid w:val="001C1060"/>
    <w:rsid w:val="001C118B"/>
    <w:rsid w:val="001C181F"/>
    <w:rsid w:val="001C2AF0"/>
    <w:rsid w:val="001C3C63"/>
    <w:rsid w:val="001C6355"/>
    <w:rsid w:val="001C68C5"/>
    <w:rsid w:val="001C70E3"/>
    <w:rsid w:val="001D0B0A"/>
    <w:rsid w:val="001D10DE"/>
    <w:rsid w:val="001D116C"/>
    <w:rsid w:val="001D2BB0"/>
    <w:rsid w:val="001D425D"/>
    <w:rsid w:val="001D4732"/>
    <w:rsid w:val="001D6A3C"/>
    <w:rsid w:val="001D6D51"/>
    <w:rsid w:val="001D73F7"/>
    <w:rsid w:val="001D7946"/>
    <w:rsid w:val="001E1781"/>
    <w:rsid w:val="001E1835"/>
    <w:rsid w:val="001E1D0D"/>
    <w:rsid w:val="001E1F06"/>
    <w:rsid w:val="001E264E"/>
    <w:rsid w:val="001E459F"/>
    <w:rsid w:val="001E4C8E"/>
    <w:rsid w:val="001E530E"/>
    <w:rsid w:val="001E5B8A"/>
    <w:rsid w:val="001E5BBB"/>
    <w:rsid w:val="001E6856"/>
    <w:rsid w:val="001F2080"/>
    <w:rsid w:val="001F316A"/>
    <w:rsid w:val="001F4F42"/>
    <w:rsid w:val="001F58B1"/>
    <w:rsid w:val="001F64BE"/>
    <w:rsid w:val="001F653A"/>
    <w:rsid w:val="001F6979"/>
    <w:rsid w:val="00201C72"/>
    <w:rsid w:val="00202BC6"/>
    <w:rsid w:val="00202EA1"/>
    <w:rsid w:val="00204145"/>
    <w:rsid w:val="00205141"/>
    <w:rsid w:val="0020516B"/>
    <w:rsid w:val="002062A1"/>
    <w:rsid w:val="00207CA8"/>
    <w:rsid w:val="0021045D"/>
    <w:rsid w:val="00211B6F"/>
    <w:rsid w:val="002133CE"/>
    <w:rsid w:val="00213559"/>
    <w:rsid w:val="00213EFD"/>
    <w:rsid w:val="00213FDF"/>
    <w:rsid w:val="00216EBD"/>
    <w:rsid w:val="002172F1"/>
    <w:rsid w:val="00222B58"/>
    <w:rsid w:val="00223C7B"/>
    <w:rsid w:val="00223CD1"/>
    <w:rsid w:val="00224486"/>
    <w:rsid w:val="00224AB1"/>
    <w:rsid w:val="00225408"/>
    <w:rsid w:val="002255A8"/>
    <w:rsid w:val="0022687A"/>
    <w:rsid w:val="002272DE"/>
    <w:rsid w:val="00230728"/>
    <w:rsid w:val="00231F77"/>
    <w:rsid w:val="00234040"/>
    <w:rsid w:val="00235563"/>
    <w:rsid w:val="00235CD2"/>
    <w:rsid w:val="0023627B"/>
    <w:rsid w:val="002369B7"/>
    <w:rsid w:val="0024142A"/>
    <w:rsid w:val="00243BED"/>
    <w:rsid w:val="0024462D"/>
    <w:rsid w:val="00244D65"/>
    <w:rsid w:val="002464B3"/>
    <w:rsid w:val="00247373"/>
    <w:rsid w:val="002526C7"/>
    <w:rsid w:val="002527AC"/>
    <w:rsid w:val="00252DBA"/>
    <w:rsid w:val="0025319F"/>
    <w:rsid w:val="0025471D"/>
    <w:rsid w:val="00254ADF"/>
    <w:rsid w:val="00254D48"/>
    <w:rsid w:val="00254DED"/>
    <w:rsid w:val="00255619"/>
    <w:rsid w:val="00255CA0"/>
    <w:rsid w:val="00255DAD"/>
    <w:rsid w:val="00256108"/>
    <w:rsid w:val="00256282"/>
    <w:rsid w:val="002602E0"/>
    <w:rsid w:val="00260F33"/>
    <w:rsid w:val="002613BD"/>
    <w:rsid w:val="00261512"/>
    <w:rsid w:val="002624F1"/>
    <w:rsid w:val="00262D43"/>
    <w:rsid w:val="00262EA7"/>
    <w:rsid w:val="002649F8"/>
    <w:rsid w:val="002678F8"/>
    <w:rsid w:val="00270C81"/>
    <w:rsid w:val="002712F7"/>
    <w:rsid w:val="00271558"/>
    <w:rsid w:val="002731BB"/>
    <w:rsid w:val="00274597"/>
    <w:rsid w:val="002745F3"/>
    <w:rsid w:val="00274862"/>
    <w:rsid w:val="00276049"/>
    <w:rsid w:val="00276F64"/>
    <w:rsid w:val="00277756"/>
    <w:rsid w:val="00277E2A"/>
    <w:rsid w:val="00280672"/>
    <w:rsid w:val="00280939"/>
    <w:rsid w:val="0028187D"/>
    <w:rsid w:val="002825D8"/>
    <w:rsid w:val="00282AAE"/>
    <w:rsid w:val="00282D72"/>
    <w:rsid w:val="0028336B"/>
    <w:rsid w:val="00283402"/>
    <w:rsid w:val="00284C1E"/>
    <w:rsid w:val="00290FD6"/>
    <w:rsid w:val="00291012"/>
    <w:rsid w:val="00292DEE"/>
    <w:rsid w:val="002932D8"/>
    <w:rsid w:val="00294259"/>
    <w:rsid w:val="00297557"/>
    <w:rsid w:val="002A0BEB"/>
    <w:rsid w:val="002A236B"/>
    <w:rsid w:val="002A2C81"/>
    <w:rsid w:val="002A53C0"/>
    <w:rsid w:val="002A5454"/>
    <w:rsid w:val="002B118F"/>
    <w:rsid w:val="002B1E76"/>
    <w:rsid w:val="002B2339"/>
    <w:rsid w:val="002B3D1A"/>
    <w:rsid w:val="002B47F9"/>
    <w:rsid w:val="002B6F1A"/>
    <w:rsid w:val="002C24DA"/>
    <w:rsid w:val="002C27D0"/>
    <w:rsid w:val="002C2C2F"/>
    <w:rsid w:val="002C2C9B"/>
    <w:rsid w:val="002C5121"/>
    <w:rsid w:val="002C54F4"/>
    <w:rsid w:val="002C6D44"/>
    <w:rsid w:val="002D0EE7"/>
    <w:rsid w:val="002D17D6"/>
    <w:rsid w:val="002D18D7"/>
    <w:rsid w:val="002D1D59"/>
    <w:rsid w:val="002D21CE"/>
    <w:rsid w:val="002D4E9F"/>
    <w:rsid w:val="002D5F01"/>
    <w:rsid w:val="002D78F2"/>
    <w:rsid w:val="002D7995"/>
    <w:rsid w:val="002D7FA9"/>
    <w:rsid w:val="002E2776"/>
    <w:rsid w:val="002E3267"/>
    <w:rsid w:val="002E3DA3"/>
    <w:rsid w:val="002E450F"/>
    <w:rsid w:val="002E464C"/>
    <w:rsid w:val="002E6B38"/>
    <w:rsid w:val="002E6D63"/>
    <w:rsid w:val="002E6E2B"/>
    <w:rsid w:val="002E7EB1"/>
    <w:rsid w:val="002F0DC2"/>
    <w:rsid w:val="002F1F88"/>
    <w:rsid w:val="002F2386"/>
    <w:rsid w:val="002F2D6A"/>
    <w:rsid w:val="002F500B"/>
    <w:rsid w:val="002F579C"/>
    <w:rsid w:val="002F5A7D"/>
    <w:rsid w:val="00300991"/>
    <w:rsid w:val="00301959"/>
    <w:rsid w:val="00301B2E"/>
    <w:rsid w:val="00304CAF"/>
    <w:rsid w:val="00305B8A"/>
    <w:rsid w:val="00307E6E"/>
    <w:rsid w:val="003100C5"/>
    <w:rsid w:val="00310C4E"/>
    <w:rsid w:val="0031112E"/>
    <w:rsid w:val="00315697"/>
    <w:rsid w:val="00317378"/>
    <w:rsid w:val="00320786"/>
    <w:rsid w:val="00321108"/>
    <w:rsid w:val="0032537E"/>
    <w:rsid w:val="00325814"/>
    <w:rsid w:val="00326D0B"/>
    <w:rsid w:val="00331BF9"/>
    <w:rsid w:val="00332D66"/>
    <w:rsid w:val="00333548"/>
    <w:rsid w:val="00333AE9"/>
    <w:rsid w:val="0033495E"/>
    <w:rsid w:val="00334A79"/>
    <w:rsid w:val="00334D8D"/>
    <w:rsid w:val="00336BF8"/>
    <w:rsid w:val="00337345"/>
    <w:rsid w:val="00337DD2"/>
    <w:rsid w:val="003404D1"/>
    <w:rsid w:val="00343CD4"/>
    <w:rsid w:val="00344087"/>
    <w:rsid w:val="003443FF"/>
    <w:rsid w:val="003453D3"/>
    <w:rsid w:val="00346B16"/>
    <w:rsid w:val="00346BDD"/>
    <w:rsid w:val="003475A0"/>
    <w:rsid w:val="00347B23"/>
    <w:rsid w:val="00350038"/>
    <w:rsid w:val="00350D3B"/>
    <w:rsid w:val="0035145A"/>
    <w:rsid w:val="00351ECD"/>
    <w:rsid w:val="00352A8C"/>
    <w:rsid w:val="00353366"/>
    <w:rsid w:val="0035499E"/>
    <w:rsid w:val="00354C77"/>
    <w:rsid w:val="00354E5D"/>
    <w:rsid w:val="00355808"/>
    <w:rsid w:val="0035627E"/>
    <w:rsid w:val="00360C92"/>
    <w:rsid w:val="00360E27"/>
    <w:rsid w:val="00362C7E"/>
    <w:rsid w:val="00363309"/>
    <w:rsid w:val="00363601"/>
    <w:rsid w:val="00364B67"/>
    <w:rsid w:val="003671B6"/>
    <w:rsid w:val="0036750D"/>
    <w:rsid w:val="003717D8"/>
    <w:rsid w:val="00371CA6"/>
    <w:rsid w:val="003720E9"/>
    <w:rsid w:val="00372C0A"/>
    <w:rsid w:val="003735C9"/>
    <w:rsid w:val="00376AC9"/>
    <w:rsid w:val="00377FE2"/>
    <w:rsid w:val="00381F15"/>
    <w:rsid w:val="00383BC7"/>
    <w:rsid w:val="0038415F"/>
    <w:rsid w:val="00384A14"/>
    <w:rsid w:val="00384C45"/>
    <w:rsid w:val="00387C39"/>
    <w:rsid w:val="00393032"/>
    <w:rsid w:val="003933EB"/>
    <w:rsid w:val="00394B69"/>
    <w:rsid w:val="00396558"/>
    <w:rsid w:val="00397078"/>
    <w:rsid w:val="003A4F87"/>
    <w:rsid w:val="003A5984"/>
    <w:rsid w:val="003A6574"/>
    <w:rsid w:val="003A6953"/>
    <w:rsid w:val="003B1684"/>
    <w:rsid w:val="003B2869"/>
    <w:rsid w:val="003B2CB0"/>
    <w:rsid w:val="003B36C6"/>
    <w:rsid w:val="003B3D09"/>
    <w:rsid w:val="003B52D4"/>
    <w:rsid w:val="003B55D2"/>
    <w:rsid w:val="003B6083"/>
    <w:rsid w:val="003B66E6"/>
    <w:rsid w:val="003B67B2"/>
    <w:rsid w:val="003C044E"/>
    <w:rsid w:val="003C3838"/>
    <w:rsid w:val="003C5847"/>
    <w:rsid w:val="003C6657"/>
    <w:rsid w:val="003C681E"/>
    <w:rsid w:val="003D02C1"/>
    <w:rsid w:val="003D0681"/>
    <w:rsid w:val="003D1093"/>
    <w:rsid w:val="003D12F6"/>
    <w:rsid w:val="003D1426"/>
    <w:rsid w:val="003D4389"/>
    <w:rsid w:val="003D4555"/>
    <w:rsid w:val="003D6322"/>
    <w:rsid w:val="003D6F0A"/>
    <w:rsid w:val="003E08B2"/>
    <w:rsid w:val="003E1D3D"/>
    <w:rsid w:val="003E2F4E"/>
    <w:rsid w:val="003E3EBF"/>
    <w:rsid w:val="003E614D"/>
    <w:rsid w:val="003E720A"/>
    <w:rsid w:val="003F7A4C"/>
    <w:rsid w:val="003F7BDC"/>
    <w:rsid w:val="00400FC5"/>
    <w:rsid w:val="00401DD9"/>
    <w:rsid w:val="00403105"/>
    <w:rsid w:val="004031EB"/>
    <w:rsid w:val="00403E6E"/>
    <w:rsid w:val="004129B4"/>
    <w:rsid w:val="004134D1"/>
    <w:rsid w:val="00415A14"/>
    <w:rsid w:val="004166CC"/>
    <w:rsid w:val="00417DC0"/>
    <w:rsid w:val="00417EF0"/>
    <w:rsid w:val="00421321"/>
    <w:rsid w:val="0042198D"/>
    <w:rsid w:val="00422181"/>
    <w:rsid w:val="00422D6C"/>
    <w:rsid w:val="004244A8"/>
    <w:rsid w:val="00425F72"/>
    <w:rsid w:val="004268B8"/>
    <w:rsid w:val="00427736"/>
    <w:rsid w:val="00427FB3"/>
    <w:rsid w:val="004313A9"/>
    <w:rsid w:val="00431472"/>
    <w:rsid w:val="004328C6"/>
    <w:rsid w:val="00433460"/>
    <w:rsid w:val="00437316"/>
    <w:rsid w:val="00437643"/>
    <w:rsid w:val="00441787"/>
    <w:rsid w:val="00444219"/>
    <w:rsid w:val="00444322"/>
    <w:rsid w:val="00444616"/>
    <w:rsid w:val="00444C8D"/>
    <w:rsid w:val="00444F2D"/>
    <w:rsid w:val="004451BD"/>
    <w:rsid w:val="0045034E"/>
    <w:rsid w:val="00451067"/>
    <w:rsid w:val="0045157A"/>
    <w:rsid w:val="00451A69"/>
    <w:rsid w:val="00452034"/>
    <w:rsid w:val="00454DFC"/>
    <w:rsid w:val="00455FA6"/>
    <w:rsid w:val="004569EF"/>
    <w:rsid w:val="004570C4"/>
    <w:rsid w:val="00457280"/>
    <w:rsid w:val="00457344"/>
    <w:rsid w:val="004600E6"/>
    <w:rsid w:val="0046027E"/>
    <w:rsid w:val="00461419"/>
    <w:rsid w:val="00461E76"/>
    <w:rsid w:val="00464CB8"/>
    <w:rsid w:val="00465D81"/>
    <w:rsid w:val="00466C70"/>
    <w:rsid w:val="004702C9"/>
    <w:rsid w:val="00470488"/>
    <w:rsid w:val="004710E2"/>
    <w:rsid w:val="00471957"/>
    <w:rsid w:val="00472E45"/>
    <w:rsid w:val="004737E4"/>
    <w:rsid w:val="00473FEA"/>
    <w:rsid w:val="004742F9"/>
    <w:rsid w:val="0047579D"/>
    <w:rsid w:val="00477328"/>
    <w:rsid w:val="0048130F"/>
    <w:rsid w:val="00482074"/>
    <w:rsid w:val="004827B6"/>
    <w:rsid w:val="00483262"/>
    <w:rsid w:val="00483CF7"/>
    <w:rsid w:val="00483E26"/>
    <w:rsid w:val="00484107"/>
    <w:rsid w:val="004847C6"/>
    <w:rsid w:val="00485CC5"/>
    <w:rsid w:val="004864BB"/>
    <w:rsid w:val="004870C4"/>
    <w:rsid w:val="004902EE"/>
    <w:rsid w:val="00490887"/>
    <w:rsid w:val="00492ABD"/>
    <w:rsid w:val="0049343F"/>
    <w:rsid w:val="004945D2"/>
    <w:rsid w:val="004964FC"/>
    <w:rsid w:val="00497E0F"/>
    <w:rsid w:val="004A0322"/>
    <w:rsid w:val="004A145E"/>
    <w:rsid w:val="004A1AE1"/>
    <w:rsid w:val="004A1F15"/>
    <w:rsid w:val="004A2A81"/>
    <w:rsid w:val="004A3C75"/>
    <w:rsid w:val="004A5575"/>
    <w:rsid w:val="004A74D8"/>
    <w:rsid w:val="004A77D8"/>
    <w:rsid w:val="004A7BD7"/>
    <w:rsid w:val="004B4021"/>
    <w:rsid w:val="004B4E01"/>
    <w:rsid w:val="004B6755"/>
    <w:rsid w:val="004C15C2"/>
    <w:rsid w:val="004C15DF"/>
    <w:rsid w:val="004C3390"/>
    <w:rsid w:val="004C36D8"/>
    <w:rsid w:val="004C6A0C"/>
    <w:rsid w:val="004C751D"/>
    <w:rsid w:val="004C7C8B"/>
    <w:rsid w:val="004D1248"/>
    <w:rsid w:val="004D16EE"/>
    <w:rsid w:val="004D1A13"/>
    <w:rsid w:val="004D1CBF"/>
    <w:rsid w:val="004D1E3C"/>
    <w:rsid w:val="004D4169"/>
    <w:rsid w:val="004D6446"/>
    <w:rsid w:val="004D6E14"/>
    <w:rsid w:val="004E0630"/>
    <w:rsid w:val="004E0791"/>
    <w:rsid w:val="004E13F1"/>
    <w:rsid w:val="004E1CF4"/>
    <w:rsid w:val="004E1E26"/>
    <w:rsid w:val="004E286E"/>
    <w:rsid w:val="004E2C2C"/>
    <w:rsid w:val="004E2E48"/>
    <w:rsid w:val="004E3993"/>
    <w:rsid w:val="004E3D9A"/>
    <w:rsid w:val="004E6F85"/>
    <w:rsid w:val="004F17C4"/>
    <w:rsid w:val="004F1FEF"/>
    <w:rsid w:val="004F4098"/>
    <w:rsid w:val="004F4E17"/>
    <w:rsid w:val="004F5414"/>
    <w:rsid w:val="004F55D1"/>
    <w:rsid w:val="004F6F12"/>
    <w:rsid w:val="0050082F"/>
    <w:rsid w:val="00500C56"/>
    <w:rsid w:val="00501713"/>
    <w:rsid w:val="005028EE"/>
    <w:rsid w:val="00506568"/>
    <w:rsid w:val="00510240"/>
    <w:rsid w:val="00510DB8"/>
    <w:rsid w:val="0051298A"/>
    <w:rsid w:val="0051551B"/>
    <w:rsid w:val="00520C57"/>
    <w:rsid w:val="00520FC7"/>
    <w:rsid w:val="00521E4C"/>
    <w:rsid w:val="00522D94"/>
    <w:rsid w:val="0052338E"/>
    <w:rsid w:val="00523444"/>
    <w:rsid w:val="00523979"/>
    <w:rsid w:val="00524810"/>
    <w:rsid w:val="00525918"/>
    <w:rsid w:val="00525F03"/>
    <w:rsid w:val="00530227"/>
    <w:rsid w:val="00531416"/>
    <w:rsid w:val="00531B59"/>
    <w:rsid w:val="005335D7"/>
    <w:rsid w:val="00533C85"/>
    <w:rsid w:val="00533D89"/>
    <w:rsid w:val="00534A40"/>
    <w:rsid w:val="00534D7A"/>
    <w:rsid w:val="00535D3C"/>
    <w:rsid w:val="00536564"/>
    <w:rsid w:val="00536AC7"/>
    <w:rsid w:val="00537D54"/>
    <w:rsid w:val="005423FC"/>
    <w:rsid w:val="005425B7"/>
    <w:rsid w:val="00542B45"/>
    <w:rsid w:val="00544597"/>
    <w:rsid w:val="00544E35"/>
    <w:rsid w:val="00544FFE"/>
    <w:rsid w:val="00546EA1"/>
    <w:rsid w:val="005473F5"/>
    <w:rsid w:val="005477E7"/>
    <w:rsid w:val="00552794"/>
    <w:rsid w:val="00553526"/>
    <w:rsid w:val="00555A68"/>
    <w:rsid w:val="005569EE"/>
    <w:rsid w:val="0055775E"/>
    <w:rsid w:val="0056047E"/>
    <w:rsid w:val="0056231D"/>
    <w:rsid w:val="00563199"/>
    <w:rsid w:val="005647C9"/>
    <w:rsid w:val="00564874"/>
    <w:rsid w:val="00565BB3"/>
    <w:rsid w:val="00567963"/>
    <w:rsid w:val="0057009A"/>
    <w:rsid w:val="005701E4"/>
    <w:rsid w:val="00570D70"/>
    <w:rsid w:val="00571194"/>
    <w:rsid w:val="00571260"/>
    <w:rsid w:val="0057189C"/>
    <w:rsid w:val="0057364D"/>
    <w:rsid w:val="00573FC1"/>
    <w:rsid w:val="005741EE"/>
    <w:rsid w:val="00574239"/>
    <w:rsid w:val="0057668E"/>
    <w:rsid w:val="00577323"/>
    <w:rsid w:val="0058039C"/>
    <w:rsid w:val="00580981"/>
    <w:rsid w:val="005814BC"/>
    <w:rsid w:val="00581795"/>
    <w:rsid w:val="00584617"/>
    <w:rsid w:val="00586357"/>
    <w:rsid w:val="005863D0"/>
    <w:rsid w:val="0059058E"/>
    <w:rsid w:val="00590E3D"/>
    <w:rsid w:val="00595E83"/>
    <w:rsid w:val="00596530"/>
    <w:rsid w:val="005967F3"/>
    <w:rsid w:val="0059715D"/>
    <w:rsid w:val="00597CC0"/>
    <w:rsid w:val="005A06DF"/>
    <w:rsid w:val="005A08D9"/>
    <w:rsid w:val="005A40AB"/>
    <w:rsid w:val="005A5527"/>
    <w:rsid w:val="005A5AE6"/>
    <w:rsid w:val="005A7CBD"/>
    <w:rsid w:val="005B1206"/>
    <w:rsid w:val="005B2C46"/>
    <w:rsid w:val="005B37E8"/>
    <w:rsid w:val="005B43C8"/>
    <w:rsid w:val="005B5901"/>
    <w:rsid w:val="005B7D19"/>
    <w:rsid w:val="005C0056"/>
    <w:rsid w:val="005C1006"/>
    <w:rsid w:val="005C388A"/>
    <w:rsid w:val="005C4743"/>
    <w:rsid w:val="005C60DE"/>
    <w:rsid w:val="005C61C0"/>
    <w:rsid w:val="005C6617"/>
    <w:rsid w:val="005C7751"/>
    <w:rsid w:val="005D1E66"/>
    <w:rsid w:val="005D3002"/>
    <w:rsid w:val="005D61D6"/>
    <w:rsid w:val="005D75F8"/>
    <w:rsid w:val="005E0D13"/>
    <w:rsid w:val="005E5047"/>
    <w:rsid w:val="005E668E"/>
    <w:rsid w:val="005E7205"/>
    <w:rsid w:val="005E7371"/>
    <w:rsid w:val="005F0A89"/>
    <w:rsid w:val="005F116C"/>
    <w:rsid w:val="005F2131"/>
    <w:rsid w:val="005F5D1F"/>
    <w:rsid w:val="005F67F4"/>
    <w:rsid w:val="005F69A9"/>
    <w:rsid w:val="006003E3"/>
    <w:rsid w:val="006054DF"/>
    <w:rsid w:val="0060554B"/>
    <w:rsid w:val="00605629"/>
    <w:rsid w:val="00605EF6"/>
    <w:rsid w:val="00606455"/>
    <w:rsid w:val="00614929"/>
    <w:rsid w:val="00615114"/>
    <w:rsid w:val="00616511"/>
    <w:rsid w:val="006172DA"/>
    <w:rsid w:val="006176ED"/>
    <w:rsid w:val="006202F3"/>
    <w:rsid w:val="0062097A"/>
    <w:rsid w:val="00621DA6"/>
    <w:rsid w:val="00623CFE"/>
    <w:rsid w:val="00625162"/>
    <w:rsid w:val="00627221"/>
    <w:rsid w:val="00627A37"/>
    <w:rsid w:val="00627C21"/>
    <w:rsid w:val="00627DC1"/>
    <w:rsid w:val="00627EE8"/>
    <w:rsid w:val="00630FC8"/>
    <w:rsid w:val="006316FA"/>
    <w:rsid w:val="00631CBE"/>
    <w:rsid w:val="0063478E"/>
    <w:rsid w:val="00634A6C"/>
    <w:rsid w:val="00634C73"/>
    <w:rsid w:val="0063695C"/>
    <w:rsid w:val="006370D2"/>
    <w:rsid w:val="00637B28"/>
    <w:rsid w:val="0064074F"/>
    <w:rsid w:val="00641F55"/>
    <w:rsid w:val="0064314C"/>
    <w:rsid w:val="00644ECC"/>
    <w:rsid w:val="00645E4A"/>
    <w:rsid w:val="006469AC"/>
    <w:rsid w:val="00646B93"/>
    <w:rsid w:val="0065049D"/>
    <w:rsid w:val="00653688"/>
    <w:rsid w:val="00655D90"/>
    <w:rsid w:val="00656581"/>
    <w:rsid w:val="006568C9"/>
    <w:rsid w:val="00656B2C"/>
    <w:rsid w:val="0066091B"/>
    <w:rsid w:val="00661096"/>
    <w:rsid w:val="00665C9E"/>
    <w:rsid w:val="006660E9"/>
    <w:rsid w:val="00667249"/>
    <w:rsid w:val="00667558"/>
    <w:rsid w:val="00670C79"/>
    <w:rsid w:val="00671523"/>
    <w:rsid w:val="006720B9"/>
    <w:rsid w:val="00672C9A"/>
    <w:rsid w:val="006754EF"/>
    <w:rsid w:val="00676105"/>
    <w:rsid w:val="00676830"/>
    <w:rsid w:val="00676C8D"/>
    <w:rsid w:val="00676F1F"/>
    <w:rsid w:val="00677381"/>
    <w:rsid w:val="00677414"/>
    <w:rsid w:val="00677DB0"/>
    <w:rsid w:val="00677E2B"/>
    <w:rsid w:val="006800C5"/>
    <w:rsid w:val="006832CF"/>
    <w:rsid w:val="006849E8"/>
    <w:rsid w:val="0068601E"/>
    <w:rsid w:val="00687B64"/>
    <w:rsid w:val="00691CD7"/>
    <w:rsid w:val="0069486B"/>
    <w:rsid w:val="0069777D"/>
    <w:rsid w:val="006A0F03"/>
    <w:rsid w:val="006A3A2F"/>
    <w:rsid w:val="006A4904"/>
    <w:rsid w:val="006A548F"/>
    <w:rsid w:val="006A6C9F"/>
    <w:rsid w:val="006A701A"/>
    <w:rsid w:val="006A7204"/>
    <w:rsid w:val="006A7D9A"/>
    <w:rsid w:val="006B0B6E"/>
    <w:rsid w:val="006B1732"/>
    <w:rsid w:val="006B1C61"/>
    <w:rsid w:val="006B1C98"/>
    <w:rsid w:val="006B2AAB"/>
    <w:rsid w:val="006B3226"/>
    <w:rsid w:val="006B3798"/>
    <w:rsid w:val="006B64DC"/>
    <w:rsid w:val="006B6837"/>
    <w:rsid w:val="006B7A91"/>
    <w:rsid w:val="006B7C05"/>
    <w:rsid w:val="006C170C"/>
    <w:rsid w:val="006C2291"/>
    <w:rsid w:val="006C2B87"/>
    <w:rsid w:val="006D004C"/>
    <w:rsid w:val="006D1FF0"/>
    <w:rsid w:val="006D2453"/>
    <w:rsid w:val="006D36A8"/>
    <w:rsid w:val="006D42E6"/>
    <w:rsid w:val="006D4704"/>
    <w:rsid w:val="006D4C56"/>
    <w:rsid w:val="006D4F6A"/>
    <w:rsid w:val="006D6669"/>
    <w:rsid w:val="006D6A2D"/>
    <w:rsid w:val="006D77C2"/>
    <w:rsid w:val="006E0497"/>
    <w:rsid w:val="006E1E18"/>
    <w:rsid w:val="006E31CE"/>
    <w:rsid w:val="006E34D3"/>
    <w:rsid w:val="006E3868"/>
    <w:rsid w:val="006E38B1"/>
    <w:rsid w:val="006E4DFC"/>
    <w:rsid w:val="006E568C"/>
    <w:rsid w:val="006E66CF"/>
    <w:rsid w:val="006E6EC1"/>
    <w:rsid w:val="006E7B6D"/>
    <w:rsid w:val="006F1435"/>
    <w:rsid w:val="006F5814"/>
    <w:rsid w:val="006F6A21"/>
    <w:rsid w:val="006F78C4"/>
    <w:rsid w:val="007015E0"/>
    <w:rsid w:val="00701D53"/>
    <w:rsid w:val="007021E2"/>
    <w:rsid w:val="007024B3"/>
    <w:rsid w:val="007031A0"/>
    <w:rsid w:val="00703F4D"/>
    <w:rsid w:val="00705A29"/>
    <w:rsid w:val="007063BD"/>
    <w:rsid w:val="00707498"/>
    <w:rsid w:val="007102ED"/>
    <w:rsid w:val="00710D50"/>
    <w:rsid w:val="0071103C"/>
    <w:rsid w:val="00711A65"/>
    <w:rsid w:val="007125D4"/>
    <w:rsid w:val="00714133"/>
    <w:rsid w:val="00714DA4"/>
    <w:rsid w:val="007158B2"/>
    <w:rsid w:val="00716081"/>
    <w:rsid w:val="0071789D"/>
    <w:rsid w:val="00720ABA"/>
    <w:rsid w:val="00721501"/>
    <w:rsid w:val="007217E8"/>
    <w:rsid w:val="007223FD"/>
    <w:rsid w:val="00722B48"/>
    <w:rsid w:val="00724164"/>
    <w:rsid w:val="00725DE7"/>
    <w:rsid w:val="0072636A"/>
    <w:rsid w:val="00726B44"/>
    <w:rsid w:val="00727330"/>
    <w:rsid w:val="007278B4"/>
    <w:rsid w:val="007318DD"/>
    <w:rsid w:val="007321A3"/>
    <w:rsid w:val="00733167"/>
    <w:rsid w:val="007337DA"/>
    <w:rsid w:val="007348C2"/>
    <w:rsid w:val="00734977"/>
    <w:rsid w:val="0073705A"/>
    <w:rsid w:val="00737773"/>
    <w:rsid w:val="00740B90"/>
    <w:rsid w:val="00740D2C"/>
    <w:rsid w:val="00742BDF"/>
    <w:rsid w:val="00744650"/>
    <w:rsid w:val="00744BF9"/>
    <w:rsid w:val="00750607"/>
    <w:rsid w:val="007523F1"/>
    <w:rsid w:val="00752623"/>
    <w:rsid w:val="007569E3"/>
    <w:rsid w:val="00757CCE"/>
    <w:rsid w:val="00757E33"/>
    <w:rsid w:val="00760F1F"/>
    <w:rsid w:val="00762578"/>
    <w:rsid w:val="00763457"/>
    <w:rsid w:val="0076423E"/>
    <w:rsid w:val="0076466B"/>
    <w:rsid w:val="007646CB"/>
    <w:rsid w:val="0076658F"/>
    <w:rsid w:val="00766931"/>
    <w:rsid w:val="00767050"/>
    <w:rsid w:val="0077040A"/>
    <w:rsid w:val="0077123E"/>
    <w:rsid w:val="00772D64"/>
    <w:rsid w:val="0077635D"/>
    <w:rsid w:val="007772FE"/>
    <w:rsid w:val="00780E8D"/>
    <w:rsid w:val="00780EB0"/>
    <w:rsid w:val="00781789"/>
    <w:rsid w:val="00782B1C"/>
    <w:rsid w:val="00790607"/>
    <w:rsid w:val="00792609"/>
    <w:rsid w:val="00792646"/>
    <w:rsid w:val="00792887"/>
    <w:rsid w:val="00792F42"/>
    <w:rsid w:val="0079314E"/>
    <w:rsid w:val="00793ED0"/>
    <w:rsid w:val="007943E2"/>
    <w:rsid w:val="00794F2C"/>
    <w:rsid w:val="00795AEF"/>
    <w:rsid w:val="007A3BC7"/>
    <w:rsid w:val="007A5AC4"/>
    <w:rsid w:val="007A614E"/>
    <w:rsid w:val="007A7102"/>
    <w:rsid w:val="007B01AF"/>
    <w:rsid w:val="007B0FDD"/>
    <w:rsid w:val="007B165C"/>
    <w:rsid w:val="007B22AA"/>
    <w:rsid w:val="007B2A24"/>
    <w:rsid w:val="007B33FB"/>
    <w:rsid w:val="007B4802"/>
    <w:rsid w:val="007B6668"/>
    <w:rsid w:val="007B6B33"/>
    <w:rsid w:val="007B6B3C"/>
    <w:rsid w:val="007C176A"/>
    <w:rsid w:val="007C1BA1"/>
    <w:rsid w:val="007C2701"/>
    <w:rsid w:val="007C288D"/>
    <w:rsid w:val="007C3F94"/>
    <w:rsid w:val="007C41D9"/>
    <w:rsid w:val="007C4B5C"/>
    <w:rsid w:val="007C4D05"/>
    <w:rsid w:val="007C72CA"/>
    <w:rsid w:val="007C7B5A"/>
    <w:rsid w:val="007D0670"/>
    <w:rsid w:val="007D0C31"/>
    <w:rsid w:val="007D18AC"/>
    <w:rsid w:val="007D1C11"/>
    <w:rsid w:val="007D2192"/>
    <w:rsid w:val="007D2238"/>
    <w:rsid w:val="007D66DF"/>
    <w:rsid w:val="007E0845"/>
    <w:rsid w:val="007E2A6C"/>
    <w:rsid w:val="007E3F22"/>
    <w:rsid w:val="007F0021"/>
    <w:rsid w:val="007F023F"/>
    <w:rsid w:val="007F2274"/>
    <w:rsid w:val="007F268C"/>
    <w:rsid w:val="007F2F52"/>
    <w:rsid w:val="00801F71"/>
    <w:rsid w:val="00803064"/>
    <w:rsid w:val="00803269"/>
    <w:rsid w:val="00805F28"/>
    <w:rsid w:val="0080749F"/>
    <w:rsid w:val="00807D30"/>
    <w:rsid w:val="00811D46"/>
    <w:rsid w:val="008125B0"/>
    <w:rsid w:val="00813957"/>
    <w:rsid w:val="008144CB"/>
    <w:rsid w:val="00814843"/>
    <w:rsid w:val="00814861"/>
    <w:rsid w:val="00814A73"/>
    <w:rsid w:val="0081624E"/>
    <w:rsid w:val="00817017"/>
    <w:rsid w:val="00821717"/>
    <w:rsid w:val="00821885"/>
    <w:rsid w:val="00824210"/>
    <w:rsid w:val="00824678"/>
    <w:rsid w:val="00825C24"/>
    <w:rsid w:val="008263C0"/>
    <w:rsid w:val="00830ACC"/>
    <w:rsid w:val="0083413D"/>
    <w:rsid w:val="00835015"/>
    <w:rsid w:val="0083541E"/>
    <w:rsid w:val="008355CE"/>
    <w:rsid w:val="00835DA3"/>
    <w:rsid w:val="00835E14"/>
    <w:rsid w:val="00840269"/>
    <w:rsid w:val="00840837"/>
    <w:rsid w:val="00841422"/>
    <w:rsid w:val="00841602"/>
    <w:rsid w:val="00841D3B"/>
    <w:rsid w:val="0084314C"/>
    <w:rsid w:val="00843171"/>
    <w:rsid w:val="00843C2C"/>
    <w:rsid w:val="008444D3"/>
    <w:rsid w:val="00844931"/>
    <w:rsid w:val="008455C6"/>
    <w:rsid w:val="00847131"/>
    <w:rsid w:val="00847E47"/>
    <w:rsid w:val="0085522E"/>
    <w:rsid w:val="008555DC"/>
    <w:rsid w:val="008575C3"/>
    <w:rsid w:val="00863D28"/>
    <w:rsid w:val="008648C3"/>
    <w:rsid w:val="008671E4"/>
    <w:rsid w:val="00870A16"/>
    <w:rsid w:val="008723A6"/>
    <w:rsid w:val="00877B58"/>
    <w:rsid w:val="00880F26"/>
    <w:rsid w:val="00881065"/>
    <w:rsid w:val="00884EB4"/>
    <w:rsid w:val="00885C66"/>
    <w:rsid w:val="00887B65"/>
    <w:rsid w:val="00890678"/>
    <w:rsid w:val="00890BF4"/>
    <w:rsid w:val="00892A1F"/>
    <w:rsid w:val="00896C2E"/>
    <w:rsid w:val="00897DCC"/>
    <w:rsid w:val="008A26CE"/>
    <w:rsid w:val="008A3D69"/>
    <w:rsid w:val="008A422D"/>
    <w:rsid w:val="008A5030"/>
    <w:rsid w:val="008A5095"/>
    <w:rsid w:val="008A5350"/>
    <w:rsid w:val="008A606D"/>
    <w:rsid w:val="008A608F"/>
    <w:rsid w:val="008A60B3"/>
    <w:rsid w:val="008A6112"/>
    <w:rsid w:val="008B0784"/>
    <w:rsid w:val="008B1A9A"/>
    <w:rsid w:val="008B2C88"/>
    <w:rsid w:val="008B3BFD"/>
    <w:rsid w:val="008B4FE6"/>
    <w:rsid w:val="008B6C1B"/>
    <w:rsid w:val="008B6C37"/>
    <w:rsid w:val="008C1772"/>
    <w:rsid w:val="008C2087"/>
    <w:rsid w:val="008C2FD8"/>
    <w:rsid w:val="008C2FFF"/>
    <w:rsid w:val="008C5680"/>
    <w:rsid w:val="008C58B6"/>
    <w:rsid w:val="008D00DE"/>
    <w:rsid w:val="008D0B16"/>
    <w:rsid w:val="008D6E68"/>
    <w:rsid w:val="008D7AE7"/>
    <w:rsid w:val="008E0F4C"/>
    <w:rsid w:val="008E18F7"/>
    <w:rsid w:val="008E1E10"/>
    <w:rsid w:val="008E291B"/>
    <w:rsid w:val="008E3E93"/>
    <w:rsid w:val="008E46CD"/>
    <w:rsid w:val="008E4801"/>
    <w:rsid w:val="008E4F2F"/>
    <w:rsid w:val="008E61B8"/>
    <w:rsid w:val="008E74B0"/>
    <w:rsid w:val="008F1739"/>
    <w:rsid w:val="008F4268"/>
    <w:rsid w:val="008F5A40"/>
    <w:rsid w:val="008F5C87"/>
    <w:rsid w:val="009002F6"/>
    <w:rsid w:val="009008A8"/>
    <w:rsid w:val="00901F92"/>
    <w:rsid w:val="009028DE"/>
    <w:rsid w:val="00903507"/>
    <w:rsid w:val="0090524A"/>
    <w:rsid w:val="00905DD4"/>
    <w:rsid w:val="00905E67"/>
    <w:rsid w:val="009063B0"/>
    <w:rsid w:val="009065CB"/>
    <w:rsid w:val="00907106"/>
    <w:rsid w:val="009107FD"/>
    <w:rsid w:val="0091137C"/>
    <w:rsid w:val="009113CE"/>
    <w:rsid w:val="00911567"/>
    <w:rsid w:val="009122E1"/>
    <w:rsid w:val="0091327D"/>
    <w:rsid w:val="00915305"/>
    <w:rsid w:val="00916C76"/>
    <w:rsid w:val="00917AAE"/>
    <w:rsid w:val="00923F3D"/>
    <w:rsid w:val="00924D78"/>
    <w:rsid w:val="009251A9"/>
    <w:rsid w:val="00926C20"/>
    <w:rsid w:val="00927346"/>
    <w:rsid w:val="00927551"/>
    <w:rsid w:val="00930699"/>
    <w:rsid w:val="00931F69"/>
    <w:rsid w:val="00934123"/>
    <w:rsid w:val="00937FC2"/>
    <w:rsid w:val="009404C6"/>
    <w:rsid w:val="00940F23"/>
    <w:rsid w:val="00944BCE"/>
    <w:rsid w:val="00944ECE"/>
    <w:rsid w:val="0094556A"/>
    <w:rsid w:val="00950F77"/>
    <w:rsid w:val="009549C9"/>
    <w:rsid w:val="00955774"/>
    <w:rsid w:val="009560B5"/>
    <w:rsid w:val="00957EEB"/>
    <w:rsid w:val="009629CE"/>
    <w:rsid w:val="009645D8"/>
    <w:rsid w:val="0096484C"/>
    <w:rsid w:val="0096605E"/>
    <w:rsid w:val="00966AD6"/>
    <w:rsid w:val="00966BDD"/>
    <w:rsid w:val="00967203"/>
    <w:rsid w:val="009703A0"/>
    <w:rsid w:val="009703D6"/>
    <w:rsid w:val="009714CD"/>
    <w:rsid w:val="0097181B"/>
    <w:rsid w:val="00975D46"/>
    <w:rsid w:val="009769B3"/>
    <w:rsid w:val="00976DC5"/>
    <w:rsid w:val="00981720"/>
    <w:rsid w:val="009818C7"/>
    <w:rsid w:val="00982CE7"/>
    <w:rsid w:val="00982DD4"/>
    <w:rsid w:val="009841E5"/>
    <w:rsid w:val="0098479F"/>
    <w:rsid w:val="00984A8A"/>
    <w:rsid w:val="009857B6"/>
    <w:rsid w:val="00985928"/>
    <w:rsid w:val="00985A8D"/>
    <w:rsid w:val="009862CB"/>
    <w:rsid w:val="00986610"/>
    <w:rsid w:val="009877DC"/>
    <w:rsid w:val="0099041B"/>
    <w:rsid w:val="00990A40"/>
    <w:rsid w:val="00991C92"/>
    <w:rsid w:val="00991F96"/>
    <w:rsid w:val="0099268D"/>
    <w:rsid w:val="00992E2E"/>
    <w:rsid w:val="0099367E"/>
    <w:rsid w:val="00993BFF"/>
    <w:rsid w:val="009947A0"/>
    <w:rsid w:val="00996F0A"/>
    <w:rsid w:val="009A0DAE"/>
    <w:rsid w:val="009A1D86"/>
    <w:rsid w:val="009A1FF2"/>
    <w:rsid w:val="009A37ED"/>
    <w:rsid w:val="009A43E0"/>
    <w:rsid w:val="009A5B40"/>
    <w:rsid w:val="009B049C"/>
    <w:rsid w:val="009B11C8"/>
    <w:rsid w:val="009B1980"/>
    <w:rsid w:val="009B1EDB"/>
    <w:rsid w:val="009B2BCF"/>
    <w:rsid w:val="009B2FF8"/>
    <w:rsid w:val="009B5BA3"/>
    <w:rsid w:val="009B5BD3"/>
    <w:rsid w:val="009B70EF"/>
    <w:rsid w:val="009C1982"/>
    <w:rsid w:val="009C6D93"/>
    <w:rsid w:val="009C7FDE"/>
    <w:rsid w:val="009D0027"/>
    <w:rsid w:val="009D0655"/>
    <w:rsid w:val="009D0957"/>
    <w:rsid w:val="009D11BD"/>
    <w:rsid w:val="009D16AF"/>
    <w:rsid w:val="009D3239"/>
    <w:rsid w:val="009D5084"/>
    <w:rsid w:val="009D6152"/>
    <w:rsid w:val="009D7415"/>
    <w:rsid w:val="009D7A56"/>
    <w:rsid w:val="009E075F"/>
    <w:rsid w:val="009E08FC"/>
    <w:rsid w:val="009E0C8E"/>
    <w:rsid w:val="009E191A"/>
    <w:rsid w:val="009E1E98"/>
    <w:rsid w:val="009E3172"/>
    <w:rsid w:val="009E3ABE"/>
    <w:rsid w:val="009E3C4B"/>
    <w:rsid w:val="009E5B71"/>
    <w:rsid w:val="009E7A79"/>
    <w:rsid w:val="009E7EB1"/>
    <w:rsid w:val="009F003D"/>
    <w:rsid w:val="009F0637"/>
    <w:rsid w:val="009F0C0D"/>
    <w:rsid w:val="009F2CFF"/>
    <w:rsid w:val="009F2F76"/>
    <w:rsid w:val="009F3202"/>
    <w:rsid w:val="009F534B"/>
    <w:rsid w:val="009F62A6"/>
    <w:rsid w:val="009F674F"/>
    <w:rsid w:val="009F799E"/>
    <w:rsid w:val="00A02020"/>
    <w:rsid w:val="00A02726"/>
    <w:rsid w:val="00A02EF0"/>
    <w:rsid w:val="00A04A6D"/>
    <w:rsid w:val="00A056CB"/>
    <w:rsid w:val="00A05C9E"/>
    <w:rsid w:val="00A07A29"/>
    <w:rsid w:val="00A07C2D"/>
    <w:rsid w:val="00A07D55"/>
    <w:rsid w:val="00A10FF1"/>
    <w:rsid w:val="00A13845"/>
    <w:rsid w:val="00A1506B"/>
    <w:rsid w:val="00A1528A"/>
    <w:rsid w:val="00A15486"/>
    <w:rsid w:val="00A16A62"/>
    <w:rsid w:val="00A16F9C"/>
    <w:rsid w:val="00A17CB2"/>
    <w:rsid w:val="00A21097"/>
    <w:rsid w:val="00A23191"/>
    <w:rsid w:val="00A24C44"/>
    <w:rsid w:val="00A25160"/>
    <w:rsid w:val="00A31750"/>
    <w:rsid w:val="00A31873"/>
    <w:rsid w:val="00A319C0"/>
    <w:rsid w:val="00A33560"/>
    <w:rsid w:val="00A35592"/>
    <w:rsid w:val="00A364E4"/>
    <w:rsid w:val="00A371A5"/>
    <w:rsid w:val="00A401A7"/>
    <w:rsid w:val="00A40EE2"/>
    <w:rsid w:val="00A41A2B"/>
    <w:rsid w:val="00A41BE2"/>
    <w:rsid w:val="00A42744"/>
    <w:rsid w:val="00A42DB5"/>
    <w:rsid w:val="00A43C82"/>
    <w:rsid w:val="00A44BD9"/>
    <w:rsid w:val="00A44D47"/>
    <w:rsid w:val="00A45EE0"/>
    <w:rsid w:val="00A463F6"/>
    <w:rsid w:val="00A47BDF"/>
    <w:rsid w:val="00A503E9"/>
    <w:rsid w:val="00A51CD7"/>
    <w:rsid w:val="00A52ADB"/>
    <w:rsid w:val="00A533E8"/>
    <w:rsid w:val="00A542D9"/>
    <w:rsid w:val="00A54972"/>
    <w:rsid w:val="00A552EB"/>
    <w:rsid w:val="00A562BF"/>
    <w:rsid w:val="00A56563"/>
    <w:rsid w:val="00A56E64"/>
    <w:rsid w:val="00A617DF"/>
    <w:rsid w:val="00A624C3"/>
    <w:rsid w:val="00A62F95"/>
    <w:rsid w:val="00A64CE4"/>
    <w:rsid w:val="00A657D9"/>
    <w:rsid w:val="00A6641C"/>
    <w:rsid w:val="00A66758"/>
    <w:rsid w:val="00A722D1"/>
    <w:rsid w:val="00A73750"/>
    <w:rsid w:val="00A767D2"/>
    <w:rsid w:val="00A77616"/>
    <w:rsid w:val="00A805DA"/>
    <w:rsid w:val="00A811B4"/>
    <w:rsid w:val="00A83080"/>
    <w:rsid w:val="00A841DC"/>
    <w:rsid w:val="00A846E2"/>
    <w:rsid w:val="00A848FE"/>
    <w:rsid w:val="00A855A9"/>
    <w:rsid w:val="00A87B3A"/>
    <w:rsid w:val="00A87CDE"/>
    <w:rsid w:val="00A92BAF"/>
    <w:rsid w:val="00A92C34"/>
    <w:rsid w:val="00A93165"/>
    <w:rsid w:val="00A943AD"/>
    <w:rsid w:val="00A94737"/>
    <w:rsid w:val="00A94BA3"/>
    <w:rsid w:val="00A96CBA"/>
    <w:rsid w:val="00AA11B7"/>
    <w:rsid w:val="00AA19CB"/>
    <w:rsid w:val="00AA2E23"/>
    <w:rsid w:val="00AA3055"/>
    <w:rsid w:val="00AA3663"/>
    <w:rsid w:val="00AA6961"/>
    <w:rsid w:val="00AA7D50"/>
    <w:rsid w:val="00AB180A"/>
    <w:rsid w:val="00AB1ACD"/>
    <w:rsid w:val="00AB1DA8"/>
    <w:rsid w:val="00AB277F"/>
    <w:rsid w:val="00AB2D33"/>
    <w:rsid w:val="00AB4099"/>
    <w:rsid w:val="00AB449A"/>
    <w:rsid w:val="00AB455B"/>
    <w:rsid w:val="00AB6CA3"/>
    <w:rsid w:val="00AB7934"/>
    <w:rsid w:val="00AC0BF0"/>
    <w:rsid w:val="00AC2BD7"/>
    <w:rsid w:val="00AC3201"/>
    <w:rsid w:val="00AC42DC"/>
    <w:rsid w:val="00AC598F"/>
    <w:rsid w:val="00AC5C62"/>
    <w:rsid w:val="00AC6F95"/>
    <w:rsid w:val="00AD08AB"/>
    <w:rsid w:val="00AD0AAE"/>
    <w:rsid w:val="00AD14F9"/>
    <w:rsid w:val="00AD15B6"/>
    <w:rsid w:val="00AD1761"/>
    <w:rsid w:val="00AD266F"/>
    <w:rsid w:val="00AD272A"/>
    <w:rsid w:val="00AD35D6"/>
    <w:rsid w:val="00AD58C5"/>
    <w:rsid w:val="00AD7233"/>
    <w:rsid w:val="00AE0020"/>
    <w:rsid w:val="00AE026D"/>
    <w:rsid w:val="00AE1B75"/>
    <w:rsid w:val="00AE2B29"/>
    <w:rsid w:val="00AE36C4"/>
    <w:rsid w:val="00AE3FBE"/>
    <w:rsid w:val="00AE472C"/>
    <w:rsid w:val="00AE4E36"/>
    <w:rsid w:val="00AE5364"/>
    <w:rsid w:val="00AE5375"/>
    <w:rsid w:val="00AE6CF8"/>
    <w:rsid w:val="00AF2253"/>
    <w:rsid w:val="00AF3222"/>
    <w:rsid w:val="00AF379A"/>
    <w:rsid w:val="00AF4B37"/>
    <w:rsid w:val="00AF4CAC"/>
    <w:rsid w:val="00AF4F23"/>
    <w:rsid w:val="00AF71C5"/>
    <w:rsid w:val="00B01C55"/>
    <w:rsid w:val="00B03E0D"/>
    <w:rsid w:val="00B047A0"/>
    <w:rsid w:val="00B05439"/>
    <w:rsid w:val="00B054F8"/>
    <w:rsid w:val="00B10391"/>
    <w:rsid w:val="00B108DA"/>
    <w:rsid w:val="00B10BE9"/>
    <w:rsid w:val="00B10DA5"/>
    <w:rsid w:val="00B11157"/>
    <w:rsid w:val="00B13FDD"/>
    <w:rsid w:val="00B167C0"/>
    <w:rsid w:val="00B2219A"/>
    <w:rsid w:val="00B23B27"/>
    <w:rsid w:val="00B250B6"/>
    <w:rsid w:val="00B25436"/>
    <w:rsid w:val="00B25676"/>
    <w:rsid w:val="00B2600D"/>
    <w:rsid w:val="00B2660E"/>
    <w:rsid w:val="00B27132"/>
    <w:rsid w:val="00B314CB"/>
    <w:rsid w:val="00B330AD"/>
    <w:rsid w:val="00B3551C"/>
    <w:rsid w:val="00B3581B"/>
    <w:rsid w:val="00B36B81"/>
    <w:rsid w:val="00B36FEE"/>
    <w:rsid w:val="00B37926"/>
    <w:rsid w:val="00B37C80"/>
    <w:rsid w:val="00B40E49"/>
    <w:rsid w:val="00B44F05"/>
    <w:rsid w:val="00B47D9F"/>
    <w:rsid w:val="00B5092B"/>
    <w:rsid w:val="00B5164F"/>
    <w:rsid w:val="00B5194E"/>
    <w:rsid w:val="00B51AF5"/>
    <w:rsid w:val="00B52F8C"/>
    <w:rsid w:val="00B531FC"/>
    <w:rsid w:val="00B539DE"/>
    <w:rsid w:val="00B55347"/>
    <w:rsid w:val="00B55C8B"/>
    <w:rsid w:val="00B5664E"/>
    <w:rsid w:val="00B56796"/>
    <w:rsid w:val="00B57E5E"/>
    <w:rsid w:val="00B60040"/>
    <w:rsid w:val="00B61365"/>
    <w:rsid w:val="00B61598"/>
    <w:rsid w:val="00B61B9B"/>
    <w:rsid w:val="00B61F37"/>
    <w:rsid w:val="00B67C0A"/>
    <w:rsid w:val="00B7022D"/>
    <w:rsid w:val="00B702C3"/>
    <w:rsid w:val="00B70CED"/>
    <w:rsid w:val="00B73FD7"/>
    <w:rsid w:val="00B7414C"/>
    <w:rsid w:val="00B7441D"/>
    <w:rsid w:val="00B76211"/>
    <w:rsid w:val="00B77119"/>
    <w:rsid w:val="00B7770F"/>
    <w:rsid w:val="00B77A89"/>
    <w:rsid w:val="00B77B27"/>
    <w:rsid w:val="00B8134E"/>
    <w:rsid w:val="00B81B55"/>
    <w:rsid w:val="00B82F87"/>
    <w:rsid w:val="00B84613"/>
    <w:rsid w:val="00B87AF0"/>
    <w:rsid w:val="00B9037B"/>
    <w:rsid w:val="00B910BD"/>
    <w:rsid w:val="00B93834"/>
    <w:rsid w:val="00B94915"/>
    <w:rsid w:val="00B94E95"/>
    <w:rsid w:val="00B96469"/>
    <w:rsid w:val="00B977DF"/>
    <w:rsid w:val="00BA0DA2"/>
    <w:rsid w:val="00BA1F7E"/>
    <w:rsid w:val="00BA2892"/>
    <w:rsid w:val="00BA2981"/>
    <w:rsid w:val="00BA2EF2"/>
    <w:rsid w:val="00BA34E0"/>
    <w:rsid w:val="00BA42EE"/>
    <w:rsid w:val="00BA478D"/>
    <w:rsid w:val="00BA48F9"/>
    <w:rsid w:val="00BA5BCF"/>
    <w:rsid w:val="00BA5FBC"/>
    <w:rsid w:val="00BA77A8"/>
    <w:rsid w:val="00BA7D5A"/>
    <w:rsid w:val="00BB0DCA"/>
    <w:rsid w:val="00BB2666"/>
    <w:rsid w:val="00BB2AE3"/>
    <w:rsid w:val="00BB2D81"/>
    <w:rsid w:val="00BB3F8D"/>
    <w:rsid w:val="00BB44C7"/>
    <w:rsid w:val="00BB45E6"/>
    <w:rsid w:val="00BB51EE"/>
    <w:rsid w:val="00BB53E3"/>
    <w:rsid w:val="00BB5984"/>
    <w:rsid w:val="00BB6B80"/>
    <w:rsid w:val="00BC189A"/>
    <w:rsid w:val="00BC284E"/>
    <w:rsid w:val="00BC3773"/>
    <w:rsid w:val="00BC381A"/>
    <w:rsid w:val="00BC457D"/>
    <w:rsid w:val="00BC6412"/>
    <w:rsid w:val="00BC705F"/>
    <w:rsid w:val="00BC799F"/>
    <w:rsid w:val="00BC7A08"/>
    <w:rsid w:val="00BD0962"/>
    <w:rsid w:val="00BD1EED"/>
    <w:rsid w:val="00BD2E42"/>
    <w:rsid w:val="00BD4B8C"/>
    <w:rsid w:val="00BE0EDB"/>
    <w:rsid w:val="00BE2ABD"/>
    <w:rsid w:val="00BE6428"/>
    <w:rsid w:val="00BF0DA2"/>
    <w:rsid w:val="00BF109C"/>
    <w:rsid w:val="00BF244F"/>
    <w:rsid w:val="00BF34FA"/>
    <w:rsid w:val="00BF4EA2"/>
    <w:rsid w:val="00BF7620"/>
    <w:rsid w:val="00C004B6"/>
    <w:rsid w:val="00C00AAD"/>
    <w:rsid w:val="00C01B2E"/>
    <w:rsid w:val="00C0250D"/>
    <w:rsid w:val="00C026EB"/>
    <w:rsid w:val="00C0345D"/>
    <w:rsid w:val="00C03783"/>
    <w:rsid w:val="00C04648"/>
    <w:rsid w:val="00C047A7"/>
    <w:rsid w:val="00C04ED2"/>
    <w:rsid w:val="00C04FCE"/>
    <w:rsid w:val="00C05037"/>
    <w:rsid w:val="00C05DE5"/>
    <w:rsid w:val="00C06927"/>
    <w:rsid w:val="00C1034F"/>
    <w:rsid w:val="00C10A5E"/>
    <w:rsid w:val="00C10F9A"/>
    <w:rsid w:val="00C1143F"/>
    <w:rsid w:val="00C12A58"/>
    <w:rsid w:val="00C164FB"/>
    <w:rsid w:val="00C171BD"/>
    <w:rsid w:val="00C1743F"/>
    <w:rsid w:val="00C21652"/>
    <w:rsid w:val="00C26AE0"/>
    <w:rsid w:val="00C27D9E"/>
    <w:rsid w:val="00C30596"/>
    <w:rsid w:val="00C33027"/>
    <w:rsid w:val="00C34D38"/>
    <w:rsid w:val="00C37667"/>
    <w:rsid w:val="00C40FE0"/>
    <w:rsid w:val="00C416C6"/>
    <w:rsid w:val="00C428A4"/>
    <w:rsid w:val="00C435DB"/>
    <w:rsid w:val="00C44D73"/>
    <w:rsid w:val="00C466A0"/>
    <w:rsid w:val="00C50B42"/>
    <w:rsid w:val="00C50FCD"/>
    <w:rsid w:val="00C516FF"/>
    <w:rsid w:val="00C52747"/>
    <w:rsid w:val="00C52BFA"/>
    <w:rsid w:val="00C52F65"/>
    <w:rsid w:val="00C53D1D"/>
    <w:rsid w:val="00C53F26"/>
    <w:rsid w:val="00C540BC"/>
    <w:rsid w:val="00C570F5"/>
    <w:rsid w:val="00C609C8"/>
    <w:rsid w:val="00C60CF4"/>
    <w:rsid w:val="00C62A49"/>
    <w:rsid w:val="00C62C40"/>
    <w:rsid w:val="00C64A99"/>
    <w:rsid w:val="00C64F7D"/>
    <w:rsid w:val="00C66042"/>
    <w:rsid w:val="00C67176"/>
    <w:rsid w:val="00C67307"/>
    <w:rsid w:val="00C67309"/>
    <w:rsid w:val="00C70B42"/>
    <w:rsid w:val="00C726DF"/>
    <w:rsid w:val="00C7614E"/>
    <w:rsid w:val="00C77BF1"/>
    <w:rsid w:val="00C77D0C"/>
    <w:rsid w:val="00C80028"/>
    <w:rsid w:val="00C8098B"/>
    <w:rsid w:val="00C80D60"/>
    <w:rsid w:val="00C81891"/>
    <w:rsid w:val="00C82FBD"/>
    <w:rsid w:val="00C83759"/>
    <w:rsid w:val="00C83EE1"/>
    <w:rsid w:val="00C85267"/>
    <w:rsid w:val="00C86927"/>
    <w:rsid w:val="00C8721B"/>
    <w:rsid w:val="00C8790B"/>
    <w:rsid w:val="00C91100"/>
    <w:rsid w:val="00C929E6"/>
    <w:rsid w:val="00C9372C"/>
    <w:rsid w:val="00C9470E"/>
    <w:rsid w:val="00C95CEB"/>
    <w:rsid w:val="00CA0093"/>
    <w:rsid w:val="00CA1054"/>
    <w:rsid w:val="00CA1200"/>
    <w:rsid w:val="00CA63EB"/>
    <w:rsid w:val="00CA68C7"/>
    <w:rsid w:val="00CA69F1"/>
    <w:rsid w:val="00CB0637"/>
    <w:rsid w:val="00CB2A3C"/>
    <w:rsid w:val="00CB56A4"/>
    <w:rsid w:val="00CB5C4C"/>
    <w:rsid w:val="00CB655F"/>
    <w:rsid w:val="00CB6799"/>
    <w:rsid w:val="00CB6991"/>
    <w:rsid w:val="00CB6F96"/>
    <w:rsid w:val="00CC18A0"/>
    <w:rsid w:val="00CC2EB2"/>
    <w:rsid w:val="00CC5334"/>
    <w:rsid w:val="00CC6020"/>
    <w:rsid w:val="00CC6194"/>
    <w:rsid w:val="00CC6305"/>
    <w:rsid w:val="00CC78A5"/>
    <w:rsid w:val="00CD0516"/>
    <w:rsid w:val="00CD2534"/>
    <w:rsid w:val="00CD594A"/>
    <w:rsid w:val="00CD6464"/>
    <w:rsid w:val="00CD756B"/>
    <w:rsid w:val="00CD7802"/>
    <w:rsid w:val="00CE04B4"/>
    <w:rsid w:val="00CE67B8"/>
    <w:rsid w:val="00CE6BBD"/>
    <w:rsid w:val="00CE734F"/>
    <w:rsid w:val="00CF0226"/>
    <w:rsid w:val="00CF112E"/>
    <w:rsid w:val="00CF1F07"/>
    <w:rsid w:val="00CF573F"/>
    <w:rsid w:val="00CF5F4F"/>
    <w:rsid w:val="00D0166C"/>
    <w:rsid w:val="00D104D6"/>
    <w:rsid w:val="00D12A04"/>
    <w:rsid w:val="00D149FE"/>
    <w:rsid w:val="00D150E9"/>
    <w:rsid w:val="00D2172C"/>
    <w:rsid w:val="00D218DC"/>
    <w:rsid w:val="00D2278B"/>
    <w:rsid w:val="00D24825"/>
    <w:rsid w:val="00D24E56"/>
    <w:rsid w:val="00D2510F"/>
    <w:rsid w:val="00D25368"/>
    <w:rsid w:val="00D30055"/>
    <w:rsid w:val="00D306F8"/>
    <w:rsid w:val="00D31643"/>
    <w:rsid w:val="00D31AEB"/>
    <w:rsid w:val="00D32280"/>
    <w:rsid w:val="00D32ECD"/>
    <w:rsid w:val="00D33130"/>
    <w:rsid w:val="00D33BB4"/>
    <w:rsid w:val="00D3425C"/>
    <w:rsid w:val="00D361E4"/>
    <w:rsid w:val="00D36EE6"/>
    <w:rsid w:val="00D419EC"/>
    <w:rsid w:val="00D42A8F"/>
    <w:rsid w:val="00D4321B"/>
    <w:rsid w:val="00D439F6"/>
    <w:rsid w:val="00D44179"/>
    <w:rsid w:val="00D447BF"/>
    <w:rsid w:val="00D459C6"/>
    <w:rsid w:val="00D46096"/>
    <w:rsid w:val="00D47429"/>
    <w:rsid w:val="00D50729"/>
    <w:rsid w:val="00D5087A"/>
    <w:rsid w:val="00D50C19"/>
    <w:rsid w:val="00D535C0"/>
    <w:rsid w:val="00D5379E"/>
    <w:rsid w:val="00D61131"/>
    <w:rsid w:val="00D62643"/>
    <w:rsid w:val="00D62E2B"/>
    <w:rsid w:val="00D63E5F"/>
    <w:rsid w:val="00D64C0F"/>
    <w:rsid w:val="00D6774F"/>
    <w:rsid w:val="00D70119"/>
    <w:rsid w:val="00D72EFE"/>
    <w:rsid w:val="00D75971"/>
    <w:rsid w:val="00D76227"/>
    <w:rsid w:val="00D77DF1"/>
    <w:rsid w:val="00D804B2"/>
    <w:rsid w:val="00D80E35"/>
    <w:rsid w:val="00D80E7B"/>
    <w:rsid w:val="00D81024"/>
    <w:rsid w:val="00D815D0"/>
    <w:rsid w:val="00D83A94"/>
    <w:rsid w:val="00D83D9A"/>
    <w:rsid w:val="00D84736"/>
    <w:rsid w:val="00D84BC4"/>
    <w:rsid w:val="00D86AFF"/>
    <w:rsid w:val="00D87993"/>
    <w:rsid w:val="00D9217D"/>
    <w:rsid w:val="00D95A44"/>
    <w:rsid w:val="00D95D16"/>
    <w:rsid w:val="00D96E14"/>
    <w:rsid w:val="00D97C76"/>
    <w:rsid w:val="00DA09E5"/>
    <w:rsid w:val="00DA1182"/>
    <w:rsid w:val="00DA4C35"/>
    <w:rsid w:val="00DA4E62"/>
    <w:rsid w:val="00DA559B"/>
    <w:rsid w:val="00DA7D93"/>
    <w:rsid w:val="00DB02B4"/>
    <w:rsid w:val="00DB047F"/>
    <w:rsid w:val="00DB084E"/>
    <w:rsid w:val="00DB1291"/>
    <w:rsid w:val="00DB210C"/>
    <w:rsid w:val="00DB3A22"/>
    <w:rsid w:val="00DB46BB"/>
    <w:rsid w:val="00DB538D"/>
    <w:rsid w:val="00DB64AD"/>
    <w:rsid w:val="00DB7434"/>
    <w:rsid w:val="00DB7A5B"/>
    <w:rsid w:val="00DC24A5"/>
    <w:rsid w:val="00DC275C"/>
    <w:rsid w:val="00DC330E"/>
    <w:rsid w:val="00DC49AC"/>
    <w:rsid w:val="00DC4B0D"/>
    <w:rsid w:val="00DC7030"/>
    <w:rsid w:val="00DC7FE1"/>
    <w:rsid w:val="00DD06F9"/>
    <w:rsid w:val="00DD284D"/>
    <w:rsid w:val="00DD2F22"/>
    <w:rsid w:val="00DD3F3F"/>
    <w:rsid w:val="00DD5572"/>
    <w:rsid w:val="00DD55FA"/>
    <w:rsid w:val="00DD59E9"/>
    <w:rsid w:val="00DE0F16"/>
    <w:rsid w:val="00DE54BC"/>
    <w:rsid w:val="00DE5B9A"/>
    <w:rsid w:val="00DE5D80"/>
    <w:rsid w:val="00DE7CF7"/>
    <w:rsid w:val="00DF268B"/>
    <w:rsid w:val="00DF3AED"/>
    <w:rsid w:val="00DF5191"/>
    <w:rsid w:val="00DF58CD"/>
    <w:rsid w:val="00DF65DE"/>
    <w:rsid w:val="00DF756A"/>
    <w:rsid w:val="00E001AC"/>
    <w:rsid w:val="00E00F91"/>
    <w:rsid w:val="00E01144"/>
    <w:rsid w:val="00E019A5"/>
    <w:rsid w:val="00E02690"/>
    <w:rsid w:val="00E02CE7"/>
    <w:rsid w:val="00E02EC8"/>
    <w:rsid w:val="00E037F5"/>
    <w:rsid w:val="00E04ECB"/>
    <w:rsid w:val="00E05501"/>
    <w:rsid w:val="00E05A09"/>
    <w:rsid w:val="00E06460"/>
    <w:rsid w:val="00E06CA1"/>
    <w:rsid w:val="00E07DDD"/>
    <w:rsid w:val="00E155B6"/>
    <w:rsid w:val="00E15FAE"/>
    <w:rsid w:val="00E172B8"/>
    <w:rsid w:val="00E17FB4"/>
    <w:rsid w:val="00E2002D"/>
    <w:rsid w:val="00E207E3"/>
    <w:rsid w:val="00E20B75"/>
    <w:rsid w:val="00E214F2"/>
    <w:rsid w:val="00E21952"/>
    <w:rsid w:val="00E22C54"/>
    <w:rsid w:val="00E2371E"/>
    <w:rsid w:val="00E24BD7"/>
    <w:rsid w:val="00E26523"/>
    <w:rsid w:val="00E26809"/>
    <w:rsid w:val="00E27E00"/>
    <w:rsid w:val="00E31AF1"/>
    <w:rsid w:val="00E334AC"/>
    <w:rsid w:val="00E3412D"/>
    <w:rsid w:val="00E34FA7"/>
    <w:rsid w:val="00E37030"/>
    <w:rsid w:val="00E4149E"/>
    <w:rsid w:val="00E41CFD"/>
    <w:rsid w:val="00E42DF9"/>
    <w:rsid w:val="00E42FCB"/>
    <w:rsid w:val="00E4323E"/>
    <w:rsid w:val="00E4324C"/>
    <w:rsid w:val="00E45C26"/>
    <w:rsid w:val="00E55771"/>
    <w:rsid w:val="00E57322"/>
    <w:rsid w:val="00E628CB"/>
    <w:rsid w:val="00E62AD9"/>
    <w:rsid w:val="00E638C8"/>
    <w:rsid w:val="00E64DBE"/>
    <w:rsid w:val="00E65A53"/>
    <w:rsid w:val="00E66876"/>
    <w:rsid w:val="00E66B4D"/>
    <w:rsid w:val="00E67C56"/>
    <w:rsid w:val="00E725F2"/>
    <w:rsid w:val="00E72FB9"/>
    <w:rsid w:val="00E74A9F"/>
    <w:rsid w:val="00E7509B"/>
    <w:rsid w:val="00E7568C"/>
    <w:rsid w:val="00E7731D"/>
    <w:rsid w:val="00E80790"/>
    <w:rsid w:val="00E824C0"/>
    <w:rsid w:val="00E86590"/>
    <w:rsid w:val="00E87F7B"/>
    <w:rsid w:val="00E907FF"/>
    <w:rsid w:val="00E92609"/>
    <w:rsid w:val="00E932A8"/>
    <w:rsid w:val="00E9355C"/>
    <w:rsid w:val="00E93906"/>
    <w:rsid w:val="00E9555E"/>
    <w:rsid w:val="00EA0742"/>
    <w:rsid w:val="00EA0E7C"/>
    <w:rsid w:val="00EA14D7"/>
    <w:rsid w:val="00EA1C4E"/>
    <w:rsid w:val="00EA37CD"/>
    <w:rsid w:val="00EA42D1"/>
    <w:rsid w:val="00EA42EF"/>
    <w:rsid w:val="00EB1E3B"/>
    <w:rsid w:val="00EB202E"/>
    <w:rsid w:val="00EB2DD1"/>
    <w:rsid w:val="00EB5E00"/>
    <w:rsid w:val="00EB6B37"/>
    <w:rsid w:val="00EC1E42"/>
    <w:rsid w:val="00EC29FE"/>
    <w:rsid w:val="00EC34D2"/>
    <w:rsid w:val="00EC3C70"/>
    <w:rsid w:val="00EC5288"/>
    <w:rsid w:val="00EC566C"/>
    <w:rsid w:val="00EC7159"/>
    <w:rsid w:val="00ED0140"/>
    <w:rsid w:val="00ED08CA"/>
    <w:rsid w:val="00ED2AA7"/>
    <w:rsid w:val="00ED3A3D"/>
    <w:rsid w:val="00ED521C"/>
    <w:rsid w:val="00ED538A"/>
    <w:rsid w:val="00ED6AAB"/>
    <w:rsid w:val="00ED6FBC"/>
    <w:rsid w:val="00EE1115"/>
    <w:rsid w:val="00EE2F16"/>
    <w:rsid w:val="00EE3861"/>
    <w:rsid w:val="00EE39BB"/>
    <w:rsid w:val="00EE3CA6"/>
    <w:rsid w:val="00EE5281"/>
    <w:rsid w:val="00EE6051"/>
    <w:rsid w:val="00EF1168"/>
    <w:rsid w:val="00EF2E73"/>
    <w:rsid w:val="00EF7683"/>
    <w:rsid w:val="00EF787E"/>
    <w:rsid w:val="00EF7A2D"/>
    <w:rsid w:val="00EF7D52"/>
    <w:rsid w:val="00F033F7"/>
    <w:rsid w:val="00F034CE"/>
    <w:rsid w:val="00F039D7"/>
    <w:rsid w:val="00F04F8D"/>
    <w:rsid w:val="00F062D3"/>
    <w:rsid w:val="00F10AD0"/>
    <w:rsid w:val="00F116CC"/>
    <w:rsid w:val="00F128C4"/>
    <w:rsid w:val="00F12A21"/>
    <w:rsid w:val="00F12BD1"/>
    <w:rsid w:val="00F12EDB"/>
    <w:rsid w:val="00F133BC"/>
    <w:rsid w:val="00F135FD"/>
    <w:rsid w:val="00F147C4"/>
    <w:rsid w:val="00F15327"/>
    <w:rsid w:val="00F168CF"/>
    <w:rsid w:val="00F20739"/>
    <w:rsid w:val="00F24D22"/>
    <w:rsid w:val="00F2555C"/>
    <w:rsid w:val="00F26543"/>
    <w:rsid w:val="00F27695"/>
    <w:rsid w:val="00F27B89"/>
    <w:rsid w:val="00F3186C"/>
    <w:rsid w:val="00F31DF3"/>
    <w:rsid w:val="00F3393D"/>
    <w:rsid w:val="00F33AE5"/>
    <w:rsid w:val="00F3597D"/>
    <w:rsid w:val="00F4187B"/>
    <w:rsid w:val="00F4376D"/>
    <w:rsid w:val="00F4463C"/>
    <w:rsid w:val="00F45399"/>
    <w:rsid w:val="00F45BF1"/>
    <w:rsid w:val="00F465EA"/>
    <w:rsid w:val="00F4706B"/>
    <w:rsid w:val="00F51AA5"/>
    <w:rsid w:val="00F5215C"/>
    <w:rsid w:val="00F547D3"/>
    <w:rsid w:val="00F54E7B"/>
    <w:rsid w:val="00F55A88"/>
    <w:rsid w:val="00F56472"/>
    <w:rsid w:val="00F56AB6"/>
    <w:rsid w:val="00F56BB1"/>
    <w:rsid w:val="00F56D9E"/>
    <w:rsid w:val="00F578F4"/>
    <w:rsid w:val="00F61772"/>
    <w:rsid w:val="00F65CFA"/>
    <w:rsid w:val="00F70102"/>
    <w:rsid w:val="00F715BB"/>
    <w:rsid w:val="00F74005"/>
    <w:rsid w:val="00F74622"/>
    <w:rsid w:val="00F76884"/>
    <w:rsid w:val="00F800C7"/>
    <w:rsid w:val="00F8061F"/>
    <w:rsid w:val="00F822CE"/>
    <w:rsid w:val="00F83285"/>
    <w:rsid w:val="00F837FB"/>
    <w:rsid w:val="00F83D24"/>
    <w:rsid w:val="00F83DD9"/>
    <w:rsid w:val="00F83F40"/>
    <w:rsid w:val="00F84687"/>
    <w:rsid w:val="00F904FA"/>
    <w:rsid w:val="00F955CB"/>
    <w:rsid w:val="00FA034E"/>
    <w:rsid w:val="00FA117A"/>
    <w:rsid w:val="00FA1896"/>
    <w:rsid w:val="00FA293D"/>
    <w:rsid w:val="00FA6401"/>
    <w:rsid w:val="00FB163B"/>
    <w:rsid w:val="00FB1A8C"/>
    <w:rsid w:val="00FB272D"/>
    <w:rsid w:val="00FB329F"/>
    <w:rsid w:val="00FB352F"/>
    <w:rsid w:val="00FB382A"/>
    <w:rsid w:val="00FB386A"/>
    <w:rsid w:val="00FB5D5D"/>
    <w:rsid w:val="00FB6D2F"/>
    <w:rsid w:val="00FB7CC0"/>
    <w:rsid w:val="00FC0786"/>
    <w:rsid w:val="00FC2027"/>
    <w:rsid w:val="00FC49EF"/>
    <w:rsid w:val="00FC51F0"/>
    <w:rsid w:val="00FC7C74"/>
    <w:rsid w:val="00FD0D8B"/>
    <w:rsid w:val="00FD1B4C"/>
    <w:rsid w:val="00FD2E19"/>
    <w:rsid w:val="00FD34D5"/>
    <w:rsid w:val="00FD40D3"/>
    <w:rsid w:val="00FD4C12"/>
    <w:rsid w:val="00FD5793"/>
    <w:rsid w:val="00FE0FD2"/>
    <w:rsid w:val="00FE1216"/>
    <w:rsid w:val="00FE36E2"/>
    <w:rsid w:val="00FE7F2C"/>
    <w:rsid w:val="00FF063D"/>
    <w:rsid w:val="00FF11AD"/>
    <w:rsid w:val="00FF1705"/>
    <w:rsid w:val="00FF1912"/>
    <w:rsid w:val="00FF22EF"/>
    <w:rsid w:val="00FF2971"/>
    <w:rsid w:val="00FF2E05"/>
    <w:rsid w:val="00FF34D4"/>
    <w:rsid w:val="00FF39BF"/>
    <w:rsid w:val="00FF6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D6E4F"/>
  <w15:chartTrackingRefBased/>
  <w15:docId w15:val="{B829D188-6C89-49BC-953C-909CFB13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C73"/>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link w:val="AkapitzlistZnak"/>
    <w:uiPriority w:val="34"/>
    <w:qFormat/>
    <w:rsid w:val="00397078"/>
    <w:pPr>
      <w:ind w:left="720"/>
      <w:contextualSpacing/>
    </w:pPr>
  </w:style>
  <w:style w:type="character" w:styleId="Odwoaniedokomentarza">
    <w:name w:val="annotation reference"/>
    <w:uiPriority w:val="99"/>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ARTartustawynprozporzdzenia">
    <w:name w:val="ART(§) – art. ustawy (§ np. rozporządzenia)"/>
    <w:uiPriority w:val="11"/>
    <w:qFormat/>
    <w:rsid w:val="002D7FA9"/>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icletitle">
    <w:name w:val="articletitle"/>
    <w:basedOn w:val="Domylnaczcionkaakapitu"/>
    <w:rsid w:val="00325814"/>
  </w:style>
  <w:style w:type="character" w:customStyle="1" w:styleId="footnote">
    <w:name w:val="footnote"/>
    <w:basedOn w:val="Domylnaczcionkaakapitu"/>
    <w:rsid w:val="00325814"/>
  </w:style>
  <w:style w:type="paragraph" w:customStyle="1" w:styleId="Default">
    <w:name w:val="Default"/>
    <w:rsid w:val="004328C6"/>
    <w:pPr>
      <w:autoSpaceDE w:val="0"/>
      <w:autoSpaceDN w:val="0"/>
      <w:adjustRightInd w:val="0"/>
    </w:pPr>
    <w:rPr>
      <w:rFonts w:ascii="Times New Roman" w:hAnsi="Times New Roman"/>
      <w:color w:val="000000"/>
      <w:sz w:val="24"/>
      <w:szCs w:val="24"/>
    </w:rPr>
  </w:style>
  <w:style w:type="character" w:customStyle="1" w:styleId="highlight">
    <w:name w:val="highlight"/>
    <w:basedOn w:val="Domylnaczcionkaakapitu"/>
    <w:rsid w:val="004328C6"/>
  </w:style>
  <w:style w:type="character" w:customStyle="1" w:styleId="Nierozpoznanawzmianka1">
    <w:name w:val="Nierozpoznana wzmianka1"/>
    <w:basedOn w:val="Domylnaczcionkaakapitu"/>
    <w:uiPriority w:val="99"/>
    <w:semiHidden/>
    <w:unhideWhenUsed/>
    <w:rsid w:val="00D80E7B"/>
    <w:rPr>
      <w:color w:val="605E5C"/>
      <w:shd w:val="clear" w:color="auto" w:fill="E1DFDD"/>
    </w:rPr>
  </w:style>
  <w:style w:type="paragraph" w:styleId="NormalnyWeb">
    <w:name w:val="Normal (Web)"/>
    <w:basedOn w:val="Normalny"/>
    <w:uiPriority w:val="99"/>
    <w:unhideWhenUsed/>
    <w:rsid w:val="000D7825"/>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locked/>
    <w:rsid w:val="000D7825"/>
    <w:rPr>
      <w:i/>
      <w:iCs/>
    </w:rPr>
  </w:style>
  <w:style w:type="character" w:styleId="Pogrubienie">
    <w:name w:val="Strong"/>
    <w:basedOn w:val="Domylnaczcionkaakapitu"/>
    <w:uiPriority w:val="22"/>
    <w:qFormat/>
    <w:locked/>
    <w:rsid w:val="000D7825"/>
    <w:rPr>
      <w:b/>
      <w:bCs/>
    </w:rPr>
  </w:style>
  <w:style w:type="character" w:customStyle="1" w:styleId="Nierozpoznanawzmianka2">
    <w:name w:val="Nierozpoznana wzmianka2"/>
    <w:basedOn w:val="Domylnaczcionkaakapitu"/>
    <w:uiPriority w:val="99"/>
    <w:semiHidden/>
    <w:unhideWhenUsed/>
    <w:rsid w:val="000F3C57"/>
    <w:rPr>
      <w:color w:val="605E5C"/>
      <w:shd w:val="clear" w:color="auto" w:fill="E1DFDD"/>
    </w:rPr>
  </w:style>
  <w:style w:type="paragraph" w:styleId="Poprawka">
    <w:name w:val="Revision"/>
    <w:hidden/>
    <w:uiPriority w:val="99"/>
    <w:semiHidden/>
    <w:rsid w:val="00840837"/>
    <w:rPr>
      <w:sz w:val="22"/>
      <w:szCs w:val="22"/>
      <w:lang w:eastAsia="en-US"/>
    </w:rPr>
  </w:style>
  <w:style w:type="character" w:customStyle="1" w:styleId="Nierozpoznanawzmianka3">
    <w:name w:val="Nierozpoznana wzmianka3"/>
    <w:basedOn w:val="Domylnaczcionkaakapitu"/>
    <w:uiPriority w:val="99"/>
    <w:semiHidden/>
    <w:unhideWhenUsed/>
    <w:rsid w:val="009E7A79"/>
    <w:rPr>
      <w:color w:val="605E5C"/>
      <w:shd w:val="clear" w:color="auto" w:fill="E1DFDD"/>
    </w:rPr>
  </w:style>
  <w:style w:type="character" w:customStyle="1" w:styleId="AkapitzlistZnak">
    <w:name w:val="Akapit z listą Znak"/>
    <w:link w:val="Akapitzlist"/>
    <w:uiPriority w:val="34"/>
    <w:locked/>
    <w:rsid w:val="00C1743F"/>
    <w:rPr>
      <w:sz w:val="22"/>
      <w:szCs w:val="22"/>
      <w:lang w:eastAsia="en-US"/>
    </w:rPr>
  </w:style>
  <w:style w:type="character" w:customStyle="1" w:styleId="A9">
    <w:name w:val="A9"/>
    <w:uiPriority w:val="99"/>
    <w:rsid w:val="00C8790B"/>
    <w:rPr>
      <w:rFonts w:cs="Acumin Pro Condensed Medium"/>
      <w:color w:val="000000"/>
      <w:sz w:val="22"/>
      <w:szCs w:val="22"/>
    </w:rPr>
  </w:style>
  <w:style w:type="character" w:customStyle="1" w:styleId="Ppogrubienie">
    <w:name w:val="_P_ – pogrubienie"/>
    <w:basedOn w:val="Domylnaczcionkaakapitu"/>
    <w:uiPriority w:val="1"/>
    <w:qFormat/>
    <w:rsid w:val="00807D30"/>
    <w:rPr>
      <w:b/>
    </w:rPr>
  </w:style>
  <w:style w:type="character" w:styleId="Nierozpoznanawzmianka">
    <w:name w:val="Unresolved Mention"/>
    <w:basedOn w:val="Domylnaczcionkaakapitu"/>
    <w:uiPriority w:val="99"/>
    <w:semiHidden/>
    <w:unhideWhenUsed/>
    <w:rsid w:val="00AB2D33"/>
    <w:rPr>
      <w:color w:val="605E5C"/>
      <w:shd w:val="clear" w:color="auto" w:fill="E1DFDD"/>
    </w:rPr>
  </w:style>
  <w:style w:type="numbering" w:customStyle="1" w:styleId="Biecalista1">
    <w:name w:val="Bieżąca lista1"/>
    <w:uiPriority w:val="99"/>
    <w:rsid w:val="005C4743"/>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42215502">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52205083">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83988992">
      <w:bodyDiv w:val="1"/>
      <w:marLeft w:val="0"/>
      <w:marRight w:val="0"/>
      <w:marTop w:val="0"/>
      <w:marBottom w:val="0"/>
      <w:divBdr>
        <w:top w:val="none" w:sz="0" w:space="0" w:color="auto"/>
        <w:left w:val="none" w:sz="0" w:space="0" w:color="auto"/>
        <w:bottom w:val="none" w:sz="0" w:space="0" w:color="auto"/>
        <w:right w:val="none" w:sz="0" w:space="0" w:color="auto"/>
      </w:divBdr>
    </w:div>
    <w:div w:id="446004053">
      <w:bodyDiv w:val="1"/>
      <w:marLeft w:val="0"/>
      <w:marRight w:val="0"/>
      <w:marTop w:val="0"/>
      <w:marBottom w:val="0"/>
      <w:divBdr>
        <w:top w:val="none" w:sz="0" w:space="0" w:color="auto"/>
        <w:left w:val="none" w:sz="0" w:space="0" w:color="auto"/>
        <w:bottom w:val="none" w:sz="0" w:space="0" w:color="auto"/>
        <w:right w:val="none" w:sz="0" w:space="0" w:color="auto"/>
      </w:divBdr>
    </w:div>
    <w:div w:id="471094448">
      <w:bodyDiv w:val="1"/>
      <w:marLeft w:val="0"/>
      <w:marRight w:val="0"/>
      <w:marTop w:val="0"/>
      <w:marBottom w:val="0"/>
      <w:divBdr>
        <w:top w:val="none" w:sz="0" w:space="0" w:color="auto"/>
        <w:left w:val="none" w:sz="0" w:space="0" w:color="auto"/>
        <w:bottom w:val="none" w:sz="0" w:space="0" w:color="auto"/>
        <w:right w:val="none" w:sz="0" w:space="0" w:color="auto"/>
      </w:divBdr>
    </w:div>
    <w:div w:id="553740303">
      <w:bodyDiv w:val="1"/>
      <w:marLeft w:val="0"/>
      <w:marRight w:val="0"/>
      <w:marTop w:val="0"/>
      <w:marBottom w:val="0"/>
      <w:divBdr>
        <w:top w:val="none" w:sz="0" w:space="0" w:color="auto"/>
        <w:left w:val="none" w:sz="0" w:space="0" w:color="auto"/>
        <w:bottom w:val="none" w:sz="0" w:space="0" w:color="auto"/>
        <w:right w:val="none" w:sz="0" w:space="0" w:color="auto"/>
      </w:divBdr>
      <w:divsChild>
        <w:div w:id="1763263270">
          <w:marLeft w:val="0"/>
          <w:marRight w:val="0"/>
          <w:marTop w:val="0"/>
          <w:marBottom w:val="0"/>
          <w:divBdr>
            <w:top w:val="none" w:sz="0" w:space="0" w:color="auto"/>
            <w:left w:val="none" w:sz="0" w:space="0" w:color="auto"/>
            <w:bottom w:val="none" w:sz="0" w:space="0" w:color="auto"/>
            <w:right w:val="none" w:sz="0" w:space="0" w:color="auto"/>
          </w:divBdr>
          <w:divsChild>
            <w:div w:id="269626777">
              <w:marLeft w:val="0"/>
              <w:marRight w:val="0"/>
              <w:marTop w:val="0"/>
              <w:marBottom w:val="0"/>
              <w:divBdr>
                <w:top w:val="none" w:sz="0" w:space="0" w:color="auto"/>
                <w:left w:val="none" w:sz="0" w:space="0" w:color="auto"/>
                <w:bottom w:val="none" w:sz="0" w:space="0" w:color="auto"/>
                <w:right w:val="none" w:sz="0" w:space="0" w:color="auto"/>
              </w:divBdr>
              <w:divsChild>
                <w:div w:id="7245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3950314">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76883248">
      <w:bodyDiv w:val="1"/>
      <w:marLeft w:val="0"/>
      <w:marRight w:val="0"/>
      <w:marTop w:val="0"/>
      <w:marBottom w:val="0"/>
      <w:divBdr>
        <w:top w:val="none" w:sz="0" w:space="0" w:color="auto"/>
        <w:left w:val="none" w:sz="0" w:space="0" w:color="auto"/>
        <w:bottom w:val="none" w:sz="0" w:space="0" w:color="auto"/>
        <w:right w:val="none" w:sz="0" w:space="0" w:color="auto"/>
      </w:divBdr>
      <w:divsChild>
        <w:div w:id="1064370988">
          <w:marLeft w:val="0"/>
          <w:marRight w:val="0"/>
          <w:marTop w:val="0"/>
          <w:marBottom w:val="0"/>
          <w:divBdr>
            <w:top w:val="none" w:sz="0" w:space="0" w:color="auto"/>
            <w:left w:val="none" w:sz="0" w:space="0" w:color="auto"/>
            <w:bottom w:val="none" w:sz="0" w:space="0" w:color="auto"/>
            <w:right w:val="none" w:sz="0" w:space="0" w:color="auto"/>
          </w:divBdr>
          <w:divsChild>
            <w:div w:id="2097093652">
              <w:marLeft w:val="0"/>
              <w:marRight w:val="0"/>
              <w:marTop w:val="0"/>
              <w:marBottom w:val="0"/>
              <w:divBdr>
                <w:top w:val="none" w:sz="0" w:space="0" w:color="auto"/>
                <w:left w:val="none" w:sz="0" w:space="0" w:color="auto"/>
                <w:bottom w:val="none" w:sz="0" w:space="0" w:color="auto"/>
                <w:right w:val="none" w:sz="0" w:space="0" w:color="auto"/>
              </w:divBdr>
              <w:divsChild>
                <w:div w:id="8934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5676">
      <w:bodyDiv w:val="1"/>
      <w:marLeft w:val="0"/>
      <w:marRight w:val="0"/>
      <w:marTop w:val="0"/>
      <w:marBottom w:val="0"/>
      <w:divBdr>
        <w:top w:val="none" w:sz="0" w:space="0" w:color="auto"/>
        <w:left w:val="none" w:sz="0" w:space="0" w:color="auto"/>
        <w:bottom w:val="none" w:sz="0" w:space="0" w:color="auto"/>
        <w:right w:val="none" w:sz="0" w:space="0" w:color="auto"/>
      </w:divBdr>
    </w:div>
    <w:div w:id="714355693">
      <w:bodyDiv w:val="1"/>
      <w:marLeft w:val="0"/>
      <w:marRight w:val="0"/>
      <w:marTop w:val="0"/>
      <w:marBottom w:val="0"/>
      <w:divBdr>
        <w:top w:val="none" w:sz="0" w:space="0" w:color="auto"/>
        <w:left w:val="none" w:sz="0" w:space="0" w:color="auto"/>
        <w:bottom w:val="none" w:sz="0" w:space="0" w:color="auto"/>
        <w:right w:val="none" w:sz="0" w:space="0" w:color="auto"/>
      </w:divBdr>
    </w:div>
    <w:div w:id="728769694">
      <w:bodyDiv w:val="1"/>
      <w:marLeft w:val="0"/>
      <w:marRight w:val="0"/>
      <w:marTop w:val="0"/>
      <w:marBottom w:val="0"/>
      <w:divBdr>
        <w:top w:val="none" w:sz="0" w:space="0" w:color="auto"/>
        <w:left w:val="none" w:sz="0" w:space="0" w:color="auto"/>
        <w:bottom w:val="none" w:sz="0" w:space="0" w:color="auto"/>
        <w:right w:val="none" w:sz="0" w:space="0" w:color="auto"/>
      </w:divBdr>
      <w:divsChild>
        <w:div w:id="83503375">
          <w:marLeft w:val="0"/>
          <w:marRight w:val="0"/>
          <w:marTop w:val="0"/>
          <w:marBottom w:val="0"/>
          <w:divBdr>
            <w:top w:val="none" w:sz="0" w:space="0" w:color="auto"/>
            <w:left w:val="none" w:sz="0" w:space="0" w:color="auto"/>
            <w:bottom w:val="none" w:sz="0" w:space="0" w:color="auto"/>
            <w:right w:val="none" w:sz="0" w:space="0" w:color="auto"/>
          </w:divBdr>
        </w:div>
        <w:div w:id="405615614">
          <w:marLeft w:val="0"/>
          <w:marRight w:val="0"/>
          <w:marTop w:val="0"/>
          <w:marBottom w:val="0"/>
          <w:divBdr>
            <w:top w:val="none" w:sz="0" w:space="0" w:color="auto"/>
            <w:left w:val="none" w:sz="0" w:space="0" w:color="auto"/>
            <w:bottom w:val="none" w:sz="0" w:space="0" w:color="auto"/>
            <w:right w:val="none" w:sz="0" w:space="0" w:color="auto"/>
          </w:divBdr>
          <w:divsChild>
            <w:div w:id="1605309265">
              <w:marLeft w:val="0"/>
              <w:marRight w:val="0"/>
              <w:marTop w:val="0"/>
              <w:marBottom w:val="0"/>
              <w:divBdr>
                <w:top w:val="none" w:sz="0" w:space="0" w:color="auto"/>
                <w:left w:val="none" w:sz="0" w:space="0" w:color="auto"/>
                <w:bottom w:val="none" w:sz="0" w:space="0" w:color="auto"/>
                <w:right w:val="none" w:sz="0" w:space="0" w:color="auto"/>
              </w:divBdr>
            </w:div>
          </w:divsChild>
        </w:div>
        <w:div w:id="650254923">
          <w:marLeft w:val="0"/>
          <w:marRight w:val="0"/>
          <w:marTop w:val="0"/>
          <w:marBottom w:val="0"/>
          <w:divBdr>
            <w:top w:val="none" w:sz="0" w:space="0" w:color="auto"/>
            <w:left w:val="none" w:sz="0" w:space="0" w:color="auto"/>
            <w:bottom w:val="none" w:sz="0" w:space="0" w:color="auto"/>
            <w:right w:val="none" w:sz="0" w:space="0" w:color="auto"/>
          </w:divBdr>
          <w:divsChild>
            <w:div w:id="52584603">
              <w:marLeft w:val="0"/>
              <w:marRight w:val="0"/>
              <w:marTop w:val="0"/>
              <w:marBottom w:val="0"/>
              <w:divBdr>
                <w:top w:val="none" w:sz="0" w:space="0" w:color="auto"/>
                <w:left w:val="none" w:sz="0" w:space="0" w:color="auto"/>
                <w:bottom w:val="none" w:sz="0" w:space="0" w:color="auto"/>
                <w:right w:val="none" w:sz="0" w:space="0" w:color="auto"/>
              </w:divBdr>
              <w:divsChild>
                <w:div w:id="120074450">
                  <w:marLeft w:val="0"/>
                  <w:marRight w:val="0"/>
                  <w:marTop w:val="0"/>
                  <w:marBottom w:val="0"/>
                  <w:divBdr>
                    <w:top w:val="none" w:sz="0" w:space="0" w:color="auto"/>
                    <w:left w:val="none" w:sz="0" w:space="0" w:color="auto"/>
                    <w:bottom w:val="none" w:sz="0" w:space="0" w:color="auto"/>
                    <w:right w:val="none" w:sz="0" w:space="0" w:color="auto"/>
                  </w:divBdr>
                  <w:divsChild>
                    <w:div w:id="8521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9197">
              <w:marLeft w:val="0"/>
              <w:marRight w:val="0"/>
              <w:marTop w:val="0"/>
              <w:marBottom w:val="0"/>
              <w:divBdr>
                <w:top w:val="none" w:sz="0" w:space="0" w:color="auto"/>
                <w:left w:val="none" w:sz="0" w:space="0" w:color="auto"/>
                <w:bottom w:val="none" w:sz="0" w:space="0" w:color="auto"/>
                <w:right w:val="none" w:sz="0" w:space="0" w:color="auto"/>
              </w:divBdr>
            </w:div>
            <w:div w:id="508254208">
              <w:marLeft w:val="0"/>
              <w:marRight w:val="0"/>
              <w:marTop w:val="0"/>
              <w:marBottom w:val="0"/>
              <w:divBdr>
                <w:top w:val="none" w:sz="0" w:space="0" w:color="auto"/>
                <w:left w:val="none" w:sz="0" w:space="0" w:color="auto"/>
                <w:bottom w:val="none" w:sz="0" w:space="0" w:color="auto"/>
                <w:right w:val="none" w:sz="0" w:space="0" w:color="auto"/>
              </w:divBdr>
              <w:divsChild>
                <w:div w:id="137113047">
                  <w:marLeft w:val="0"/>
                  <w:marRight w:val="0"/>
                  <w:marTop w:val="0"/>
                  <w:marBottom w:val="0"/>
                  <w:divBdr>
                    <w:top w:val="none" w:sz="0" w:space="0" w:color="auto"/>
                    <w:left w:val="none" w:sz="0" w:space="0" w:color="auto"/>
                    <w:bottom w:val="none" w:sz="0" w:space="0" w:color="auto"/>
                    <w:right w:val="none" w:sz="0" w:space="0" w:color="auto"/>
                  </w:divBdr>
                  <w:divsChild>
                    <w:div w:id="10346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2909">
          <w:marLeft w:val="0"/>
          <w:marRight w:val="0"/>
          <w:marTop w:val="0"/>
          <w:marBottom w:val="0"/>
          <w:divBdr>
            <w:top w:val="none" w:sz="0" w:space="0" w:color="auto"/>
            <w:left w:val="none" w:sz="0" w:space="0" w:color="auto"/>
            <w:bottom w:val="none" w:sz="0" w:space="0" w:color="auto"/>
            <w:right w:val="none" w:sz="0" w:space="0" w:color="auto"/>
          </w:divBdr>
          <w:divsChild>
            <w:div w:id="1082605617">
              <w:marLeft w:val="0"/>
              <w:marRight w:val="0"/>
              <w:marTop w:val="0"/>
              <w:marBottom w:val="0"/>
              <w:divBdr>
                <w:top w:val="none" w:sz="0" w:space="0" w:color="auto"/>
                <w:left w:val="none" w:sz="0" w:space="0" w:color="auto"/>
                <w:bottom w:val="none" w:sz="0" w:space="0" w:color="auto"/>
                <w:right w:val="none" w:sz="0" w:space="0" w:color="auto"/>
              </w:divBdr>
            </w:div>
          </w:divsChild>
        </w:div>
        <w:div w:id="793596572">
          <w:marLeft w:val="0"/>
          <w:marRight w:val="0"/>
          <w:marTop w:val="0"/>
          <w:marBottom w:val="0"/>
          <w:divBdr>
            <w:top w:val="none" w:sz="0" w:space="0" w:color="auto"/>
            <w:left w:val="none" w:sz="0" w:space="0" w:color="auto"/>
            <w:bottom w:val="none" w:sz="0" w:space="0" w:color="auto"/>
            <w:right w:val="none" w:sz="0" w:space="0" w:color="auto"/>
          </w:divBdr>
          <w:divsChild>
            <w:div w:id="552159332">
              <w:marLeft w:val="0"/>
              <w:marRight w:val="0"/>
              <w:marTop w:val="0"/>
              <w:marBottom w:val="0"/>
              <w:divBdr>
                <w:top w:val="none" w:sz="0" w:space="0" w:color="auto"/>
                <w:left w:val="none" w:sz="0" w:space="0" w:color="auto"/>
                <w:bottom w:val="none" w:sz="0" w:space="0" w:color="auto"/>
                <w:right w:val="none" w:sz="0" w:space="0" w:color="auto"/>
              </w:divBdr>
              <w:divsChild>
                <w:div w:id="1930232643">
                  <w:marLeft w:val="0"/>
                  <w:marRight w:val="0"/>
                  <w:marTop w:val="0"/>
                  <w:marBottom w:val="0"/>
                  <w:divBdr>
                    <w:top w:val="none" w:sz="0" w:space="0" w:color="auto"/>
                    <w:left w:val="none" w:sz="0" w:space="0" w:color="auto"/>
                    <w:bottom w:val="none" w:sz="0" w:space="0" w:color="auto"/>
                    <w:right w:val="none" w:sz="0" w:space="0" w:color="auto"/>
                  </w:divBdr>
                  <w:divsChild>
                    <w:div w:id="11052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341">
              <w:marLeft w:val="0"/>
              <w:marRight w:val="0"/>
              <w:marTop w:val="0"/>
              <w:marBottom w:val="0"/>
              <w:divBdr>
                <w:top w:val="none" w:sz="0" w:space="0" w:color="auto"/>
                <w:left w:val="none" w:sz="0" w:space="0" w:color="auto"/>
                <w:bottom w:val="none" w:sz="0" w:space="0" w:color="auto"/>
                <w:right w:val="none" w:sz="0" w:space="0" w:color="auto"/>
              </w:divBdr>
            </w:div>
            <w:div w:id="1274434827">
              <w:marLeft w:val="0"/>
              <w:marRight w:val="0"/>
              <w:marTop w:val="0"/>
              <w:marBottom w:val="0"/>
              <w:divBdr>
                <w:top w:val="none" w:sz="0" w:space="0" w:color="auto"/>
                <w:left w:val="none" w:sz="0" w:space="0" w:color="auto"/>
                <w:bottom w:val="none" w:sz="0" w:space="0" w:color="auto"/>
                <w:right w:val="none" w:sz="0" w:space="0" w:color="auto"/>
              </w:divBdr>
              <w:divsChild>
                <w:div w:id="1129323741">
                  <w:marLeft w:val="0"/>
                  <w:marRight w:val="0"/>
                  <w:marTop w:val="0"/>
                  <w:marBottom w:val="0"/>
                  <w:divBdr>
                    <w:top w:val="none" w:sz="0" w:space="0" w:color="auto"/>
                    <w:left w:val="none" w:sz="0" w:space="0" w:color="auto"/>
                    <w:bottom w:val="none" w:sz="0" w:space="0" w:color="auto"/>
                    <w:right w:val="none" w:sz="0" w:space="0" w:color="auto"/>
                  </w:divBdr>
                  <w:divsChild>
                    <w:div w:id="976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580">
              <w:marLeft w:val="0"/>
              <w:marRight w:val="0"/>
              <w:marTop w:val="0"/>
              <w:marBottom w:val="0"/>
              <w:divBdr>
                <w:top w:val="none" w:sz="0" w:space="0" w:color="auto"/>
                <w:left w:val="none" w:sz="0" w:space="0" w:color="auto"/>
                <w:bottom w:val="none" w:sz="0" w:space="0" w:color="auto"/>
                <w:right w:val="none" w:sz="0" w:space="0" w:color="auto"/>
              </w:divBdr>
              <w:divsChild>
                <w:div w:id="68158307">
                  <w:marLeft w:val="0"/>
                  <w:marRight w:val="0"/>
                  <w:marTop w:val="0"/>
                  <w:marBottom w:val="0"/>
                  <w:divBdr>
                    <w:top w:val="none" w:sz="0" w:space="0" w:color="auto"/>
                    <w:left w:val="none" w:sz="0" w:space="0" w:color="auto"/>
                    <w:bottom w:val="none" w:sz="0" w:space="0" w:color="auto"/>
                    <w:right w:val="none" w:sz="0" w:space="0" w:color="auto"/>
                  </w:divBdr>
                  <w:divsChild>
                    <w:div w:id="1339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0954">
          <w:marLeft w:val="0"/>
          <w:marRight w:val="0"/>
          <w:marTop w:val="0"/>
          <w:marBottom w:val="0"/>
          <w:divBdr>
            <w:top w:val="none" w:sz="0" w:space="0" w:color="auto"/>
            <w:left w:val="none" w:sz="0" w:space="0" w:color="auto"/>
            <w:bottom w:val="none" w:sz="0" w:space="0" w:color="auto"/>
            <w:right w:val="none" w:sz="0" w:space="0" w:color="auto"/>
          </w:divBdr>
          <w:divsChild>
            <w:div w:id="734279026">
              <w:marLeft w:val="0"/>
              <w:marRight w:val="0"/>
              <w:marTop w:val="0"/>
              <w:marBottom w:val="0"/>
              <w:divBdr>
                <w:top w:val="none" w:sz="0" w:space="0" w:color="auto"/>
                <w:left w:val="none" w:sz="0" w:space="0" w:color="auto"/>
                <w:bottom w:val="none" w:sz="0" w:space="0" w:color="auto"/>
                <w:right w:val="none" w:sz="0" w:space="0" w:color="auto"/>
              </w:divBdr>
            </w:div>
          </w:divsChild>
        </w:div>
        <w:div w:id="1904556580">
          <w:marLeft w:val="0"/>
          <w:marRight w:val="0"/>
          <w:marTop w:val="0"/>
          <w:marBottom w:val="0"/>
          <w:divBdr>
            <w:top w:val="none" w:sz="0" w:space="0" w:color="auto"/>
            <w:left w:val="none" w:sz="0" w:space="0" w:color="auto"/>
            <w:bottom w:val="none" w:sz="0" w:space="0" w:color="auto"/>
            <w:right w:val="none" w:sz="0" w:space="0" w:color="auto"/>
          </w:divBdr>
          <w:divsChild>
            <w:div w:id="155727958">
              <w:marLeft w:val="0"/>
              <w:marRight w:val="0"/>
              <w:marTop w:val="0"/>
              <w:marBottom w:val="0"/>
              <w:divBdr>
                <w:top w:val="none" w:sz="0" w:space="0" w:color="auto"/>
                <w:left w:val="none" w:sz="0" w:space="0" w:color="auto"/>
                <w:bottom w:val="none" w:sz="0" w:space="0" w:color="auto"/>
                <w:right w:val="none" w:sz="0" w:space="0" w:color="auto"/>
              </w:divBdr>
              <w:divsChild>
                <w:div w:id="642589285">
                  <w:marLeft w:val="0"/>
                  <w:marRight w:val="0"/>
                  <w:marTop w:val="0"/>
                  <w:marBottom w:val="0"/>
                  <w:divBdr>
                    <w:top w:val="none" w:sz="0" w:space="0" w:color="auto"/>
                    <w:left w:val="none" w:sz="0" w:space="0" w:color="auto"/>
                    <w:bottom w:val="none" w:sz="0" w:space="0" w:color="auto"/>
                    <w:right w:val="none" w:sz="0" w:space="0" w:color="auto"/>
                  </w:divBdr>
                  <w:divsChild>
                    <w:div w:id="3726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2091">
              <w:marLeft w:val="0"/>
              <w:marRight w:val="0"/>
              <w:marTop w:val="0"/>
              <w:marBottom w:val="0"/>
              <w:divBdr>
                <w:top w:val="none" w:sz="0" w:space="0" w:color="auto"/>
                <w:left w:val="none" w:sz="0" w:space="0" w:color="auto"/>
                <w:bottom w:val="none" w:sz="0" w:space="0" w:color="auto"/>
                <w:right w:val="none" w:sz="0" w:space="0" w:color="auto"/>
              </w:divBdr>
              <w:divsChild>
                <w:div w:id="1748723713">
                  <w:marLeft w:val="0"/>
                  <w:marRight w:val="0"/>
                  <w:marTop w:val="0"/>
                  <w:marBottom w:val="0"/>
                  <w:divBdr>
                    <w:top w:val="none" w:sz="0" w:space="0" w:color="auto"/>
                    <w:left w:val="none" w:sz="0" w:space="0" w:color="auto"/>
                    <w:bottom w:val="none" w:sz="0" w:space="0" w:color="auto"/>
                    <w:right w:val="none" w:sz="0" w:space="0" w:color="auto"/>
                  </w:divBdr>
                  <w:divsChild>
                    <w:div w:id="10797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074">
              <w:marLeft w:val="0"/>
              <w:marRight w:val="0"/>
              <w:marTop w:val="0"/>
              <w:marBottom w:val="0"/>
              <w:divBdr>
                <w:top w:val="none" w:sz="0" w:space="0" w:color="auto"/>
                <w:left w:val="none" w:sz="0" w:space="0" w:color="auto"/>
                <w:bottom w:val="none" w:sz="0" w:space="0" w:color="auto"/>
                <w:right w:val="none" w:sz="0" w:space="0" w:color="auto"/>
              </w:divBdr>
              <w:divsChild>
                <w:div w:id="26948485">
                  <w:marLeft w:val="0"/>
                  <w:marRight w:val="0"/>
                  <w:marTop w:val="0"/>
                  <w:marBottom w:val="0"/>
                  <w:divBdr>
                    <w:top w:val="none" w:sz="0" w:space="0" w:color="auto"/>
                    <w:left w:val="none" w:sz="0" w:space="0" w:color="auto"/>
                    <w:bottom w:val="none" w:sz="0" w:space="0" w:color="auto"/>
                    <w:right w:val="none" w:sz="0" w:space="0" w:color="auto"/>
                  </w:divBdr>
                  <w:divsChild>
                    <w:div w:id="15489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0842">
              <w:marLeft w:val="0"/>
              <w:marRight w:val="0"/>
              <w:marTop w:val="0"/>
              <w:marBottom w:val="0"/>
              <w:divBdr>
                <w:top w:val="none" w:sz="0" w:space="0" w:color="auto"/>
                <w:left w:val="none" w:sz="0" w:space="0" w:color="auto"/>
                <w:bottom w:val="none" w:sz="0" w:space="0" w:color="auto"/>
                <w:right w:val="none" w:sz="0" w:space="0" w:color="auto"/>
              </w:divBdr>
              <w:divsChild>
                <w:div w:id="737363443">
                  <w:marLeft w:val="0"/>
                  <w:marRight w:val="0"/>
                  <w:marTop w:val="0"/>
                  <w:marBottom w:val="0"/>
                  <w:divBdr>
                    <w:top w:val="none" w:sz="0" w:space="0" w:color="auto"/>
                    <w:left w:val="none" w:sz="0" w:space="0" w:color="auto"/>
                    <w:bottom w:val="none" w:sz="0" w:space="0" w:color="auto"/>
                    <w:right w:val="none" w:sz="0" w:space="0" w:color="auto"/>
                  </w:divBdr>
                  <w:divsChild>
                    <w:div w:id="19477858">
                      <w:marLeft w:val="0"/>
                      <w:marRight w:val="0"/>
                      <w:marTop w:val="0"/>
                      <w:marBottom w:val="0"/>
                      <w:divBdr>
                        <w:top w:val="none" w:sz="0" w:space="0" w:color="auto"/>
                        <w:left w:val="none" w:sz="0" w:space="0" w:color="auto"/>
                        <w:bottom w:val="none" w:sz="0" w:space="0" w:color="auto"/>
                        <w:right w:val="none" w:sz="0" w:space="0" w:color="auto"/>
                      </w:divBdr>
                      <w:divsChild>
                        <w:div w:id="1431971512">
                          <w:marLeft w:val="0"/>
                          <w:marRight w:val="0"/>
                          <w:marTop w:val="0"/>
                          <w:marBottom w:val="0"/>
                          <w:divBdr>
                            <w:top w:val="none" w:sz="0" w:space="0" w:color="auto"/>
                            <w:left w:val="none" w:sz="0" w:space="0" w:color="auto"/>
                            <w:bottom w:val="none" w:sz="0" w:space="0" w:color="auto"/>
                            <w:right w:val="none" w:sz="0" w:space="0" w:color="auto"/>
                          </w:divBdr>
                        </w:div>
                      </w:divsChild>
                    </w:div>
                    <w:div w:id="102111226">
                      <w:marLeft w:val="0"/>
                      <w:marRight w:val="0"/>
                      <w:marTop w:val="0"/>
                      <w:marBottom w:val="0"/>
                      <w:divBdr>
                        <w:top w:val="none" w:sz="0" w:space="0" w:color="auto"/>
                        <w:left w:val="none" w:sz="0" w:space="0" w:color="auto"/>
                        <w:bottom w:val="none" w:sz="0" w:space="0" w:color="auto"/>
                        <w:right w:val="none" w:sz="0" w:space="0" w:color="auto"/>
                      </w:divBdr>
                      <w:divsChild>
                        <w:div w:id="832381591">
                          <w:marLeft w:val="0"/>
                          <w:marRight w:val="0"/>
                          <w:marTop w:val="0"/>
                          <w:marBottom w:val="0"/>
                          <w:divBdr>
                            <w:top w:val="none" w:sz="0" w:space="0" w:color="auto"/>
                            <w:left w:val="none" w:sz="0" w:space="0" w:color="auto"/>
                            <w:bottom w:val="none" w:sz="0" w:space="0" w:color="auto"/>
                            <w:right w:val="none" w:sz="0" w:space="0" w:color="auto"/>
                          </w:divBdr>
                        </w:div>
                      </w:divsChild>
                    </w:div>
                    <w:div w:id="541671196">
                      <w:marLeft w:val="0"/>
                      <w:marRight w:val="0"/>
                      <w:marTop w:val="0"/>
                      <w:marBottom w:val="0"/>
                      <w:divBdr>
                        <w:top w:val="none" w:sz="0" w:space="0" w:color="auto"/>
                        <w:left w:val="none" w:sz="0" w:space="0" w:color="auto"/>
                        <w:bottom w:val="none" w:sz="0" w:space="0" w:color="auto"/>
                        <w:right w:val="none" w:sz="0" w:space="0" w:color="auto"/>
                      </w:divBdr>
                      <w:divsChild>
                        <w:div w:id="193353395">
                          <w:marLeft w:val="0"/>
                          <w:marRight w:val="0"/>
                          <w:marTop w:val="0"/>
                          <w:marBottom w:val="0"/>
                          <w:divBdr>
                            <w:top w:val="none" w:sz="0" w:space="0" w:color="auto"/>
                            <w:left w:val="none" w:sz="0" w:space="0" w:color="auto"/>
                            <w:bottom w:val="none" w:sz="0" w:space="0" w:color="auto"/>
                            <w:right w:val="none" w:sz="0" w:space="0" w:color="auto"/>
                          </w:divBdr>
                        </w:div>
                      </w:divsChild>
                    </w:div>
                    <w:div w:id="859003431">
                      <w:marLeft w:val="0"/>
                      <w:marRight w:val="0"/>
                      <w:marTop w:val="0"/>
                      <w:marBottom w:val="0"/>
                      <w:divBdr>
                        <w:top w:val="none" w:sz="0" w:space="0" w:color="auto"/>
                        <w:left w:val="none" w:sz="0" w:space="0" w:color="auto"/>
                        <w:bottom w:val="none" w:sz="0" w:space="0" w:color="auto"/>
                        <w:right w:val="none" w:sz="0" w:space="0" w:color="auto"/>
                      </w:divBdr>
                      <w:divsChild>
                        <w:div w:id="456266144">
                          <w:marLeft w:val="0"/>
                          <w:marRight w:val="0"/>
                          <w:marTop w:val="0"/>
                          <w:marBottom w:val="0"/>
                          <w:divBdr>
                            <w:top w:val="none" w:sz="0" w:space="0" w:color="auto"/>
                            <w:left w:val="none" w:sz="0" w:space="0" w:color="auto"/>
                            <w:bottom w:val="none" w:sz="0" w:space="0" w:color="auto"/>
                            <w:right w:val="none" w:sz="0" w:space="0" w:color="auto"/>
                          </w:divBdr>
                        </w:div>
                      </w:divsChild>
                    </w:div>
                    <w:div w:id="1117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7760">
              <w:marLeft w:val="0"/>
              <w:marRight w:val="0"/>
              <w:marTop w:val="0"/>
              <w:marBottom w:val="0"/>
              <w:divBdr>
                <w:top w:val="none" w:sz="0" w:space="0" w:color="auto"/>
                <w:left w:val="none" w:sz="0" w:space="0" w:color="auto"/>
                <w:bottom w:val="none" w:sz="0" w:space="0" w:color="auto"/>
                <w:right w:val="none" w:sz="0" w:space="0" w:color="auto"/>
              </w:divBdr>
            </w:div>
            <w:div w:id="1083071318">
              <w:marLeft w:val="0"/>
              <w:marRight w:val="0"/>
              <w:marTop w:val="0"/>
              <w:marBottom w:val="0"/>
              <w:divBdr>
                <w:top w:val="none" w:sz="0" w:space="0" w:color="auto"/>
                <w:left w:val="none" w:sz="0" w:space="0" w:color="auto"/>
                <w:bottom w:val="none" w:sz="0" w:space="0" w:color="auto"/>
                <w:right w:val="none" w:sz="0" w:space="0" w:color="auto"/>
              </w:divBdr>
              <w:divsChild>
                <w:div w:id="1465200388">
                  <w:marLeft w:val="0"/>
                  <w:marRight w:val="0"/>
                  <w:marTop w:val="0"/>
                  <w:marBottom w:val="0"/>
                  <w:divBdr>
                    <w:top w:val="none" w:sz="0" w:space="0" w:color="auto"/>
                    <w:left w:val="none" w:sz="0" w:space="0" w:color="auto"/>
                    <w:bottom w:val="none" w:sz="0" w:space="0" w:color="auto"/>
                    <w:right w:val="none" w:sz="0" w:space="0" w:color="auto"/>
                  </w:divBdr>
                  <w:divsChild>
                    <w:div w:id="1489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9207">
              <w:marLeft w:val="0"/>
              <w:marRight w:val="0"/>
              <w:marTop w:val="0"/>
              <w:marBottom w:val="0"/>
              <w:divBdr>
                <w:top w:val="none" w:sz="0" w:space="0" w:color="auto"/>
                <w:left w:val="none" w:sz="0" w:space="0" w:color="auto"/>
                <w:bottom w:val="none" w:sz="0" w:space="0" w:color="auto"/>
                <w:right w:val="none" w:sz="0" w:space="0" w:color="auto"/>
              </w:divBdr>
              <w:divsChild>
                <w:div w:id="1238519226">
                  <w:marLeft w:val="0"/>
                  <w:marRight w:val="0"/>
                  <w:marTop w:val="0"/>
                  <w:marBottom w:val="0"/>
                  <w:divBdr>
                    <w:top w:val="none" w:sz="0" w:space="0" w:color="auto"/>
                    <w:left w:val="none" w:sz="0" w:space="0" w:color="auto"/>
                    <w:bottom w:val="none" w:sz="0" w:space="0" w:color="auto"/>
                    <w:right w:val="none" w:sz="0" w:space="0" w:color="auto"/>
                  </w:divBdr>
                  <w:divsChild>
                    <w:div w:id="5165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91259">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67378960">
      <w:bodyDiv w:val="1"/>
      <w:marLeft w:val="0"/>
      <w:marRight w:val="0"/>
      <w:marTop w:val="0"/>
      <w:marBottom w:val="0"/>
      <w:divBdr>
        <w:top w:val="none" w:sz="0" w:space="0" w:color="auto"/>
        <w:left w:val="none" w:sz="0" w:space="0" w:color="auto"/>
        <w:bottom w:val="none" w:sz="0" w:space="0" w:color="auto"/>
        <w:right w:val="none" w:sz="0" w:space="0" w:color="auto"/>
      </w:divBdr>
      <w:divsChild>
        <w:div w:id="459033794">
          <w:marLeft w:val="0"/>
          <w:marRight w:val="0"/>
          <w:marTop w:val="0"/>
          <w:marBottom w:val="0"/>
          <w:divBdr>
            <w:top w:val="none" w:sz="0" w:space="0" w:color="auto"/>
            <w:left w:val="none" w:sz="0" w:space="0" w:color="auto"/>
            <w:bottom w:val="none" w:sz="0" w:space="0" w:color="auto"/>
            <w:right w:val="none" w:sz="0" w:space="0" w:color="auto"/>
          </w:divBdr>
          <w:divsChild>
            <w:div w:id="973674865">
              <w:marLeft w:val="0"/>
              <w:marRight w:val="0"/>
              <w:marTop w:val="0"/>
              <w:marBottom w:val="0"/>
              <w:divBdr>
                <w:top w:val="none" w:sz="0" w:space="0" w:color="auto"/>
                <w:left w:val="none" w:sz="0" w:space="0" w:color="auto"/>
                <w:bottom w:val="none" w:sz="0" w:space="0" w:color="auto"/>
                <w:right w:val="none" w:sz="0" w:space="0" w:color="auto"/>
              </w:divBdr>
              <w:divsChild>
                <w:div w:id="2049909474">
                  <w:marLeft w:val="0"/>
                  <w:marRight w:val="0"/>
                  <w:marTop w:val="0"/>
                  <w:marBottom w:val="0"/>
                  <w:divBdr>
                    <w:top w:val="none" w:sz="0" w:space="0" w:color="auto"/>
                    <w:left w:val="none" w:sz="0" w:space="0" w:color="auto"/>
                    <w:bottom w:val="none" w:sz="0" w:space="0" w:color="auto"/>
                    <w:right w:val="none" w:sz="0" w:space="0" w:color="auto"/>
                  </w:divBdr>
                  <w:divsChild>
                    <w:div w:id="16175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932">
              <w:marLeft w:val="0"/>
              <w:marRight w:val="0"/>
              <w:marTop w:val="0"/>
              <w:marBottom w:val="0"/>
              <w:divBdr>
                <w:top w:val="none" w:sz="0" w:space="0" w:color="auto"/>
                <w:left w:val="none" w:sz="0" w:space="0" w:color="auto"/>
                <w:bottom w:val="none" w:sz="0" w:space="0" w:color="auto"/>
                <w:right w:val="none" w:sz="0" w:space="0" w:color="auto"/>
              </w:divBdr>
              <w:divsChild>
                <w:div w:id="1953900893">
                  <w:marLeft w:val="0"/>
                  <w:marRight w:val="0"/>
                  <w:marTop w:val="0"/>
                  <w:marBottom w:val="0"/>
                  <w:divBdr>
                    <w:top w:val="none" w:sz="0" w:space="0" w:color="auto"/>
                    <w:left w:val="none" w:sz="0" w:space="0" w:color="auto"/>
                    <w:bottom w:val="none" w:sz="0" w:space="0" w:color="auto"/>
                    <w:right w:val="none" w:sz="0" w:space="0" w:color="auto"/>
                  </w:divBdr>
                  <w:divsChild>
                    <w:div w:id="1024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5145">
              <w:marLeft w:val="0"/>
              <w:marRight w:val="0"/>
              <w:marTop w:val="0"/>
              <w:marBottom w:val="0"/>
              <w:divBdr>
                <w:top w:val="none" w:sz="0" w:space="0" w:color="auto"/>
                <w:left w:val="none" w:sz="0" w:space="0" w:color="auto"/>
                <w:bottom w:val="none" w:sz="0" w:space="0" w:color="auto"/>
                <w:right w:val="none" w:sz="0" w:space="0" w:color="auto"/>
              </w:divBdr>
              <w:divsChild>
                <w:div w:id="1703481421">
                  <w:marLeft w:val="0"/>
                  <w:marRight w:val="0"/>
                  <w:marTop w:val="0"/>
                  <w:marBottom w:val="0"/>
                  <w:divBdr>
                    <w:top w:val="none" w:sz="0" w:space="0" w:color="auto"/>
                    <w:left w:val="none" w:sz="0" w:space="0" w:color="auto"/>
                    <w:bottom w:val="none" w:sz="0" w:space="0" w:color="auto"/>
                    <w:right w:val="none" w:sz="0" w:space="0" w:color="auto"/>
                  </w:divBdr>
                  <w:divsChild>
                    <w:div w:id="17419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3849">
              <w:marLeft w:val="0"/>
              <w:marRight w:val="0"/>
              <w:marTop w:val="0"/>
              <w:marBottom w:val="0"/>
              <w:divBdr>
                <w:top w:val="none" w:sz="0" w:space="0" w:color="auto"/>
                <w:left w:val="none" w:sz="0" w:space="0" w:color="auto"/>
                <w:bottom w:val="none" w:sz="0" w:space="0" w:color="auto"/>
                <w:right w:val="none" w:sz="0" w:space="0" w:color="auto"/>
              </w:divBdr>
            </w:div>
          </w:divsChild>
        </w:div>
        <w:div w:id="520238958">
          <w:marLeft w:val="0"/>
          <w:marRight w:val="0"/>
          <w:marTop w:val="0"/>
          <w:marBottom w:val="0"/>
          <w:divBdr>
            <w:top w:val="none" w:sz="0" w:space="0" w:color="auto"/>
            <w:left w:val="none" w:sz="0" w:space="0" w:color="auto"/>
            <w:bottom w:val="none" w:sz="0" w:space="0" w:color="auto"/>
            <w:right w:val="none" w:sz="0" w:space="0" w:color="auto"/>
          </w:divBdr>
          <w:divsChild>
            <w:div w:id="310907472">
              <w:marLeft w:val="0"/>
              <w:marRight w:val="0"/>
              <w:marTop w:val="0"/>
              <w:marBottom w:val="0"/>
              <w:divBdr>
                <w:top w:val="none" w:sz="0" w:space="0" w:color="auto"/>
                <w:left w:val="none" w:sz="0" w:space="0" w:color="auto"/>
                <w:bottom w:val="none" w:sz="0" w:space="0" w:color="auto"/>
                <w:right w:val="none" w:sz="0" w:space="0" w:color="auto"/>
              </w:divBdr>
              <w:divsChild>
                <w:div w:id="1240556705">
                  <w:marLeft w:val="0"/>
                  <w:marRight w:val="0"/>
                  <w:marTop w:val="0"/>
                  <w:marBottom w:val="0"/>
                  <w:divBdr>
                    <w:top w:val="none" w:sz="0" w:space="0" w:color="auto"/>
                    <w:left w:val="none" w:sz="0" w:space="0" w:color="auto"/>
                    <w:bottom w:val="none" w:sz="0" w:space="0" w:color="auto"/>
                    <w:right w:val="none" w:sz="0" w:space="0" w:color="auto"/>
                  </w:divBdr>
                  <w:divsChild>
                    <w:div w:id="6681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1415">
              <w:marLeft w:val="0"/>
              <w:marRight w:val="0"/>
              <w:marTop w:val="0"/>
              <w:marBottom w:val="0"/>
              <w:divBdr>
                <w:top w:val="none" w:sz="0" w:space="0" w:color="auto"/>
                <w:left w:val="none" w:sz="0" w:space="0" w:color="auto"/>
                <w:bottom w:val="none" w:sz="0" w:space="0" w:color="auto"/>
                <w:right w:val="none" w:sz="0" w:space="0" w:color="auto"/>
              </w:divBdr>
              <w:divsChild>
                <w:div w:id="1329865818">
                  <w:marLeft w:val="0"/>
                  <w:marRight w:val="0"/>
                  <w:marTop w:val="0"/>
                  <w:marBottom w:val="0"/>
                  <w:divBdr>
                    <w:top w:val="none" w:sz="0" w:space="0" w:color="auto"/>
                    <w:left w:val="none" w:sz="0" w:space="0" w:color="auto"/>
                    <w:bottom w:val="none" w:sz="0" w:space="0" w:color="auto"/>
                    <w:right w:val="none" w:sz="0" w:space="0" w:color="auto"/>
                  </w:divBdr>
                  <w:divsChild>
                    <w:div w:id="11356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7141">
              <w:marLeft w:val="0"/>
              <w:marRight w:val="0"/>
              <w:marTop w:val="0"/>
              <w:marBottom w:val="0"/>
              <w:divBdr>
                <w:top w:val="none" w:sz="0" w:space="0" w:color="auto"/>
                <w:left w:val="none" w:sz="0" w:space="0" w:color="auto"/>
                <w:bottom w:val="none" w:sz="0" w:space="0" w:color="auto"/>
                <w:right w:val="none" w:sz="0" w:space="0" w:color="auto"/>
              </w:divBdr>
              <w:divsChild>
                <w:div w:id="1278562621">
                  <w:marLeft w:val="0"/>
                  <w:marRight w:val="0"/>
                  <w:marTop w:val="0"/>
                  <w:marBottom w:val="0"/>
                  <w:divBdr>
                    <w:top w:val="none" w:sz="0" w:space="0" w:color="auto"/>
                    <w:left w:val="none" w:sz="0" w:space="0" w:color="auto"/>
                    <w:bottom w:val="none" w:sz="0" w:space="0" w:color="auto"/>
                    <w:right w:val="none" w:sz="0" w:space="0" w:color="auto"/>
                  </w:divBdr>
                  <w:divsChild>
                    <w:div w:id="470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8207">
              <w:marLeft w:val="0"/>
              <w:marRight w:val="0"/>
              <w:marTop w:val="0"/>
              <w:marBottom w:val="0"/>
              <w:divBdr>
                <w:top w:val="none" w:sz="0" w:space="0" w:color="auto"/>
                <w:left w:val="none" w:sz="0" w:space="0" w:color="auto"/>
                <w:bottom w:val="none" w:sz="0" w:space="0" w:color="auto"/>
                <w:right w:val="none" w:sz="0" w:space="0" w:color="auto"/>
              </w:divBdr>
              <w:divsChild>
                <w:div w:id="245967106">
                  <w:marLeft w:val="0"/>
                  <w:marRight w:val="0"/>
                  <w:marTop w:val="0"/>
                  <w:marBottom w:val="0"/>
                  <w:divBdr>
                    <w:top w:val="none" w:sz="0" w:space="0" w:color="auto"/>
                    <w:left w:val="none" w:sz="0" w:space="0" w:color="auto"/>
                    <w:bottom w:val="none" w:sz="0" w:space="0" w:color="auto"/>
                    <w:right w:val="none" w:sz="0" w:space="0" w:color="auto"/>
                  </w:divBdr>
                  <w:divsChild>
                    <w:div w:id="215698680">
                      <w:marLeft w:val="0"/>
                      <w:marRight w:val="0"/>
                      <w:marTop w:val="0"/>
                      <w:marBottom w:val="0"/>
                      <w:divBdr>
                        <w:top w:val="none" w:sz="0" w:space="0" w:color="auto"/>
                        <w:left w:val="none" w:sz="0" w:space="0" w:color="auto"/>
                        <w:bottom w:val="none" w:sz="0" w:space="0" w:color="auto"/>
                        <w:right w:val="none" w:sz="0" w:space="0" w:color="auto"/>
                      </w:divBdr>
                    </w:div>
                    <w:div w:id="654183880">
                      <w:marLeft w:val="0"/>
                      <w:marRight w:val="0"/>
                      <w:marTop w:val="0"/>
                      <w:marBottom w:val="0"/>
                      <w:divBdr>
                        <w:top w:val="none" w:sz="0" w:space="0" w:color="auto"/>
                        <w:left w:val="none" w:sz="0" w:space="0" w:color="auto"/>
                        <w:bottom w:val="none" w:sz="0" w:space="0" w:color="auto"/>
                        <w:right w:val="none" w:sz="0" w:space="0" w:color="auto"/>
                      </w:divBdr>
                      <w:divsChild>
                        <w:div w:id="952706662">
                          <w:marLeft w:val="0"/>
                          <w:marRight w:val="0"/>
                          <w:marTop w:val="0"/>
                          <w:marBottom w:val="0"/>
                          <w:divBdr>
                            <w:top w:val="none" w:sz="0" w:space="0" w:color="auto"/>
                            <w:left w:val="none" w:sz="0" w:space="0" w:color="auto"/>
                            <w:bottom w:val="none" w:sz="0" w:space="0" w:color="auto"/>
                            <w:right w:val="none" w:sz="0" w:space="0" w:color="auto"/>
                          </w:divBdr>
                        </w:div>
                      </w:divsChild>
                    </w:div>
                    <w:div w:id="1409690365">
                      <w:marLeft w:val="0"/>
                      <w:marRight w:val="0"/>
                      <w:marTop w:val="0"/>
                      <w:marBottom w:val="0"/>
                      <w:divBdr>
                        <w:top w:val="none" w:sz="0" w:space="0" w:color="auto"/>
                        <w:left w:val="none" w:sz="0" w:space="0" w:color="auto"/>
                        <w:bottom w:val="none" w:sz="0" w:space="0" w:color="auto"/>
                        <w:right w:val="none" w:sz="0" w:space="0" w:color="auto"/>
                      </w:divBdr>
                      <w:divsChild>
                        <w:div w:id="1438867852">
                          <w:marLeft w:val="0"/>
                          <w:marRight w:val="0"/>
                          <w:marTop w:val="0"/>
                          <w:marBottom w:val="0"/>
                          <w:divBdr>
                            <w:top w:val="none" w:sz="0" w:space="0" w:color="auto"/>
                            <w:left w:val="none" w:sz="0" w:space="0" w:color="auto"/>
                            <w:bottom w:val="none" w:sz="0" w:space="0" w:color="auto"/>
                            <w:right w:val="none" w:sz="0" w:space="0" w:color="auto"/>
                          </w:divBdr>
                        </w:div>
                      </w:divsChild>
                    </w:div>
                    <w:div w:id="1493331873">
                      <w:marLeft w:val="0"/>
                      <w:marRight w:val="0"/>
                      <w:marTop w:val="0"/>
                      <w:marBottom w:val="0"/>
                      <w:divBdr>
                        <w:top w:val="none" w:sz="0" w:space="0" w:color="auto"/>
                        <w:left w:val="none" w:sz="0" w:space="0" w:color="auto"/>
                        <w:bottom w:val="none" w:sz="0" w:space="0" w:color="auto"/>
                        <w:right w:val="none" w:sz="0" w:space="0" w:color="auto"/>
                      </w:divBdr>
                      <w:divsChild>
                        <w:div w:id="819810992">
                          <w:marLeft w:val="0"/>
                          <w:marRight w:val="0"/>
                          <w:marTop w:val="0"/>
                          <w:marBottom w:val="0"/>
                          <w:divBdr>
                            <w:top w:val="none" w:sz="0" w:space="0" w:color="auto"/>
                            <w:left w:val="none" w:sz="0" w:space="0" w:color="auto"/>
                            <w:bottom w:val="none" w:sz="0" w:space="0" w:color="auto"/>
                            <w:right w:val="none" w:sz="0" w:space="0" w:color="auto"/>
                          </w:divBdr>
                        </w:div>
                      </w:divsChild>
                    </w:div>
                    <w:div w:id="1493990032">
                      <w:marLeft w:val="0"/>
                      <w:marRight w:val="0"/>
                      <w:marTop w:val="0"/>
                      <w:marBottom w:val="0"/>
                      <w:divBdr>
                        <w:top w:val="none" w:sz="0" w:space="0" w:color="auto"/>
                        <w:left w:val="none" w:sz="0" w:space="0" w:color="auto"/>
                        <w:bottom w:val="none" w:sz="0" w:space="0" w:color="auto"/>
                        <w:right w:val="none" w:sz="0" w:space="0" w:color="auto"/>
                      </w:divBdr>
                      <w:divsChild>
                        <w:div w:id="3880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8937">
              <w:marLeft w:val="0"/>
              <w:marRight w:val="0"/>
              <w:marTop w:val="0"/>
              <w:marBottom w:val="0"/>
              <w:divBdr>
                <w:top w:val="none" w:sz="0" w:space="0" w:color="auto"/>
                <w:left w:val="none" w:sz="0" w:space="0" w:color="auto"/>
                <w:bottom w:val="none" w:sz="0" w:space="0" w:color="auto"/>
                <w:right w:val="none" w:sz="0" w:space="0" w:color="auto"/>
              </w:divBdr>
              <w:divsChild>
                <w:div w:id="160127354">
                  <w:marLeft w:val="0"/>
                  <w:marRight w:val="0"/>
                  <w:marTop w:val="0"/>
                  <w:marBottom w:val="0"/>
                  <w:divBdr>
                    <w:top w:val="none" w:sz="0" w:space="0" w:color="auto"/>
                    <w:left w:val="none" w:sz="0" w:space="0" w:color="auto"/>
                    <w:bottom w:val="none" w:sz="0" w:space="0" w:color="auto"/>
                    <w:right w:val="none" w:sz="0" w:space="0" w:color="auto"/>
                  </w:divBdr>
                  <w:divsChild>
                    <w:div w:id="913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095">
              <w:marLeft w:val="0"/>
              <w:marRight w:val="0"/>
              <w:marTop w:val="0"/>
              <w:marBottom w:val="0"/>
              <w:divBdr>
                <w:top w:val="none" w:sz="0" w:space="0" w:color="auto"/>
                <w:left w:val="none" w:sz="0" w:space="0" w:color="auto"/>
                <w:bottom w:val="none" w:sz="0" w:space="0" w:color="auto"/>
                <w:right w:val="none" w:sz="0" w:space="0" w:color="auto"/>
              </w:divBdr>
              <w:divsChild>
                <w:div w:id="1814327870">
                  <w:marLeft w:val="0"/>
                  <w:marRight w:val="0"/>
                  <w:marTop w:val="0"/>
                  <w:marBottom w:val="0"/>
                  <w:divBdr>
                    <w:top w:val="none" w:sz="0" w:space="0" w:color="auto"/>
                    <w:left w:val="none" w:sz="0" w:space="0" w:color="auto"/>
                    <w:bottom w:val="none" w:sz="0" w:space="0" w:color="auto"/>
                    <w:right w:val="none" w:sz="0" w:space="0" w:color="auto"/>
                  </w:divBdr>
                  <w:divsChild>
                    <w:div w:id="163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8983">
              <w:marLeft w:val="0"/>
              <w:marRight w:val="0"/>
              <w:marTop w:val="0"/>
              <w:marBottom w:val="0"/>
              <w:divBdr>
                <w:top w:val="none" w:sz="0" w:space="0" w:color="auto"/>
                <w:left w:val="none" w:sz="0" w:space="0" w:color="auto"/>
                <w:bottom w:val="none" w:sz="0" w:space="0" w:color="auto"/>
                <w:right w:val="none" w:sz="0" w:space="0" w:color="auto"/>
              </w:divBdr>
            </w:div>
          </w:divsChild>
        </w:div>
        <w:div w:id="973413617">
          <w:marLeft w:val="0"/>
          <w:marRight w:val="0"/>
          <w:marTop w:val="0"/>
          <w:marBottom w:val="0"/>
          <w:divBdr>
            <w:top w:val="none" w:sz="0" w:space="0" w:color="auto"/>
            <w:left w:val="none" w:sz="0" w:space="0" w:color="auto"/>
            <w:bottom w:val="none" w:sz="0" w:space="0" w:color="auto"/>
            <w:right w:val="none" w:sz="0" w:space="0" w:color="auto"/>
          </w:divBdr>
          <w:divsChild>
            <w:div w:id="1045258602">
              <w:marLeft w:val="0"/>
              <w:marRight w:val="0"/>
              <w:marTop w:val="0"/>
              <w:marBottom w:val="0"/>
              <w:divBdr>
                <w:top w:val="none" w:sz="0" w:space="0" w:color="auto"/>
                <w:left w:val="none" w:sz="0" w:space="0" w:color="auto"/>
                <w:bottom w:val="none" w:sz="0" w:space="0" w:color="auto"/>
                <w:right w:val="none" w:sz="0" w:space="0" w:color="auto"/>
              </w:divBdr>
            </w:div>
          </w:divsChild>
        </w:div>
        <w:div w:id="1021122708">
          <w:marLeft w:val="0"/>
          <w:marRight w:val="0"/>
          <w:marTop w:val="0"/>
          <w:marBottom w:val="0"/>
          <w:divBdr>
            <w:top w:val="none" w:sz="0" w:space="0" w:color="auto"/>
            <w:left w:val="none" w:sz="0" w:space="0" w:color="auto"/>
            <w:bottom w:val="none" w:sz="0" w:space="0" w:color="auto"/>
            <w:right w:val="none" w:sz="0" w:space="0" w:color="auto"/>
          </w:divBdr>
          <w:divsChild>
            <w:div w:id="209148474">
              <w:marLeft w:val="0"/>
              <w:marRight w:val="0"/>
              <w:marTop w:val="0"/>
              <w:marBottom w:val="0"/>
              <w:divBdr>
                <w:top w:val="none" w:sz="0" w:space="0" w:color="auto"/>
                <w:left w:val="none" w:sz="0" w:space="0" w:color="auto"/>
                <w:bottom w:val="none" w:sz="0" w:space="0" w:color="auto"/>
                <w:right w:val="none" w:sz="0" w:space="0" w:color="auto"/>
              </w:divBdr>
            </w:div>
            <w:div w:id="950209276">
              <w:marLeft w:val="0"/>
              <w:marRight w:val="0"/>
              <w:marTop w:val="0"/>
              <w:marBottom w:val="0"/>
              <w:divBdr>
                <w:top w:val="none" w:sz="0" w:space="0" w:color="auto"/>
                <w:left w:val="none" w:sz="0" w:space="0" w:color="auto"/>
                <w:bottom w:val="none" w:sz="0" w:space="0" w:color="auto"/>
                <w:right w:val="none" w:sz="0" w:space="0" w:color="auto"/>
              </w:divBdr>
              <w:divsChild>
                <w:div w:id="1991904081">
                  <w:marLeft w:val="0"/>
                  <w:marRight w:val="0"/>
                  <w:marTop w:val="0"/>
                  <w:marBottom w:val="0"/>
                  <w:divBdr>
                    <w:top w:val="none" w:sz="0" w:space="0" w:color="auto"/>
                    <w:left w:val="none" w:sz="0" w:space="0" w:color="auto"/>
                    <w:bottom w:val="none" w:sz="0" w:space="0" w:color="auto"/>
                    <w:right w:val="none" w:sz="0" w:space="0" w:color="auto"/>
                  </w:divBdr>
                  <w:divsChild>
                    <w:div w:id="305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0329">
              <w:marLeft w:val="0"/>
              <w:marRight w:val="0"/>
              <w:marTop w:val="0"/>
              <w:marBottom w:val="0"/>
              <w:divBdr>
                <w:top w:val="none" w:sz="0" w:space="0" w:color="auto"/>
                <w:left w:val="none" w:sz="0" w:space="0" w:color="auto"/>
                <w:bottom w:val="none" w:sz="0" w:space="0" w:color="auto"/>
                <w:right w:val="none" w:sz="0" w:space="0" w:color="auto"/>
              </w:divBdr>
              <w:divsChild>
                <w:div w:id="1055659776">
                  <w:marLeft w:val="0"/>
                  <w:marRight w:val="0"/>
                  <w:marTop w:val="0"/>
                  <w:marBottom w:val="0"/>
                  <w:divBdr>
                    <w:top w:val="none" w:sz="0" w:space="0" w:color="auto"/>
                    <w:left w:val="none" w:sz="0" w:space="0" w:color="auto"/>
                    <w:bottom w:val="none" w:sz="0" w:space="0" w:color="auto"/>
                    <w:right w:val="none" w:sz="0" w:space="0" w:color="auto"/>
                  </w:divBdr>
                  <w:divsChild>
                    <w:div w:id="21246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19281">
          <w:marLeft w:val="0"/>
          <w:marRight w:val="0"/>
          <w:marTop w:val="0"/>
          <w:marBottom w:val="0"/>
          <w:divBdr>
            <w:top w:val="none" w:sz="0" w:space="0" w:color="auto"/>
            <w:left w:val="none" w:sz="0" w:space="0" w:color="auto"/>
            <w:bottom w:val="none" w:sz="0" w:space="0" w:color="auto"/>
            <w:right w:val="none" w:sz="0" w:space="0" w:color="auto"/>
          </w:divBdr>
          <w:divsChild>
            <w:div w:id="415858448">
              <w:marLeft w:val="0"/>
              <w:marRight w:val="0"/>
              <w:marTop w:val="0"/>
              <w:marBottom w:val="0"/>
              <w:divBdr>
                <w:top w:val="none" w:sz="0" w:space="0" w:color="auto"/>
                <w:left w:val="none" w:sz="0" w:space="0" w:color="auto"/>
                <w:bottom w:val="none" w:sz="0" w:space="0" w:color="auto"/>
                <w:right w:val="none" w:sz="0" w:space="0" w:color="auto"/>
              </w:divBdr>
            </w:div>
          </w:divsChild>
        </w:div>
        <w:div w:id="1584995784">
          <w:marLeft w:val="0"/>
          <w:marRight w:val="0"/>
          <w:marTop w:val="0"/>
          <w:marBottom w:val="0"/>
          <w:divBdr>
            <w:top w:val="none" w:sz="0" w:space="0" w:color="auto"/>
            <w:left w:val="none" w:sz="0" w:space="0" w:color="auto"/>
            <w:bottom w:val="none" w:sz="0" w:space="0" w:color="auto"/>
            <w:right w:val="none" w:sz="0" w:space="0" w:color="auto"/>
          </w:divBdr>
          <w:divsChild>
            <w:div w:id="10590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3043">
      <w:bodyDiv w:val="1"/>
      <w:marLeft w:val="0"/>
      <w:marRight w:val="0"/>
      <w:marTop w:val="0"/>
      <w:marBottom w:val="0"/>
      <w:divBdr>
        <w:top w:val="none" w:sz="0" w:space="0" w:color="auto"/>
        <w:left w:val="none" w:sz="0" w:space="0" w:color="auto"/>
        <w:bottom w:val="none" w:sz="0" w:space="0" w:color="auto"/>
        <w:right w:val="none" w:sz="0" w:space="0" w:color="auto"/>
      </w:divBdr>
    </w:div>
    <w:div w:id="1023745630">
      <w:bodyDiv w:val="1"/>
      <w:marLeft w:val="0"/>
      <w:marRight w:val="0"/>
      <w:marTop w:val="0"/>
      <w:marBottom w:val="0"/>
      <w:divBdr>
        <w:top w:val="none" w:sz="0" w:space="0" w:color="auto"/>
        <w:left w:val="none" w:sz="0" w:space="0" w:color="auto"/>
        <w:bottom w:val="none" w:sz="0" w:space="0" w:color="auto"/>
        <w:right w:val="none" w:sz="0" w:space="0" w:color="auto"/>
      </w:divBdr>
    </w:div>
    <w:div w:id="1049647583">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59562465">
      <w:bodyDiv w:val="1"/>
      <w:marLeft w:val="0"/>
      <w:marRight w:val="0"/>
      <w:marTop w:val="0"/>
      <w:marBottom w:val="0"/>
      <w:divBdr>
        <w:top w:val="none" w:sz="0" w:space="0" w:color="auto"/>
        <w:left w:val="none" w:sz="0" w:space="0" w:color="auto"/>
        <w:bottom w:val="none" w:sz="0" w:space="0" w:color="auto"/>
        <w:right w:val="none" w:sz="0" w:space="0" w:color="auto"/>
      </w:divBdr>
    </w:div>
    <w:div w:id="1312055561">
      <w:bodyDiv w:val="1"/>
      <w:marLeft w:val="0"/>
      <w:marRight w:val="0"/>
      <w:marTop w:val="0"/>
      <w:marBottom w:val="0"/>
      <w:divBdr>
        <w:top w:val="none" w:sz="0" w:space="0" w:color="auto"/>
        <w:left w:val="none" w:sz="0" w:space="0" w:color="auto"/>
        <w:bottom w:val="none" w:sz="0" w:space="0" w:color="auto"/>
        <w:right w:val="none" w:sz="0" w:space="0" w:color="auto"/>
      </w:divBdr>
      <w:divsChild>
        <w:div w:id="788742241">
          <w:marLeft w:val="0"/>
          <w:marRight w:val="0"/>
          <w:marTop w:val="0"/>
          <w:marBottom w:val="0"/>
          <w:divBdr>
            <w:top w:val="none" w:sz="0" w:space="0" w:color="auto"/>
            <w:left w:val="none" w:sz="0" w:space="0" w:color="auto"/>
            <w:bottom w:val="none" w:sz="0" w:space="0" w:color="auto"/>
            <w:right w:val="none" w:sz="0" w:space="0" w:color="auto"/>
          </w:divBdr>
        </w:div>
        <w:div w:id="1363017914">
          <w:marLeft w:val="0"/>
          <w:marRight w:val="0"/>
          <w:marTop w:val="0"/>
          <w:marBottom w:val="0"/>
          <w:divBdr>
            <w:top w:val="none" w:sz="0" w:space="0" w:color="auto"/>
            <w:left w:val="none" w:sz="0" w:space="0" w:color="auto"/>
            <w:bottom w:val="none" w:sz="0" w:space="0" w:color="auto"/>
            <w:right w:val="none" w:sz="0" w:space="0" w:color="auto"/>
          </w:divBdr>
          <w:divsChild>
            <w:div w:id="535041968">
              <w:marLeft w:val="0"/>
              <w:marRight w:val="0"/>
              <w:marTop w:val="0"/>
              <w:marBottom w:val="0"/>
              <w:divBdr>
                <w:top w:val="none" w:sz="0" w:space="0" w:color="auto"/>
                <w:left w:val="none" w:sz="0" w:space="0" w:color="auto"/>
                <w:bottom w:val="none" w:sz="0" w:space="0" w:color="auto"/>
                <w:right w:val="none" w:sz="0" w:space="0" w:color="auto"/>
              </w:divBdr>
              <w:divsChild>
                <w:div w:id="1115906372">
                  <w:marLeft w:val="0"/>
                  <w:marRight w:val="0"/>
                  <w:marTop w:val="0"/>
                  <w:marBottom w:val="0"/>
                  <w:divBdr>
                    <w:top w:val="none" w:sz="0" w:space="0" w:color="auto"/>
                    <w:left w:val="none" w:sz="0" w:space="0" w:color="auto"/>
                    <w:bottom w:val="none" w:sz="0" w:space="0" w:color="auto"/>
                    <w:right w:val="none" w:sz="0" w:space="0" w:color="auto"/>
                  </w:divBdr>
                </w:div>
              </w:divsChild>
            </w:div>
            <w:div w:id="979113664">
              <w:marLeft w:val="0"/>
              <w:marRight w:val="0"/>
              <w:marTop w:val="0"/>
              <w:marBottom w:val="0"/>
              <w:divBdr>
                <w:top w:val="none" w:sz="0" w:space="0" w:color="auto"/>
                <w:left w:val="none" w:sz="0" w:space="0" w:color="auto"/>
                <w:bottom w:val="none" w:sz="0" w:space="0" w:color="auto"/>
                <w:right w:val="none" w:sz="0" w:space="0" w:color="auto"/>
              </w:divBdr>
              <w:divsChild>
                <w:div w:id="2083864312">
                  <w:marLeft w:val="0"/>
                  <w:marRight w:val="0"/>
                  <w:marTop w:val="0"/>
                  <w:marBottom w:val="0"/>
                  <w:divBdr>
                    <w:top w:val="none" w:sz="0" w:space="0" w:color="auto"/>
                    <w:left w:val="none" w:sz="0" w:space="0" w:color="auto"/>
                    <w:bottom w:val="none" w:sz="0" w:space="0" w:color="auto"/>
                    <w:right w:val="none" w:sz="0" w:space="0" w:color="auto"/>
                  </w:divBdr>
                  <w:divsChild>
                    <w:div w:id="7001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8611">
              <w:marLeft w:val="0"/>
              <w:marRight w:val="0"/>
              <w:marTop w:val="0"/>
              <w:marBottom w:val="0"/>
              <w:divBdr>
                <w:top w:val="none" w:sz="0" w:space="0" w:color="auto"/>
                <w:left w:val="none" w:sz="0" w:space="0" w:color="auto"/>
                <w:bottom w:val="none" w:sz="0" w:space="0" w:color="auto"/>
                <w:right w:val="none" w:sz="0" w:space="0" w:color="auto"/>
              </w:divBdr>
              <w:divsChild>
                <w:div w:id="226696649">
                  <w:marLeft w:val="0"/>
                  <w:marRight w:val="0"/>
                  <w:marTop w:val="0"/>
                  <w:marBottom w:val="0"/>
                  <w:divBdr>
                    <w:top w:val="none" w:sz="0" w:space="0" w:color="auto"/>
                    <w:left w:val="none" w:sz="0" w:space="0" w:color="auto"/>
                    <w:bottom w:val="none" w:sz="0" w:space="0" w:color="auto"/>
                    <w:right w:val="none" w:sz="0" w:space="0" w:color="auto"/>
                  </w:divBdr>
                  <w:divsChild>
                    <w:div w:id="18623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4503">
              <w:marLeft w:val="0"/>
              <w:marRight w:val="0"/>
              <w:marTop w:val="0"/>
              <w:marBottom w:val="0"/>
              <w:divBdr>
                <w:top w:val="none" w:sz="0" w:space="0" w:color="auto"/>
                <w:left w:val="none" w:sz="0" w:space="0" w:color="auto"/>
                <w:bottom w:val="none" w:sz="0" w:space="0" w:color="auto"/>
                <w:right w:val="none" w:sz="0" w:space="0" w:color="auto"/>
              </w:divBdr>
            </w:div>
            <w:div w:id="1808013635">
              <w:marLeft w:val="0"/>
              <w:marRight w:val="0"/>
              <w:marTop w:val="0"/>
              <w:marBottom w:val="0"/>
              <w:divBdr>
                <w:top w:val="none" w:sz="0" w:space="0" w:color="auto"/>
                <w:left w:val="none" w:sz="0" w:space="0" w:color="auto"/>
                <w:bottom w:val="none" w:sz="0" w:space="0" w:color="auto"/>
                <w:right w:val="none" w:sz="0" w:space="0" w:color="auto"/>
              </w:divBdr>
              <w:divsChild>
                <w:div w:id="431046319">
                  <w:marLeft w:val="0"/>
                  <w:marRight w:val="0"/>
                  <w:marTop w:val="0"/>
                  <w:marBottom w:val="0"/>
                  <w:divBdr>
                    <w:top w:val="none" w:sz="0" w:space="0" w:color="auto"/>
                    <w:left w:val="none" w:sz="0" w:space="0" w:color="auto"/>
                    <w:bottom w:val="none" w:sz="0" w:space="0" w:color="auto"/>
                    <w:right w:val="none" w:sz="0" w:space="0" w:color="auto"/>
                  </w:divBdr>
                  <w:divsChild>
                    <w:div w:id="8760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63295">
          <w:marLeft w:val="0"/>
          <w:marRight w:val="0"/>
          <w:marTop w:val="0"/>
          <w:marBottom w:val="0"/>
          <w:divBdr>
            <w:top w:val="none" w:sz="0" w:space="0" w:color="auto"/>
            <w:left w:val="none" w:sz="0" w:space="0" w:color="auto"/>
            <w:bottom w:val="none" w:sz="0" w:space="0" w:color="auto"/>
            <w:right w:val="none" w:sz="0" w:space="0" w:color="auto"/>
          </w:divBdr>
          <w:divsChild>
            <w:div w:id="16522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8927">
      <w:bodyDiv w:val="1"/>
      <w:marLeft w:val="0"/>
      <w:marRight w:val="0"/>
      <w:marTop w:val="0"/>
      <w:marBottom w:val="0"/>
      <w:divBdr>
        <w:top w:val="none" w:sz="0" w:space="0" w:color="auto"/>
        <w:left w:val="none" w:sz="0" w:space="0" w:color="auto"/>
        <w:bottom w:val="none" w:sz="0" w:space="0" w:color="auto"/>
        <w:right w:val="none" w:sz="0" w:space="0" w:color="auto"/>
      </w:divBdr>
    </w:div>
    <w:div w:id="1404261414">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47508968">
      <w:bodyDiv w:val="1"/>
      <w:marLeft w:val="0"/>
      <w:marRight w:val="0"/>
      <w:marTop w:val="0"/>
      <w:marBottom w:val="0"/>
      <w:divBdr>
        <w:top w:val="none" w:sz="0" w:space="0" w:color="auto"/>
        <w:left w:val="none" w:sz="0" w:space="0" w:color="auto"/>
        <w:bottom w:val="none" w:sz="0" w:space="0" w:color="auto"/>
        <w:right w:val="none" w:sz="0" w:space="0" w:color="auto"/>
      </w:divBdr>
    </w:div>
    <w:div w:id="1516917070">
      <w:bodyDiv w:val="1"/>
      <w:marLeft w:val="0"/>
      <w:marRight w:val="0"/>
      <w:marTop w:val="0"/>
      <w:marBottom w:val="0"/>
      <w:divBdr>
        <w:top w:val="none" w:sz="0" w:space="0" w:color="auto"/>
        <w:left w:val="none" w:sz="0" w:space="0" w:color="auto"/>
        <w:bottom w:val="none" w:sz="0" w:space="0" w:color="auto"/>
        <w:right w:val="none" w:sz="0" w:space="0" w:color="auto"/>
      </w:divBdr>
    </w:div>
    <w:div w:id="1580868605">
      <w:bodyDiv w:val="1"/>
      <w:marLeft w:val="0"/>
      <w:marRight w:val="0"/>
      <w:marTop w:val="0"/>
      <w:marBottom w:val="0"/>
      <w:divBdr>
        <w:top w:val="none" w:sz="0" w:space="0" w:color="auto"/>
        <w:left w:val="none" w:sz="0" w:space="0" w:color="auto"/>
        <w:bottom w:val="none" w:sz="0" w:space="0" w:color="auto"/>
        <w:right w:val="none" w:sz="0" w:space="0" w:color="auto"/>
      </w:divBdr>
    </w:div>
    <w:div w:id="1598170266">
      <w:bodyDiv w:val="1"/>
      <w:marLeft w:val="0"/>
      <w:marRight w:val="0"/>
      <w:marTop w:val="0"/>
      <w:marBottom w:val="0"/>
      <w:divBdr>
        <w:top w:val="none" w:sz="0" w:space="0" w:color="auto"/>
        <w:left w:val="none" w:sz="0" w:space="0" w:color="auto"/>
        <w:bottom w:val="none" w:sz="0" w:space="0" w:color="auto"/>
        <w:right w:val="none" w:sz="0" w:space="0" w:color="auto"/>
      </w:divBdr>
    </w:div>
    <w:div w:id="1632830010">
      <w:bodyDiv w:val="1"/>
      <w:marLeft w:val="0"/>
      <w:marRight w:val="0"/>
      <w:marTop w:val="0"/>
      <w:marBottom w:val="0"/>
      <w:divBdr>
        <w:top w:val="none" w:sz="0" w:space="0" w:color="auto"/>
        <w:left w:val="none" w:sz="0" w:space="0" w:color="auto"/>
        <w:bottom w:val="none" w:sz="0" w:space="0" w:color="auto"/>
        <w:right w:val="none" w:sz="0" w:space="0" w:color="auto"/>
      </w:divBdr>
    </w:div>
    <w:div w:id="1816868997">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67710620">
      <w:bodyDiv w:val="1"/>
      <w:marLeft w:val="0"/>
      <w:marRight w:val="0"/>
      <w:marTop w:val="0"/>
      <w:marBottom w:val="0"/>
      <w:divBdr>
        <w:top w:val="none" w:sz="0" w:space="0" w:color="auto"/>
        <w:left w:val="none" w:sz="0" w:space="0" w:color="auto"/>
        <w:bottom w:val="none" w:sz="0" w:space="0" w:color="auto"/>
        <w:right w:val="none" w:sz="0" w:space="0" w:color="auto"/>
      </w:divBdr>
    </w:div>
    <w:div w:id="1874689288">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12426217">
      <w:bodyDiv w:val="1"/>
      <w:marLeft w:val="0"/>
      <w:marRight w:val="0"/>
      <w:marTop w:val="0"/>
      <w:marBottom w:val="0"/>
      <w:divBdr>
        <w:top w:val="none" w:sz="0" w:space="0" w:color="auto"/>
        <w:left w:val="none" w:sz="0" w:space="0" w:color="auto"/>
        <w:bottom w:val="none" w:sz="0" w:space="0" w:color="auto"/>
        <w:right w:val="none" w:sz="0" w:space="0" w:color="auto"/>
      </w:divBdr>
    </w:div>
    <w:div w:id="1930044524">
      <w:bodyDiv w:val="1"/>
      <w:marLeft w:val="0"/>
      <w:marRight w:val="0"/>
      <w:marTop w:val="0"/>
      <w:marBottom w:val="0"/>
      <w:divBdr>
        <w:top w:val="none" w:sz="0" w:space="0" w:color="auto"/>
        <w:left w:val="none" w:sz="0" w:space="0" w:color="auto"/>
        <w:bottom w:val="none" w:sz="0" w:space="0" w:color="auto"/>
        <w:right w:val="none" w:sz="0" w:space="0" w:color="auto"/>
      </w:divBdr>
    </w:div>
    <w:div w:id="1982727239">
      <w:bodyDiv w:val="1"/>
      <w:marLeft w:val="0"/>
      <w:marRight w:val="0"/>
      <w:marTop w:val="0"/>
      <w:marBottom w:val="0"/>
      <w:divBdr>
        <w:top w:val="none" w:sz="0" w:space="0" w:color="auto"/>
        <w:left w:val="none" w:sz="0" w:space="0" w:color="auto"/>
        <w:bottom w:val="none" w:sz="0" w:space="0" w:color="auto"/>
        <w:right w:val="none" w:sz="0" w:space="0" w:color="auto"/>
      </w:divBdr>
    </w:div>
    <w:div w:id="1997101386">
      <w:bodyDiv w:val="1"/>
      <w:marLeft w:val="0"/>
      <w:marRight w:val="0"/>
      <w:marTop w:val="0"/>
      <w:marBottom w:val="0"/>
      <w:divBdr>
        <w:top w:val="none" w:sz="0" w:space="0" w:color="auto"/>
        <w:left w:val="none" w:sz="0" w:space="0" w:color="auto"/>
        <w:bottom w:val="none" w:sz="0" w:space="0" w:color="auto"/>
        <w:right w:val="none" w:sz="0" w:space="0" w:color="auto"/>
      </w:divBdr>
    </w:div>
    <w:div w:id="2016371857">
      <w:bodyDiv w:val="1"/>
      <w:marLeft w:val="0"/>
      <w:marRight w:val="0"/>
      <w:marTop w:val="0"/>
      <w:marBottom w:val="0"/>
      <w:divBdr>
        <w:top w:val="none" w:sz="0" w:space="0" w:color="auto"/>
        <w:left w:val="none" w:sz="0" w:space="0" w:color="auto"/>
        <w:bottom w:val="none" w:sz="0" w:space="0" w:color="auto"/>
        <w:right w:val="none" w:sz="0" w:space="0" w:color="auto"/>
      </w:divBdr>
    </w:div>
    <w:div w:id="2027369026">
      <w:bodyDiv w:val="1"/>
      <w:marLeft w:val="0"/>
      <w:marRight w:val="0"/>
      <w:marTop w:val="0"/>
      <w:marBottom w:val="0"/>
      <w:divBdr>
        <w:top w:val="none" w:sz="0" w:space="0" w:color="auto"/>
        <w:left w:val="none" w:sz="0" w:space="0" w:color="auto"/>
        <w:bottom w:val="none" w:sz="0" w:space="0" w:color="auto"/>
        <w:right w:val="none" w:sz="0" w:space="0" w:color="auto"/>
      </w:divBdr>
    </w:div>
    <w:div w:id="2091273840">
      <w:bodyDiv w:val="1"/>
      <w:marLeft w:val="0"/>
      <w:marRight w:val="0"/>
      <w:marTop w:val="0"/>
      <w:marBottom w:val="0"/>
      <w:divBdr>
        <w:top w:val="none" w:sz="0" w:space="0" w:color="auto"/>
        <w:left w:val="none" w:sz="0" w:space="0" w:color="auto"/>
        <w:bottom w:val="none" w:sz="0" w:space="0" w:color="auto"/>
        <w:right w:val="none" w:sz="0" w:space="0" w:color="auto"/>
      </w:divBdr>
      <w:divsChild>
        <w:div w:id="240220255">
          <w:marLeft w:val="0"/>
          <w:marRight w:val="0"/>
          <w:marTop w:val="0"/>
          <w:marBottom w:val="0"/>
          <w:divBdr>
            <w:top w:val="none" w:sz="0" w:space="0" w:color="auto"/>
            <w:left w:val="none" w:sz="0" w:space="0" w:color="auto"/>
            <w:bottom w:val="none" w:sz="0" w:space="0" w:color="auto"/>
            <w:right w:val="none" w:sz="0" w:space="0" w:color="auto"/>
          </w:divBdr>
          <w:divsChild>
            <w:div w:id="655913258">
              <w:marLeft w:val="0"/>
              <w:marRight w:val="0"/>
              <w:marTop w:val="0"/>
              <w:marBottom w:val="0"/>
              <w:divBdr>
                <w:top w:val="none" w:sz="0" w:space="0" w:color="auto"/>
                <w:left w:val="none" w:sz="0" w:space="0" w:color="auto"/>
                <w:bottom w:val="none" w:sz="0" w:space="0" w:color="auto"/>
                <w:right w:val="none" w:sz="0" w:space="0" w:color="auto"/>
              </w:divBdr>
              <w:divsChild>
                <w:div w:id="3980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67493">
      <w:bodyDiv w:val="1"/>
      <w:marLeft w:val="0"/>
      <w:marRight w:val="0"/>
      <w:marTop w:val="0"/>
      <w:marBottom w:val="0"/>
      <w:divBdr>
        <w:top w:val="none" w:sz="0" w:space="0" w:color="auto"/>
        <w:left w:val="none" w:sz="0" w:space="0" w:color="auto"/>
        <w:bottom w:val="none" w:sz="0" w:space="0" w:color="auto"/>
        <w:right w:val="none" w:sz="0" w:space="0" w:color="auto"/>
      </w:divBdr>
    </w:div>
    <w:div w:id="21394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atuszek@klim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gata.swiecka@klima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987E-DC09-443D-9A70-3132B04D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35</Pages>
  <Words>19697</Words>
  <Characters>118183</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137605</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Święcka Agata</dc:creator>
  <cp:keywords/>
  <cp:lastModifiedBy>Machaj Maciej</cp:lastModifiedBy>
  <cp:revision>17</cp:revision>
  <dcterms:created xsi:type="dcterms:W3CDTF">2025-01-31T15:41:00Z</dcterms:created>
  <dcterms:modified xsi:type="dcterms:W3CDTF">2025-02-06T14:02:00Z</dcterms:modified>
</cp:coreProperties>
</file>