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A005" w14:textId="59314CBB" w:rsidR="001809A6" w:rsidRPr="00532F7E" w:rsidRDefault="00EB557C" w:rsidP="00532F7E">
      <w:pPr>
        <w:ind w:left="709" w:firstLine="0"/>
        <w:jc w:val="center"/>
      </w:pPr>
      <w:r w:rsidRPr="00532F7E">
        <w:t>UZASADNIENIE</w:t>
      </w:r>
    </w:p>
    <w:p w14:paraId="724C8884" w14:textId="10D2E8C4" w:rsidR="00DC176B" w:rsidRPr="00EB557C" w:rsidRDefault="30D1BE95" w:rsidP="00532F7E">
      <w:pPr>
        <w:spacing w:before="120" w:after="0"/>
        <w:ind w:firstLine="0"/>
        <w:rPr>
          <w:rFonts w:cs="Times New Roman"/>
          <w:szCs w:val="24"/>
        </w:rPr>
      </w:pPr>
      <w:r w:rsidRPr="00EB557C">
        <w:rPr>
          <w:rFonts w:cs="Times New Roman"/>
          <w:szCs w:val="24"/>
        </w:rPr>
        <w:t xml:space="preserve">Zmiany zaproponowane w projekcie ustawy o zmianie ustawy o odnawialnych źródłach energii oraz niektórych innych ustaw </w:t>
      </w:r>
      <w:r w:rsidR="59EFE7F9" w:rsidRPr="00EB557C">
        <w:rPr>
          <w:rFonts w:cs="Times New Roman"/>
          <w:szCs w:val="24"/>
        </w:rPr>
        <w:t xml:space="preserve">(nr w </w:t>
      </w:r>
      <w:r w:rsidR="00D13FE4">
        <w:rPr>
          <w:rFonts w:cs="Times New Roman"/>
          <w:szCs w:val="24"/>
        </w:rPr>
        <w:t>W</w:t>
      </w:r>
      <w:r w:rsidR="59EFE7F9" w:rsidRPr="00EB557C">
        <w:rPr>
          <w:rFonts w:cs="Times New Roman"/>
          <w:szCs w:val="24"/>
        </w:rPr>
        <w:t xml:space="preserve">ykazie prac programowych i legislacyjnych Rady Ministrów </w:t>
      </w:r>
      <w:r w:rsidR="00CD4846">
        <w:rPr>
          <w:rFonts w:cs="Times New Roman"/>
          <w:szCs w:val="24"/>
        </w:rPr>
        <w:t>–</w:t>
      </w:r>
      <w:r w:rsidR="59EFE7F9" w:rsidRPr="00EB557C">
        <w:rPr>
          <w:rFonts w:cs="Times New Roman"/>
          <w:szCs w:val="24"/>
        </w:rPr>
        <w:t xml:space="preserve"> UD41) </w:t>
      </w:r>
      <w:r w:rsidRPr="00EB557C">
        <w:rPr>
          <w:rFonts w:cs="Times New Roman"/>
          <w:szCs w:val="24"/>
        </w:rPr>
        <w:t>mają na celu rozwój energetyki prosumenckiej oraz dostosowanie przepisów krajowych do rozporządzeń i wytycznych Komisji Europejskiej. Pozwoli to na dalszy rozwój instalacji odnawialnych źródeł energii, w tym objętych systemami wsparcia</w:t>
      </w:r>
      <w:r w:rsidR="434A442A" w:rsidRPr="00EB557C">
        <w:rPr>
          <w:rFonts w:cs="Times New Roman"/>
          <w:szCs w:val="24"/>
        </w:rPr>
        <w:t>.</w:t>
      </w:r>
      <w:r w:rsidRPr="00EB557C">
        <w:rPr>
          <w:rFonts w:cs="Times New Roman"/>
          <w:szCs w:val="24"/>
        </w:rPr>
        <w:t xml:space="preserve"> </w:t>
      </w:r>
    </w:p>
    <w:p w14:paraId="118CD735" w14:textId="3E0693D6" w:rsidR="00DC176B" w:rsidRPr="00EB557C" w:rsidRDefault="348C5DF1" w:rsidP="00532F7E">
      <w:pPr>
        <w:spacing w:before="120" w:after="0"/>
        <w:ind w:firstLine="0"/>
        <w:rPr>
          <w:rFonts w:cs="Times New Roman"/>
          <w:szCs w:val="24"/>
        </w:rPr>
      </w:pPr>
      <w:r w:rsidRPr="00EB557C">
        <w:rPr>
          <w:rFonts w:cs="Times New Roman"/>
          <w:szCs w:val="24"/>
        </w:rPr>
        <w:t>S</w:t>
      </w:r>
      <w:r w:rsidR="30D1BE95" w:rsidRPr="00EB557C">
        <w:rPr>
          <w:rFonts w:cs="Times New Roman"/>
          <w:szCs w:val="24"/>
        </w:rPr>
        <w:t xml:space="preserve">tanowić </w:t>
      </w:r>
      <w:r w:rsidRPr="00EB557C">
        <w:rPr>
          <w:rFonts w:cs="Times New Roman"/>
          <w:szCs w:val="24"/>
        </w:rPr>
        <w:t xml:space="preserve">to </w:t>
      </w:r>
      <w:r w:rsidR="30D1BE95" w:rsidRPr="00EB557C">
        <w:rPr>
          <w:rFonts w:cs="Times New Roman"/>
          <w:szCs w:val="24"/>
        </w:rPr>
        <w:t>będzie kolejny krok do realizacji założonego w dokumentach strategicznych poziomu udziału energii z OZE w końcowym zużyciu energii brutto. Zmiany wprowadzane do ustaw</w:t>
      </w:r>
      <w:r w:rsidR="55DC5976" w:rsidRPr="00EB557C">
        <w:rPr>
          <w:rFonts w:cs="Times New Roman"/>
          <w:szCs w:val="24"/>
        </w:rPr>
        <w:t>y</w:t>
      </w:r>
      <w:r w:rsidR="30D1BE95" w:rsidRPr="00EB557C">
        <w:rPr>
          <w:rFonts w:cs="Times New Roman"/>
          <w:szCs w:val="24"/>
        </w:rPr>
        <w:t xml:space="preserve"> z dnia 20 lutego 2015 r. o odnawialnych źródłach energii (Dz. U. z 202</w:t>
      </w:r>
      <w:r w:rsidR="190AB492" w:rsidRPr="00EB557C">
        <w:rPr>
          <w:rFonts w:cs="Times New Roman"/>
          <w:szCs w:val="24"/>
        </w:rPr>
        <w:t>4</w:t>
      </w:r>
      <w:r w:rsidR="30D1BE95" w:rsidRPr="00EB557C">
        <w:rPr>
          <w:rFonts w:cs="Times New Roman"/>
          <w:szCs w:val="24"/>
        </w:rPr>
        <w:t xml:space="preserve"> r. poz. 1</w:t>
      </w:r>
      <w:r w:rsidR="7B740D84" w:rsidRPr="00EB557C">
        <w:rPr>
          <w:rFonts w:cs="Times New Roman"/>
          <w:szCs w:val="24"/>
        </w:rPr>
        <w:t>361</w:t>
      </w:r>
      <w:r w:rsidR="30D1BE95" w:rsidRPr="00EB557C">
        <w:rPr>
          <w:rFonts w:cs="Times New Roman"/>
          <w:szCs w:val="24"/>
        </w:rPr>
        <w:t>), dalej: „ustawa o OZE”</w:t>
      </w:r>
      <w:r w:rsidR="00D13FE4">
        <w:rPr>
          <w:rFonts w:cs="Times New Roman"/>
          <w:szCs w:val="24"/>
        </w:rPr>
        <w:t>,</w:t>
      </w:r>
      <w:r w:rsidR="30D1BE95" w:rsidRPr="00EB557C">
        <w:rPr>
          <w:rFonts w:cs="Times New Roman"/>
          <w:szCs w:val="24"/>
        </w:rPr>
        <w:t xml:space="preserve"> </w:t>
      </w:r>
      <w:r w:rsidR="4238FEDB" w:rsidRPr="00EB557C">
        <w:rPr>
          <w:rFonts w:cs="Times New Roman"/>
          <w:szCs w:val="24"/>
        </w:rPr>
        <w:t xml:space="preserve">oraz innych ustaw </w:t>
      </w:r>
      <w:r w:rsidR="30D1BE95" w:rsidRPr="00EB557C">
        <w:rPr>
          <w:rFonts w:cs="Times New Roman"/>
          <w:szCs w:val="24"/>
        </w:rPr>
        <w:t>przełożą się również na kreowanie nowych impulsów rozwoju gospodarczego, szczególnie w wymiarze lokalnym.</w:t>
      </w:r>
    </w:p>
    <w:p w14:paraId="78E7C585" w14:textId="1D624DDD" w:rsidR="001809A6" w:rsidRPr="00EB557C" w:rsidRDefault="7C87C572" w:rsidP="00532F7E">
      <w:pPr>
        <w:pStyle w:val="Akapitzlist"/>
        <w:numPr>
          <w:ilvl w:val="0"/>
          <w:numId w:val="8"/>
        </w:numPr>
        <w:tabs>
          <w:tab w:val="left" w:pos="426"/>
        </w:tabs>
        <w:spacing w:before="120" w:after="0"/>
        <w:ind w:left="0" w:firstLine="0"/>
        <w:rPr>
          <w:rFonts w:cs="Times New Roman"/>
          <w:b/>
          <w:bCs/>
          <w:szCs w:val="24"/>
          <w:u w:val="single"/>
        </w:rPr>
      </w:pPr>
      <w:bookmarkStart w:id="0" w:name="_Hlk148610556"/>
      <w:r w:rsidRPr="00EB557C">
        <w:rPr>
          <w:rFonts w:cs="Times New Roman"/>
          <w:b/>
          <w:bCs/>
          <w:szCs w:val="24"/>
          <w:u w:val="single"/>
        </w:rPr>
        <w:t>Dostosowanie ulg dla odbiorców energochłonnych do CEEAG</w:t>
      </w:r>
    </w:p>
    <w:bookmarkEnd w:id="0"/>
    <w:p w14:paraId="37C615BD" w14:textId="1C0927A0" w:rsidR="005175FF" w:rsidRPr="00EB557C" w:rsidRDefault="00631AFA" w:rsidP="00532F7E">
      <w:pPr>
        <w:spacing w:before="120" w:after="0"/>
        <w:ind w:firstLine="0"/>
        <w:rPr>
          <w:rFonts w:cs="Times New Roman"/>
          <w:szCs w:val="24"/>
        </w:rPr>
      </w:pPr>
      <w:r w:rsidRPr="00EB557C">
        <w:rPr>
          <w:rFonts w:cs="Times New Roman"/>
          <w:b/>
          <w:bCs/>
          <w:szCs w:val="24"/>
        </w:rPr>
        <w:t xml:space="preserve">Cel i potrzeba wprowadzenia przepisów w zakresie ulg dla odbiorców </w:t>
      </w:r>
      <w:r w:rsidR="0067420A" w:rsidRPr="00EB557C">
        <w:rPr>
          <w:rFonts w:cs="Times New Roman"/>
          <w:b/>
          <w:bCs/>
          <w:szCs w:val="24"/>
        </w:rPr>
        <w:t>energochłonnych</w:t>
      </w:r>
    </w:p>
    <w:p w14:paraId="26FBBC34" w14:textId="61D655C0" w:rsidR="005175FF" w:rsidRPr="00EB557C" w:rsidRDefault="00C65E81" w:rsidP="00532F7E">
      <w:pPr>
        <w:spacing w:before="120" w:after="0"/>
        <w:ind w:firstLine="0"/>
        <w:rPr>
          <w:rFonts w:cs="Times New Roman"/>
          <w:szCs w:val="24"/>
        </w:rPr>
      </w:pPr>
      <w:r w:rsidRPr="00EB557C">
        <w:rPr>
          <w:rFonts w:cs="Times New Roman"/>
          <w:szCs w:val="24"/>
        </w:rPr>
        <w:t>W</w:t>
      </w:r>
      <w:r w:rsidR="005175FF" w:rsidRPr="00EB557C">
        <w:rPr>
          <w:rFonts w:cs="Times New Roman"/>
          <w:szCs w:val="24"/>
        </w:rPr>
        <w:t xml:space="preserve"> 2022</w:t>
      </w:r>
      <w:r w:rsidR="0067420A" w:rsidRPr="00EB557C">
        <w:rPr>
          <w:rFonts w:cs="Times New Roman"/>
          <w:szCs w:val="24"/>
        </w:rPr>
        <w:t> r.</w:t>
      </w:r>
      <w:r w:rsidR="005175FF" w:rsidRPr="00EB557C">
        <w:rPr>
          <w:rFonts w:cs="Times New Roman"/>
          <w:szCs w:val="24"/>
        </w:rPr>
        <w:t xml:space="preserve"> Komisja Europejska</w:t>
      </w:r>
      <w:r w:rsidR="00AB6BE8" w:rsidRPr="00EB557C">
        <w:rPr>
          <w:rFonts w:cs="Times New Roman"/>
          <w:szCs w:val="24"/>
        </w:rPr>
        <w:t xml:space="preserve">, </w:t>
      </w:r>
      <w:r w:rsidR="005175FF" w:rsidRPr="00EB557C">
        <w:rPr>
          <w:rFonts w:cs="Times New Roman"/>
          <w:szCs w:val="24"/>
        </w:rPr>
        <w:t>dalej: „KE”, „Komisja”</w:t>
      </w:r>
      <w:r w:rsidR="00AB6BE8" w:rsidRPr="00EB557C">
        <w:rPr>
          <w:rFonts w:cs="Times New Roman"/>
          <w:szCs w:val="24"/>
        </w:rPr>
        <w:t>,</w:t>
      </w:r>
      <w:r w:rsidR="005175FF" w:rsidRPr="00EB557C">
        <w:rPr>
          <w:rFonts w:cs="Times New Roman"/>
          <w:szCs w:val="24"/>
        </w:rPr>
        <w:t xml:space="preserve"> </w:t>
      </w:r>
      <w:r w:rsidR="0067420A" w:rsidRPr="00EB557C">
        <w:rPr>
          <w:rFonts w:cs="Times New Roman"/>
          <w:szCs w:val="24"/>
        </w:rPr>
        <w:t>ogłosiła Komunikat – Wytyczne w sprawie pomocy państwa na ochronę klimatu i środowiska oraz cele związane z energią z 2022</w:t>
      </w:r>
      <w:r w:rsidR="00D13FE4">
        <w:rPr>
          <w:rFonts w:cs="Times New Roman"/>
          <w:szCs w:val="24"/>
        </w:rPr>
        <w:t> </w:t>
      </w:r>
      <w:r w:rsidR="0067420A" w:rsidRPr="00EB557C">
        <w:rPr>
          <w:rFonts w:cs="Times New Roman"/>
          <w:szCs w:val="24"/>
        </w:rPr>
        <w:t>r. (Dz.</w:t>
      </w:r>
      <w:r w:rsidR="00CF31EF" w:rsidRPr="00EB557C">
        <w:rPr>
          <w:rFonts w:cs="Times New Roman"/>
          <w:szCs w:val="24"/>
        </w:rPr>
        <w:t xml:space="preserve"> </w:t>
      </w:r>
      <w:r w:rsidR="0067420A" w:rsidRPr="00EB557C">
        <w:rPr>
          <w:rFonts w:cs="Times New Roman"/>
          <w:szCs w:val="24"/>
        </w:rPr>
        <w:t>U</w:t>
      </w:r>
      <w:r w:rsidR="00CF31EF" w:rsidRPr="00EB557C">
        <w:rPr>
          <w:rFonts w:cs="Times New Roman"/>
          <w:szCs w:val="24"/>
        </w:rPr>
        <w:t>rz</w:t>
      </w:r>
      <w:r w:rsidR="0067420A" w:rsidRPr="00EB557C">
        <w:rPr>
          <w:rFonts w:cs="Times New Roman"/>
          <w:szCs w:val="24"/>
        </w:rPr>
        <w:t xml:space="preserve">. </w:t>
      </w:r>
      <w:r w:rsidR="00CF31EF" w:rsidRPr="00EB557C">
        <w:rPr>
          <w:rFonts w:cs="Times New Roman"/>
          <w:szCs w:val="24"/>
        </w:rPr>
        <w:t xml:space="preserve">UE </w:t>
      </w:r>
      <w:r w:rsidR="0067420A" w:rsidRPr="00EB557C">
        <w:rPr>
          <w:rFonts w:cs="Times New Roman"/>
          <w:szCs w:val="24"/>
        </w:rPr>
        <w:t>C 80 z 18.</w:t>
      </w:r>
      <w:r w:rsidR="006833BD">
        <w:rPr>
          <w:rFonts w:cs="Times New Roman"/>
          <w:szCs w:val="24"/>
        </w:rPr>
        <w:t>0</w:t>
      </w:r>
      <w:r w:rsidR="0067420A" w:rsidRPr="00EB557C">
        <w:rPr>
          <w:rFonts w:cs="Times New Roman"/>
          <w:szCs w:val="24"/>
        </w:rPr>
        <w:t xml:space="preserve">2.2022, str. 1–89), </w:t>
      </w:r>
      <w:r w:rsidR="005175FF" w:rsidRPr="00EB557C">
        <w:rPr>
          <w:rFonts w:cs="Times New Roman"/>
          <w:szCs w:val="24"/>
        </w:rPr>
        <w:t>dalej: „CEEAG”</w:t>
      </w:r>
      <w:r w:rsidR="0067420A" w:rsidRPr="00EB557C">
        <w:rPr>
          <w:rFonts w:cs="Times New Roman"/>
          <w:szCs w:val="24"/>
        </w:rPr>
        <w:t>,</w:t>
      </w:r>
      <w:r w:rsidR="005175FF" w:rsidRPr="00EB557C">
        <w:rPr>
          <w:rFonts w:cs="Times New Roman"/>
          <w:szCs w:val="24"/>
        </w:rPr>
        <w:t xml:space="preserve"> </w:t>
      </w:r>
      <w:r w:rsidR="0067420A" w:rsidRPr="00EB557C">
        <w:rPr>
          <w:rFonts w:cs="Times New Roman"/>
          <w:szCs w:val="24"/>
        </w:rPr>
        <w:t xml:space="preserve">określający </w:t>
      </w:r>
      <w:r w:rsidR="005175FF" w:rsidRPr="00EB557C">
        <w:rPr>
          <w:rFonts w:cs="Times New Roman"/>
          <w:szCs w:val="24"/>
        </w:rPr>
        <w:t xml:space="preserve">zasady, którymi </w:t>
      </w:r>
      <w:r w:rsidRPr="00EB557C">
        <w:rPr>
          <w:rFonts w:cs="Times New Roman"/>
          <w:szCs w:val="24"/>
        </w:rPr>
        <w:t xml:space="preserve">Komisja </w:t>
      </w:r>
      <w:r w:rsidR="005175FF" w:rsidRPr="00EB557C">
        <w:rPr>
          <w:rFonts w:cs="Times New Roman"/>
          <w:szCs w:val="24"/>
        </w:rPr>
        <w:t xml:space="preserve">kieruje się przy uznawaniu pomocy publicznej za zgodną z rynkiem wewnętrznym Unii Europejskiej. Wytyczne te zastępują poprzedni akt prawny w </w:t>
      </w:r>
      <w:r w:rsidRPr="00EB557C">
        <w:rPr>
          <w:rFonts w:cs="Times New Roman"/>
          <w:szCs w:val="24"/>
        </w:rPr>
        <w:t xml:space="preserve">tym </w:t>
      </w:r>
      <w:r w:rsidR="005175FF" w:rsidRPr="00EB557C">
        <w:rPr>
          <w:rFonts w:cs="Times New Roman"/>
          <w:szCs w:val="24"/>
        </w:rPr>
        <w:t>zakresie, tj. Wytyczne w sprawie pomocy państwa na ochronę środowiska i cele związane z energią w latach 2014</w:t>
      </w:r>
      <w:r w:rsidR="00CD4846">
        <w:rPr>
          <w:rFonts w:cs="Times New Roman"/>
          <w:szCs w:val="24"/>
        </w:rPr>
        <w:t>–</w:t>
      </w:r>
      <w:r w:rsidR="005175FF" w:rsidRPr="00EB557C">
        <w:rPr>
          <w:rFonts w:cs="Times New Roman"/>
          <w:szCs w:val="24"/>
        </w:rPr>
        <w:t>2020</w:t>
      </w:r>
      <w:r w:rsidR="00A0556B" w:rsidRPr="00EB557C">
        <w:rPr>
          <w:rFonts w:cs="Times New Roman"/>
          <w:szCs w:val="24"/>
        </w:rPr>
        <w:t xml:space="preserve">, </w:t>
      </w:r>
      <w:r w:rsidR="005175FF" w:rsidRPr="00EB557C">
        <w:rPr>
          <w:rFonts w:cs="Times New Roman"/>
          <w:szCs w:val="24"/>
        </w:rPr>
        <w:t xml:space="preserve">dalej: „EEAG”. </w:t>
      </w:r>
    </w:p>
    <w:p w14:paraId="226FE737" w14:textId="7F1EDA58" w:rsidR="005175FF" w:rsidRPr="00EB557C" w:rsidRDefault="30D1BE95" w:rsidP="00532F7E">
      <w:pPr>
        <w:spacing w:before="120" w:after="0"/>
        <w:ind w:firstLine="0"/>
        <w:rPr>
          <w:rFonts w:cs="Times New Roman"/>
          <w:szCs w:val="24"/>
        </w:rPr>
      </w:pPr>
      <w:r w:rsidRPr="00EB557C">
        <w:rPr>
          <w:rFonts w:cs="Times New Roman"/>
          <w:szCs w:val="24"/>
        </w:rPr>
        <w:t>Zgodnie z pkt. 468 CEEAG państwa członkowskie, w stosownych przypadkach, dokonują modyfikacji w istniejących programach pomocy na ochronę środowiska i cele związane z energią dostosowujące je do niniejszych wytycznych najpóźniej do dnia 31 grudnia 2023 r. W zakresie systemów wsparcia oznacza</w:t>
      </w:r>
      <w:r w:rsidR="0809D5E3" w:rsidRPr="00EB557C">
        <w:rPr>
          <w:rFonts w:cs="Times New Roman"/>
          <w:szCs w:val="24"/>
        </w:rPr>
        <w:t>ło</w:t>
      </w:r>
      <w:r w:rsidRPr="00EB557C">
        <w:rPr>
          <w:rFonts w:cs="Times New Roman"/>
          <w:szCs w:val="24"/>
        </w:rPr>
        <w:t xml:space="preserve"> to nie tyle konieczność dokonania zmian w przepisach krajowych, co zapewnienie, że w 2024 r. i latach następnych pomoc publiczna będzie przyznawana w oparciu o znowelizowane, o ile zachodzi taka potrzeba, przepisy. Pomoc przyznana przed dniem 1 stycznia 2024 r. i wypłacana po tej dacie nie podlega zmianom w związku z wejściem w życie CEEAG. </w:t>
      </w:r>
    </w:p>
    <w:p w14:paraId="3A05F808" w14:textId="50016CAE" w:rsidR="005175FF" w:rsidRPr="00EB557C" w:rsidRDefault="0F1EAACC" w:rsidP="00532F7E">
      <w:pPr>
        <w:spacing w:before="120" w:after="0"/>
        <w:ind w:firstLine="0"/>
        <w:rPr>
          <w:rFonts w:cs="Times New Roman"/>
          <w:szCs w:val="24"/>
        </w:rPr>
      </w:pPr>
      <w:r w:rsidRPr="00EB557C">
        <w:rPr>
          <w:rFonts w:cs="Times New Roman"/>
          <w:szCs w:val="24"/>
        </w:rPr>
        <w:t xml:space="preserve">W obszarze ustawy OZE oraz ustawy z dnia 14 grudnia 2018 r. o promowaniu energii elektrycznej z wysokosprawnej kogeneracji </w:t>
      </w:r>
      <w:r w:rsidR="6620EDE0" w:rsidRPr="00EB557C">
        <w:rPr>
          <w:rFonts w:cs="Times New Roman"/>
          <w:szCs w:val="24"/>
        </w:rPr>
        <w:t>(Dz. U. z 2024 r. poz. 639)</w:t>
      </w:r>
      <w:r w:rsidR="569FFE2C" w:rsidRPr="00EB557C">
        <w:rPr>
          <w:rFonts w:cs="Times New Roman"/>
          <w:szCs w:val="24"/>
        </w:rPr>
        <w:t>, dalej</w:t>
      </w:r>
      <w:r w:rsidR="1A3E4257" w:rsidRPr="00EB557C">
        <w:rPr>
          <w:rFonts w:cs="Times New Roman"/>
          <w:szCs w:val="24"/>
        </w:rPr>
        <w:t>:</w:t>
      </w:r>
      <w:r w:rsidR="569FFE2C" w:rsidRPr="00EB557C">
        <w:rPr>
          <w:rFonts w:cs="Times New Roman"/>
          <w:szCs w:val="24"/>
        </w:rPr>
        <w:t xml:space="preserve"> „ustawa CHP”</w:t>
      </w:r>
      <w:r w:rsidRPr="00EB557C">
        <w:rPr>
          <w:rFonts w:cs="Times New Roman"/>
          <w:szCs w:val="24"/>
        </w:rPr>
        <w:t>, dostosowania wymagają programy pomocowe dot</w:t>
      </w:r>
      <w:r w:rsidR="6FED3CE2" w:rsidRPr="00EB557C">
        <w:rPr>
          <w:rFonts w:cs="Times New Roman"/>
          <w:szCs w:val="24"/>
        </w:rPr>
        <w:t>yczące</w:t>
      </w:r>
      <w:r w:rsidRPr="00EB557C">
        <w:rPr>
          <w:rFonts w:cs="Times New Roman"/>
          <w:szCs w:val="24"/>
        </w:rPr>
        <w:t xml:space="preserve"> ulg dla odbiorców energochłonnych w odniesieniu do obowiązku umarzania świadectw pochodzenia (pozytywna decyzja KE, </w:t>
      </w:r>
      <w:r w:rsidRPr="00EB557C">
        <w:rPr>
          <w:rFonts w:cs="Times New Roman"/>
          <w:szCs w:val="24"/>
        </w:rPr>
        <w:lastRenderedPageBreak/>
        <w:t>sprawa SA.37345 z 02.08.2016 r.), ulg w opłacie OZE (pozytywna decyzja KE, sprawa SA.43697 z 13.12.2017 r</w:t>
      </w:r>
      <w:r w:rsidR="569FFE2C" w:rsidRPr="00EB557C">
        <w:rPr>
          <w:rFonts w:cs="Times New Roman"/>
          <w:szCs w:val="24"/>
        </w:rPr>
        <w:t>.</w:t>
      </w:r>
      <w:r w:rsidRPr="00EB557C">
        <w:rPr>
          <w:rFonts w:cs="Times New Roman"/>
          <w:szCs w:val="24"/>
        </w:rPr>
        <w:t>) oraz ulg w opłacie kogeneracyjnej (pozytywna decyzja KE, sprawa SA.51192 z 15.04.2019</w:t>
      </w:r>
      <w:r w:rsidR="569FFE2C" w:rsidRPr="00EB557C">
        <w:rPr>
          <w:rFonts w:cs="Times New Roman"/>
          <w:szCs w:val="24"/>
        </w:rPr>
        <w:t> </w:t>
      </w:r>
      <w:r w:rsidRPr="00EB557C">
        <w:rPr>
          <w:rFonts w:cs="Times New Roman"/>
          <w:szCs w:val="24"/>
        </w:rPr>
        <w:t>r.)</w:t>
      </w:r>
      <w:r w:rsidR="4FD2ED02" w:rsidRPr="00EB557C">
        <w:rPr>
          <w:rFonts w:cs="Times New Roman"/>
          <w:szCs w:val="24"/>
        </w:rPr>
        <w:t>, dalej: „opłacie CHP”</w:t>
      </w:r>
      <w:r w:rsidRPr="00EB557C">
        <w:rPr>
          <w:rFonts w:cs="Times New Roman"/>
          <w:szCs w:val="24"/>
        </w:rPr>
        <w:t xml:space="preserve">. Pozytywna decyzja </w:t>
      </w:r>
      <w:r w:rsidR="584FA9FD" w:rsidRPr="00EB557C">
        <w:rPr>
          <w:rFonts w:cs="Times New Roman"/>
          <w:szCs w:val="24"/>
        </w:rPr>
        <w:t xml:space="preserve">umożliwia </w:t>
      </w:r>
      <w:r w:rsidRPr="00EB557C">
        <w:rPr>
          <w:rFonts w:cs="Times New Roman"/>
          <w:szCs w:val="24"/>
        </w:rPr>
        <w:t>ich</w:t>
      </w:r>
      <w:r w:rsidR="569FFE2C" w:rsidRPr="00EB557C">
        <w:rPr>
          <w:rFonts w:cs="Times New Roman"/>
          <w:szCs w:val="24"/>
        </w:rPr>
        <w:t xml:space="preserve"> </w:t>
      </w:r>
      <w:r w:rsidRPr="00EB557C">
        <w:rPr>
          <w:rFonts w:cs="Times New Roman"/>
          <w:szCs w:val="24"/>
        </w:rPr>
        <w:t>funkcjonowani</w:t>
      </w:r>
      <w:r w:rsidR="07EDBB68" w:rsidRPr="00EB557C">
        <w:rPr>
          <w:rFonts w:cs="Times New Roman"/>
          <w:szCs w:val="24"/>
        </w:rPr>
        <w:t>e</w:t>
      </w:r>
      <w:r w:rsidRPr="00EB557C">
        <w:rPr>
          <w:rFonts w:cs="Times New Roman"/>
          <w:szCs w:val="24"/>
        </w:rPr>
        <w:t xml:space="preserve"> jako programów pomocowych zgodnych z rynkiem wewnętrznym przez okres 10 lat od </w:t>
      </w:r>
      <w:r w:rsidR="27B2E01C" w:rsidRPr="00EB557C">
        <w:rPr>
          <w:rFonts w:cs="Times New Roman"/>
          <w:szCs w:val="24"/>
        </w:rPr>
        <w:t>dnia</w:t>
      </w:r>
      <w:r w:rsidR="09D4F36F" w:rsidRPr="00EB557C">
        <w:rPr>
          <w:rFonts w:cs="Times New Roman"/>
          <w:szCs w:val="24"/>
        </w:rPr>
        <w:t xml:space="preserve"> </w:t>
      </w:r>
      <w:r w:rsidRPr="00EB557C">
        <w:rPr>
          <w:rFonts w:cs="Times New Roman"/>
          <w:szCs w:val="24"/>
        </w:rPr>
        <w:t>ich wydania.</w:t>
      </w:r>
    </w:p>
    <w:p w14:paraId="12091696" w14:textId="6F8EC8AB" w:rsidR="005175FF" w:rsidRPr="00EB557C" w:rsidRDefault="005175FF" w:rsidP="00532F7E">
      <w:pPr>
        <w:spacing w:before="120" w:after="0"/>
        <w:ind w:firstLine="0"/>
        <w:rPr>
          <w:rFonts w:cs="Times New Roman"/>
          <w:szCs w:val="24"/>
        </w:rPr>
      </w:pPr>
      <w:r w:rsidRPr="00EB557C">
        <w:rPr>
          <w:rFonts w:cs="Times New Roman"/>
          <w:szCs w:val="24"/>
        </w:rPr>
        <w:t xml:space="preserve">W polskim porządku prawnym dane programy pomocowe funkcjonują w oparciu o </w:t>
      </w:r>
      <w:r w:rsidR="00C65E81" w:rsidRPr="00EB557C">
        <w:rPr>
          <w:rFonts w:cs="Times New Roman"/>
          <w:szCs w:val="24"/>
        </w:rPr>
        <w:t xml:space="preserve">następujące </w:t>
      </w:r>
      <w:r w:rsidRPr="00EB557C">
        <w:rPr>
          <w:rFonts w:cs="Times New Roman"/>
          <w:szCs w:val="24"/>
        </w:rPr>
        <w:t>przepisy:</w:t>
      </w:r>
    </w:p>
    <w:p w14:paraId="01B43D81" w14:textId="00DD2B10" w:rsidR="005175FF" w:rsidRPr="00EB557C" w:rsidRDefault="005175FF" w:rsidP="00532F7E">
      <w:pPr>
        <w:numPr>
          <w:ilvl w:val="0"/>
          <w:numId w:val="10"/>
        </w:numPr>
        <w:spacing w:before="120" w:after="0"/>
        <w:ind w:left="284" w:hanging="284"/>
        <w:rPr>
          <w:rFonts w:cs="Times New Roman"/>
          <w:szCs w:val="24"/>
        </w:rPr>
      </w:pPr>
      <w:r w:rsidRPr="00EB557C">
        <w:rPr>
          <w:rFonts w:cs="Times New Roman"/>
          <w:szCs w:val="24"/>
        </w:rPr>
        <w:t xml:space="preserve">art. 52 i nast. ustawy </w:t>
      </w:r>
      <w:r w:rsidR="00EC0318" w:rsidRPr="00EB557C">
        <w:rPr>
          <w:rFonts w:cs="Times New Roman"/>
          <w:szCs w:val="24"/>
        </w:rPr>
        <w:t xml:space="preserve">o </w:t>
      </w:r>
      <w:r w:rsidRPr="00EB557C">
        <w:rPr>
          <w:rFonts w:cs="Times New Roman"/>
          <w:szCs w:val="24"/>
        </w:rPr>
        <w:t xml:space="preserve">OZE – w odniesieniu do ulg w </w:t>
      </w:r>
      <w:r w:rsidR="00C65E81" w:rsidRPr="00EB557C">
        <w:rPr>
          <w:rFonts w:cs="Times New Roman"/>
          <w:szCs w:val="24"/>
        </w:rPr>
        <w:t xml:space="preserve">poziomie </w:t>
      </w:r>
      <w:r w:rsidRPr="00EB557C">
        <w:rPr>
          <w:rFonts w:cs="Times New Roman"/>
          <w:szCs w:val="24"/>
        </w:rPr>
        <w:t>obowiązku umorzenia świadectw pochodzenia,</w:t>
      </w:r>
    </w:p>
    <w:p w14:paraId="7AA83C80" w14:textId="006E01B5" w:rsidR="005175FF" w:rsidRPr="00EB557C" w:rsidRDefault="005175FF" w:rsidP="00532F7E">
      <w:pPr>
        <w:numPr>
          <w:ilvl w:val="0"/>
          <w:numId w:val="10"/>
        </w:numPr>
        <w:spacing w:before="120" w:after="0"/>
        <w:ind w:left="284" w:hanging="284"/>
        <w:rPr>
          <w:rFonts w:cs="Times New Roman"/>
          <w:szCs w:val="24"/>
        </w:rPr>
      </w:pPr>
      <w:r w:rsidRPr="00EB557C">
        <w:rPr>
          <w:rFonts w:cs="Times New Roman"/>
          <w:szCs w:val="24"/>
        </w:rPr>
        <w:t xml:space="preserve">art. 96 w zw. z art. 52 i nast. ustawy </w:t>
      </w:r>
      <w:r w:rsidR="00EC0318" w:rsidRPr="00EB557C">
        <w:rPr>
          <w:rFonts w:cs="Times New Roman"/>
          <w:szCs w:val="24"/>
        </w:rPr>
        <w:t xml:space="preserve">o </w:t>
      </w:r>
      <w:r w:rsidRPr="00EB557C">
        <w:rPr>
          <w:rFonts w:cs="Times New Roman"/>
          <w:szCs w:val="24"/>
        </w:rPr>
        <w:t>OZE – w odniesieniu do ulg w opłacie OZE,</w:t>
      </w:r>
    </w:p>
    <w:p w14:paraId="2325F503" w14:textId="284EC569" w:rsidR="005175FF" w:rsidRPr="00EB557C" w:rsidRDefault="005175FF" w:rsidP="00532F7E">
      <w:pPr>
        <w:numPr>
          <w:ilvl w:val="0"/>
          <w:numId w:val="10"/>
        </w:numPr>
        <w:spacing w:before="120" w:after="0"/>
        <w:ind w:left="284" w:hanging="284"/>
        <w:rPr>
          <w:rFonts w:cs="Times New Roman"/>
          <w:szCs w:val="24"/>
        </w:rPr>
      </w:pPr>
      <w:r w:rsidRPr="00EB557C">
        <w:rPr>
          <w:rFonts w:cs="Times New Roman"/>
          <w:szCs w:val="24"/>
        </w:rPr>
        <w:t xml:space="preserve">art. 62 ust. 2 ustawy </w:t>
      </w:r>
      <w:r w:rsidR="00A72E39" w:rsidRPr="00EB557C">
        <w:rPr>
          <w:rFonts w:cs="Times New Roman"/>
          <w:szCs w:val="24"/>
        </w:rPr>
        <w:t>CHP</w:t>
      </w:r>
      <w:r w:rsidRPr="00EB557C">
        <w:rPr>
          <w:rFonts w:cs="Times New Roman"/>
          <w:szCs w:val="24"/>
        </w:rPr>
        <w:t xml:space="preserve"> w zw. z art. 52 i nast. ustawy </w:t>
      </w:r>
      <w:r w:rsidR="00EC0318" w:rsidRPr="00EB557C">
        <w:rPr>
          <w:rFonts w:cs="Times New Roman"/>
          <w:szCs w:val="24"/>
        </w:rPr>
        <w:t xml:space="preserve">o </w:t>
      </w:r>
      <w:r w:rsidRPr="00EB557C">
        <w:rPr>
          <w:rFonts w:cs="Times New Roman"/>
          <w:szCs w:val="24"/>
        </w:rPr>
        <w:t xml:space="preserve">OZE – w odniesieniu do ulg w opłacie </w:t>
      </w:r>
      <w:r w:rsidR="0019511D" w:rsidRPr="00EB557C">
        <w:rPr>
          <w:rFonts w:cs="Times New Roman"/>
          <w:szCs w:val="24"/>
        </w:rPr>
        <w:t>CHP</w:t>
      </w:r>
      <w:r w:rsidRPr="00EB557C">
        <w:rPr>
          <w:rFonts w:cs="Times New Roman"/>
          <w:szCs w:val="24"/>
        </w:rPr>
        <w:t xml:space="preserve">. </w:t>
      </w:r>
    </w:p>
    <w:p w14:paraId="3BA6DF01" w14:textId="76A483BC" w:rsidR="005175FF" w:rsidRPr="00EB557C" w:rsidRDefault="3560B63A" w:rsidP="00532F7E">
      <w:pPr>
        <w:spacing w:before="120" w:after="0"/>
        <w:ind w:firstLine="0"/>
        <w:rPr>
          <w:rFonts w:cs="Times New Roman"/>
          <w:szCs w:val="24"/>
        </w:rPr>
      </w:pPr>
      <w:r w:rsidRPr="00EB557C">
        <w:rPr>
          <w:rFonts w:cs="Times New Roman"/>
          <w:szCs w:val="24"/>
        </w:rPr>
        <w:t xml:space="preserve">Aktualnie wysokość ulg zależy przede wszystkim od współczynnika intensywności zużycia energii elektrycznej </w:t>
      </w:r>
      <w:r w:rsidRPr="00EB557C">
        <w:rPr>
          <w:rFonts w:eastAsia="Times New Roman" w:cs="Times New Roman"/>
          <w:szCs w:val="24"/>
        </w:rPr>
        <w:t>rozumianego jako stosunek kosztów energii elektrycznej zużytej na własne potrzeby do wartości dodanej brutto obliczany jako średnia arytmetyczna z trzech ostatnich lat poprzedzających rok realizacji obowiązku</w:t>
      </w:r>
      <w:r w:rsidRPr="00EB557C">
        <w:rPr>
          <w:rFonts w:cs="Times New Roman"/>
          <w:szCs w:val="24"/>
        </w:rPr>
        <w:t xml:space="preserve">. Ulga powoduje efektywnie zmniejszenie wolumenu, w odniesieniu do którego umarzane są świadectwa pochodzenia i wnoszona jest odpowiednio opłata OZE i opłata CHP. </w:t>
      </w:r>
      <w:r w:rsidR="00A83D9E" w:rsidRPr="00EB557C">
        <w:rPr>
          <w:rFonts w:cs="Times New Roman"/>
          <w:szCs w:val="24"/>
        </w:rPr>
        <w:t xml:space="preserve">Zgodnie z ustaloną interpretacją ustawy o OZE, potwierdzoną </w:t>
      </w:r>
      <w:r w:rsidRPr="00EB557C">
        <w:rPr>
          <w:rFonts w:cs="Times New Roman"/>
          <w:szCs w:val="24"/>
        </w:rPr>
        <w:t>orzecznictw</w:t>
      </w:r>
      <w:r w:rsidR="00A83D9E" w:rsidRPr="00EB557C">
        <w:rPr>
          <w:rFonts w:cs="Times New Roman"/>
          <w:szCs w:val="24"/>
        </w:rPr>
        <w:t>em,</w:t>
      </w:r>
      <w:r w:rsidRPr="00EB557C">
        <w:rPr>
          <w:rFonts w:cs="Times New Roman"/>
          <w:szCs w:val="24"/>
        </w:rPr>
        <w:t xml:space="preserve"> ulgi należą się po dokonaniu przez Prezesa Urzędu Regulacji Energetyki (URE) wpisu odbiorcy do wykazu odbiorców przemysłowych. </w:t>
      </w:r>
    </w:p>
    <w:p w14:paraId="33FBAFCC" w14:textId="16CCE5A0" w:rsidR="48EA591E" w:rsidRPr="00EB557C" w:rsidRDefault="48EA591E" w:rsidP="00532F7E">
      <w:pPr>
        <w:spacing w:before="120" w:after="0"/>
        <w:ind w:firstLine="0"/>
        <w:rPr>
          <w:rFonts w:cs="Times New Roman"/>
          <w:szCs w:val="24"/>
        </w:rPr>
      </w:pPr>
      <w:r w:rsidRPr="00EB557C">
        <w:rPr>
          <w:rFonts w:cs="Times New Roman"/>
          <w:b/>
          <w:bCs/>
          <w:szCs w:val="24"/>
        </w:rPr>
        <w:t>Aktualny stan prawny w zakresie ulg dla odbiorców energochłonnych</w:t>
      </w:r>
    </w:p>
    <w:p w14:paraId="02353DE6" w14:textId="2375193D" w:rsidR="005175FF" w:rsidRPr="00EB557C" w:rsidRDefault="3A134619" w:rsidP="00532F7E">
      <w:pPr>
        <w:spacing w:before="120" w:after="0"/>
        <w:ind w:firstLine="0"/>
        <w:rPr>
          <w:rFonts w:cs="Times New Roman"/>
          <w:szCs w:val="24"/>
        </w:rPr>
      </w:pPr>
      <w:r w:rsidRPr="00EB557C">
        <w:rPr>
          <w:rFonts w:cs="Times New Roman"/>
          <w:szCs w:val="24"/>
        </w:rPr>
        <w:t>W tym kontekście, zgodnie z obowiązującymi przepisami, gdy współczynnik intensywności wynosi odpowiednio:</w:t>
      </w:r>
    </w:p>
    <w:p w14:paraId="4F9450CF" w14:textId="77777777" w:rsidR="005175FF" w:rsidRPr="00EB557C" w:rsidRDefault="005175FF" w:rsidP="00532F7E">
      <w:pPr>
        <w:numPr>
          <w:ilvl w:val="0"/>
          <w:numId w:val="9"/>
        </w:numPr>
        <w:spacing w:before="120" w:after="0"/>
        <w:ind w:left="284" w:hanging="284"/>
        <w:rPr>
          <w:rFonts w:cs="Times New Roman"/>
          <w:bCs/>
          <w:szCs w:val="24"/>
        </w:rPr>
      </w:pPr>
      <w:r w:rsidRPr="00EB557C">
        <w:rPr>
          <w:rFonts w:cs="Times New Roman"/>
          <w:bCs/>
          <w:szCs w:val="24"/>
        </w:rPr>
        <w:t>nie mniej niż 3% i nie więcej niż 20% – opłaty wnoszone są/umarzanie świadectw wykonywane jest w odniesieniu do 80% ilości energii elektrycznej zakupionej przez odbiorcę przemysłowego na własny użytek w roku realizacji obowiązku;</w:t>
      </w:r>
    </w:p>
    <w:p w14:paraId="07ECEE25" w14:textId="77777777" w:rsidR="005175FF" w:rsidRPr="00EB557C" w:rsidRDefault="005175FF" w:rsidP="00532F7E">
      <w:pPr>
        <w:numPr>
          <w:ilvl w:val="0"/>
          <w:numId w:val="9"/>
        </w:numPr>
        <w:spacing w:before="120" w:after="0"/>
        <w:ind w:left="284" w:hanging="284"/>
        <w:rPr>
          <w:rFonts w:cs="Times New Roman"/>
          <w:bCs/>
          <w:szCs w:val="24"/>
        </w:rPr>
      </w:pPr>
      <w:r w:rsidRPr="00EB557C">
        <w:rPr>
          <w:rFonts w:cs="Times New Roman"/>
          <w:bCs/>
          <w:szCs w:val="24"/>
        </w:rPr>
        <w:t>więcej niż 20% i nie więcej niż 40% – opłaty wnoszone są/umarzanie świadectw wykonywane jest w odniesieniu do 60% ilości energii elektrycznej zakupionej na własny użytek przez odbiorcę przemysłowego w roku realizacji obowiązku;</w:t>
      </w:r>
    </w:p>
    <w:p w14:paraId="2778BCDD" w14:textId="77777777" w:rsidR="005175FF" w:rsidRPr="00EB557C" w:rsidRDefault="005175FF" w:rsidP="00532F7E">
      <w:pPr>
        <w:numPr>
          <w:ilvl w:val="0"/>
          <w:numId w:val="9"/>
        </w:numPr>
        <w:spacing w:before="120" w:after="0"/>
        <w:ind w:left="284" w:hanging="284"/>
        <w:rPr>
          <w:rFonts w:cs="Times New Roman"/>
          <w:szCs w:val="24"/>
        </w:rPr>
      </w:pPr>
      <w:r w:rsidRPr="00EB557C">
        <w:rPr>
          <w:rFonts w:cs="Times New Roman"/>
          <w:bCs/>
          <w:szCs w:val="24"/>
        </w:rPr>
        <w:lastRenderedPageBreak/>
        <w:t>więcej niż 40% – opłaty wnoszone są/umarzanie świadectw wykonywane jest w odniesieniu do 15% ilości energii</w:t>
      </w:r>
      <w:r w:rsidRPr="00EB557C">
        <w:rPr>
          <w:rFonts w:cs="Times New Roman"/>
          <w:szCs w:val="24"/>
        </w:rPr>
        <w:t xml:space="preserve"> elektrycznej</w:t>
      </w:r>
      <w:r w:rsidRPr="00EB557C">
        <w:rPr>
          <w:rFonts w:cs="Times New Roman"/>
          <w:b/>
          <w:szCs w:val="24"/>
        </w:rPr>
        <w:t xml:space="preserve"> </w:t>
      </w:r>
      <w:r w:rsidRPr="00EB557C">
        <w:rPr>
          <w:rFonts w:cs="Times New Roman"/>
          <w:szCs w:val="24"/>
        </w:rPr>
        <w:t>zakupionej na własny użytek przez odbiorcę przemysłowego w roku realizacji obowiązku.</w:t>
      </w:r>
    </w:p>
    <w:p w14:paraId="5DF21F55" w14:textId="35DCCE16" w:rsidR="005175FF" w:rsidRPr="00EB557C" w:rsidRDefault="30D1BE95" w:rsidP="00532F7E">
      <w:pPr>
        <w:spacing w:before="120" w:after="0"/>
        <w:ind w:firstLine="0"/>
        <w:rPr>
          <w:rFonts w:cs="Times New Roman"/>
          <w:szCs w:val="24"/>
        </w:rPr>
      </w:pPr>
      <w:r w:rsidRPr="00EB557C">
        <w:rPr>
          <w:rFonts w:cs="Times New Roman"/>
          <w:szCs w:val="24"/>
        </w:rPr>
        <w:t xml:space="preserve">Ponadto, wyszczególnione są 68 rodzaje działalności gospodarczej, zgodnie z kodami </w:t>
      </w:r>
      <w:r w:rsidRPr="00EB557C">
        <w:rPr>
          <w:rFonts w:eastAsia="Times New Roman" w:cs="Times New Roman"/>
          <w:szCs w:val="24"/>
        </w:rPr>
        <w:t>Polskiej Klasyfikacji Działalności</w:t>
      </w:r>
      <w:r w:rsidRPr="00EB557C">
        <w:rPr>
          <w:rFonts w:cs="Times New Roman"/>
          <w:szCs w:val="24"/>
        </w:rPr>
        <w:t xml:space="preserve"> </w:t>
      </w:r>
      <w:r w:rsidR="097BEC36" w:rsidRPr="00EB557C">
        <w:rPr>
          <w:rFonts w:cs="Times New Roman"/>
          <w:szCs w:val="24"/>
        </w:rPr>
        <w:t>(</w:t>
      </w:r>
      <w:r w:rsidRPr="00EB557C">
        <w:rPr>
          <w:rFonts w:cs="Times New Roman"/>
          <w:szCs w:val="24"/>
        </w:rPr>
        <w:t>PKD</w:t>
      </w:r>
      <w:r w:rsidR="71EB960F" w:rsidRPr="00EB557C">
        <w:rPr>
          <w:rFonts w:cs="Times New Roman"/>
          <w:szCs w:val="24"/>
        </w:rPr>
        <w:t>)</w:t>
      </w:r>
      <w:r w:rsidRPr="00EB557C">
        <w:rPr>
          <w:rFonts w:cs="Times New Roman"/>
          <w:szCs w:val="24"/>
        </w:rPr>
        <w:t xml:space="preserve">, które mogą korzystać z ww. ulgi. </w:t>
      </w:r>
    </w:p>
    <w:p w14:paraId="79F84459" w14:textId="1DAE9003" w:rsidR="3A134619" w:rsidRPr="00EB557C" w:rsidRDefault="04DBBE76" w:rsidP="00532F7E">
      <w:pPr>
        <w:spacing w:before="120" w:after="0"/>
        <w:ind w:firstLine="0"/>
        <w:rPr>
          <w:rFonts w:cs="Times New Roman"/>
          <w:szCs w:val="24"/>
        </w:rPr>
      </w:pPr>
      <w:r w:rsidRPr="00EB557C">
        <w:rPr>
          <w:rFonts w:cs="Times New Roman"/>
          <w:b/>
          <w:bCs/>
          <w:szCs w:val="24"/>
        </w:rPr>
        <w:t xml:space="preserve">Wymogi wytycznych CEEAG </w:t>
      </w:r>
    </w:p>
    <w:p w14:paraId="1CEDE71A" w14:textId="205EAD19" w:rsidR="00A72E39" w:rsidRPr="00EB557C" w:rsidRDefault="30D1BE95" w:rsidP="00532F7E">
      <w:pPr>
        <w:spacing w:before="120" w:after="0"/>
        <w:ind w:firstLine="0"/>
        <w:rPr>
          <w:rFonts w:cs="Times New Roman"/>
          <w:szCs w:val="24"/>
        </w:rPr>
      </w:pPr>
      <w:r w:rsidRPr="00EB557C">
        <w:rPr>
          <w:rFonts w:cs="Times New Roman"/>
          <w:szCs w:val="24"/>
        </w:rPr>
        <w:t>W kontekście nowych zasad unijnych, wymogi dotyczące ulg dla odbiorców energochłonnych zostały wyszczególnione w sekcji 4.11 CEEAG (pkt. 399</w:t>
      </w:r>
      <w:r w:rsidR="00CD4846">
        <w:rPr>
          <w:rFonts w:cs="Times New Roman"/>
          <w:szCs w:val="24"/>
        </w:rPr>
        <w:t>–</w:t>
      </w:r>
      <w:r w:rsidRPr="00EB557C">
        <w:rPr>
          <w:rFonts w:cs="Times New Roman"/>
          <w:szCs w:val="24"/>
        </w:rPr>
        <w:t>419). Sekcja ta przewiduje możliwość wprowadzenia ulg dla sektorów narażonych na ryzyko bądź na szczególne ryzyko przeniesienia działalności poza UE. W tym zakresie ulgi takie mogą wynieść odpowiednio do 75% bądź do 85% wartości wszystkich opłat dotyczących bezpośrednio energii elektrycznej, mających wspierać transformację energetyczną (pk</w:t>
      </w:r>
      <w:r w:rsidR="247EA254" w:rsidRPr="00EB557C">
        <w:rPr>
          <w:rFonts w:cs="Times New Roman"/>
          <w:szCs w:val="24"/>
        </w:rPr>
        <w:t>t</w:t>
      </w:r>
      <w:r w:rsidRPr="00EB557C">
        <w:rPr>
          <w:rFonts w:cs="Times New Roman"/>
          <w:szCs w:val="24"/>
        </w:rPr>
        <w:t xml:space="preserve"> 403 CEEAG).</w:t>
      </w:r>
      <w:r w:rsidR="7C771E83" w:rsidRPr="00EB557C">
        <w:rPr>
          <w:rFonts w:cs="Times New Roman"/>
          <w:szCs w:val="24"/>
        </w:rPr>
        <w:t xml:space="preserve"> R</w:t>
      </w:r>
      <w:r w:rsidR="798316C4" w:rsidRPr="00EB557C">
        <w:rPr>
          <w:rFonts w:cs="Times New Roman"/>
          <w:szCs w:val="24"/>
        </w:rPr>
        <w:t>ównocześnie</w:t>
      </w:r>
      <w:r w:rsidRPr="00EB557C">
        <w:rPr>
          <w:rFonts w:cs="Times New Roman"/>
          <w:szCs w:val="24"/>
        </w:rPr>
        <w:t xml:space="preserve"> istnieje obowiązek zapewnienia w przepisach krajowych, aby ostateczna suma opłat po zastosowaniu ulg nie była niższa niż 0,50 EUR/MWh. </w:t>
      </w:r>
    </w:p>
    <w:p w14:paraId="12BF1DAD" w14:textId="3501BCD4" w:rsidR="0023642B" w:rsidRPr="00EB557C" w:rsidRDefault="0F1EAACC" w:rsidP="00532F7E">
      <w:pPr>
        <w:spacing w:before="120" w:after="0"/>
        <w:ind w:firstLine="0"/>
        <w:rPr>
          <w:rFonts w:cs="Times New Roman"/>
          <w:szCs w:val="24"/>
        </w:rPr>
      </w:pPr>
      <w:r w:rsidRPr="00EB557C">
        <w:rPr>
          <w:rFonts w:cs="Times New Roman"/>
          <w:szCs w:val="24"/>
        </w:rPr>
        <w:t>Określ</w:t>
      </w:r>
      <w:r w:rsidR="042B7977" w:rsidRPr="00EB557C">
        <w:rPr>
          <w:rFonts w:cs="Times New Roman"/>
          <w:szCs w:val="24"/>
        </w:rPr>
        <w:t>e</w:t>
      </w:r>
      <w:r w:rsidRPr="00EB557C">
        <w:rPr>
          <w:rFonts w:cs="Times New Roman"/>
          <w:szCs w:val="24"/>
        </w:rPr>
        <w:t xml:space="preserve">nie wymogów dla sektorów, które mogą zostać uznane za narażone na ryzyko bądź szczególne ryzyko przeniesienia działalności poza UE </w:t>
      </w:r>
      <w:r w:rsidR="37B52E8C" w:rsidRPr="00EB557C">
        <w:rPr>
          <w:rFonts w:cs="Times New Roman"/>
          <w:szCs w:val="24"/>
        </w:rPr>
        <w:t xml:space="preserve">zawarto </w:t>
      </w:r>
      <w:r w:rsidRPr="00EB557C">
        <w:rPr>
          <w:rFonts w:cs="Times New Roman"/>
          <w:szCs w:val="24"/>
        </w:rPr>
        <w:t xml:space="preserve">w </w:t>
      </w:r>
      <w:r w:rsidR="042B7977" w:rsidRPr="00EB557C">
        <w:rPr>
          <w:rFonts w:cs="Times New Roman"/>
          <w:szCs w:val="24"/>
        </w:rPr>
        <w:t xml:space="preserve">pkt. </w:t>
      </w:r>
      <w:r w:rsidRPr="00EB557C">
        <w:rPr>
          <w:rFonts w:cs="Times New Roman"/>
          <w:szCs w:val="24"/>
        </w:rPr>
        <w:t>405 CEEAG, przy czym</w:t>
      </w:r>
      <w:r w:rsidR="00D731B3" w:rsidRPr="00EB557C">
        <w:rPr>
          <w:rFonts w:cs="Times New Roman"/>
          <w:szCs w:val="24"/>
        </w:rPr>
        <w:t>,</w:t>
      </w:r>
      <w:r w:rsidRPr="00EB557C">
        <w:rPr>
          <w:rFonts w:cs="Times New Roman"/>
          <w:szCs w:val="24"/>
        </w:rPr>
        <w:t xml:space="preserve"> w załącznikach do CEEAG</w:t>
      </w:r>
      <w:r w:rsidR="4FD2ED02" w:rsidRPr="00EB557C">
        <w:rPr>
          <w:rFonts w:cs="Times New Roman"/>
          <w:szCs w:val="24"/>
        </w:rPr>
        <w:t>,</w:t>
      </w:r>
      <w:r w:rsidRPr="00EB557C">
        <w:rPr>
          <w:rFonts w:cs="Times New Roman"/>
          <w:szCs w:val="24"/>
        </w:rPr>
        <w:t xml:space="preserve"> Komisja wskazuje listę sektorów, w oparciu o kody NACE</w:t>
      </w:r>
      <w:r w:rsidR="00B5629E" w:rsidRPr="00EB557C">
        <w:rPr>
          <w:rFonts w:cs="Times New Roman"/>
          <w:szCs w:val="24"/>
        </w:rPr>
        <w:t xml:space="preserve"> (odpowiednik kodów PKD na gruncie europejskim)</w:t>
      </w:r>
      <w:r w:rsidRPr="00EB557C">
        <w:rPr>
          <w:rFonts w:cs="Times New Roman"/>
          <w:szCs w:val="24"/>
        </w:rPr>
        <w:t xml:space="preserve">, spełniających dane kryteria. Jest to 25 </w:t>
      </w:r>
      <w:r w:rsidR="24DFBFFE" w:rsidRPr="00EB557C">
        <w:rPr>
          <w:rFonts w:cs="Times New Roman"/>
          <w:szCs w:val="24"/>
        </w:rPr>
        <w:t xml:space="preserve">narażonych </w:t>
      </w:r>
      <w:r w:rsidRPr="00EB557C">
        <w:rPr>
          <w:rFonts w:cs="Times New Roman"/>
          <w:szCs w:val="24"/>
        </w:rPr>
        <w:t>na ryzyko relokacji</w:t>
      </w:r>
      <w:r w:rsidR="1589F06A" w:rsidRPr="00EB557C">
        <w:rPr>
          <w:rFonts w:cs="Times New Roman"/>
          <w:szCs w:val="24"/>
        </w:rPr>
        <w:t xml:space="preserve"> oraz 91 sektorów narażonych na szczególne ryzyko relokacji</w:t>
      </w:r>
      <w:r w:rsidRPr="00EB557C">
        <w:rPr>
          <w:rFonts w:cs="Times New Roman"/>
          <w:szCs w:val="24"/>
        </w:rPr>
        <w:t>.</w:t>
      </w:r>
    </w:p>
    <w:p w14:paraId="682A91AE" w14:textId="4ECC67B8" w:rsidR="005175FF" w:rsidRPr="00EB557C" w:rsidRDefault="30D1BE95" w:rsidP="00532F7E">
      <w:pPr>
        <w:spacing w:before="120" w:after="0"/>
        <w:ind w:firstLine="0"/>
        <w:rPr>
          <w:rFonts w:cs="Times New Roman"/>
          <w:szCs w:val="24"/>
        </w:rPr>
      </w:pPr>
      <w:r w:rsidRPr="00EB557C">
        <w:rPr>
          <w:rFonts w:cs="Times New Roman"/>
          <w:szCs w:val="24"/>
        </w:rPr>
        <w:t xml:space="preserve">W związku z powyższym, w </w:t>
      </w:r>
      <w:r w:rsidR="2472E69A" w:rsidRPr="00EB557C">
        <w:rPr>
          <w:rFonts w:cs="Times New Roman"/>
          <w:szCs w:val="24"/>
        </w:rPr>
        <w:t xml:space="preserve">ustawie o OZE dostosowaniu </w:t>
      </w:r>
      <w:r w:rsidRPr="00EB557C">
        <w:rPr>
          <w:rFonts w:cs="Times New Roman"/>
          <w:szCs w:val="24"/>
        </w:rPr>
        <w:t>podlega lista sektorów w oparciu o kody PKD, którym przysługiwać mogą ulgi zgodne z rynkiem wewnętrznym UE, a także maksymalna wysokość ulg, która może zostać przyznana poszczególnym grupom sektorów. Ponadto, do krajowych przepisów dotyczących przedmiotowych ulg wprowadzony zostaje szereg obowiązków wyszczególnionych w przedmiotowej sekcji CEEAG. Dzięki temu programy pomocowe będą zgodne z rynkiem wewnętrznym UE.</w:t>
      </w:r>
    </w:p>
    <w:p w14:paraId="1FCD7DC1" w14:textId="641979C8" w:rsidR="007D730E" w:rsidRPr="00EB557C" w:rsidRDefault="39FA25BE" w:rsidP="00532F7E">
      <w:pPr>
        <w:spacing w:before="120" w:after="0"/>
        <w:ind w:firstLine="0"/>
        <w:rPr>
          <w:rFonts w:cs="Times New Roman"/>
          <w:szCs w:val="24"/>
        </w:rPr>
      </w:pPr>
      <w:r w:rsidRPr="00EB557C">
        <w:rPr>
          <w:rFonts w:cs="Times New Roman"/>
          <w:szCs w:val="24"/>
        </w:rPr>
        <w:t xml:space="preserve">Wytyczne CEEAG w pkt 413 stanowią o konieczności wprowadzenia mechanizmu monitorowania </w:t>
      </w:r>
      <w:r w:rsidRPr="00EB557C">
        <w:rPr>
          <w:rFonts w:cs="Times New Roman"/>
          <w:i/>
          <w:iCs/>
          <w:szCs w:val="24"/>
        </w:rPr>
        <w:t>ex post</w:t>
      </w:r>
      <w:r w:rsidRPr="00EB557C">
        <w:rPr>
          <w:rFonts w:cs="Times New Roman"/>
          <w:szCs w:val="24"/>
        </w:rPr>
        <w:t xml:space="preserve"> i zwrotu nadpłaconej pomocy publicznej przed dniem 1 lipca roku następującego po roku, w którym pomoc została udzielona. W celu spełnienia tego warunku wprowadzono tzw. opłatę wyrównawczą i ustalono termin jej wnoszenia do dnia 30 czerwca. W celu wykonania tego obowiązku wprowadzono także przepisy, które wymagają od sprzedawców i dystrybutorów energii elektrycznej przekazania beneficjentom informacji o wysokości udzielonej pomocy publicznej. Informacja taka pozwoli uniknąć wątpliwości co do </w:t>
      </w:r>
      <w:r w:rsidRPr="00EB557C">
        <w:rPr>
          <w:rFonts w:cs="Times New Roman"/>
          <w:szCs w:val="24"/>
        </w:rPr>
        <w:lastRenderedPageBreak/>
        <w:t xml:space="preserve">kwoty otrzymanej przez nich pomocy w przypadku, gdy pomoc ta będzie musiała zostać zwrócona jako nienależnie pobrana. Zgodnie z wprowadzanym mechanizmem, informacja o udzielonej pomocy publicznej jest przekazywana odbiorcy przemysłowemu w związku ze skorzystaniem przez tego odbiorcę z ulg przy umarzaniu świadectw pochodzenia oraz ulg w opłacie OZE i opłacie CHP. Odbiorca po zapoznaniu się z wysokością otrzymanej pomocy publicznej przekazuje informację o otrzymanej pomocy do Prezesa URE. </w:t>
      </w:r>
    </w:p>
    <w:p w14:paraId="26A0883A" w14:textId="49E122A8" w:rsidR="098F2D55" w:rsidRPr="00EB557C" w:rsidRDefault="48303777" w:rsidP="00532F7E">
      <w:pPr>
        <w:spacing w:before="120" w:after="0"/>
        <w:ind w:firstLine="0"/>
        <w:rPr>
          <w:rFonts w:cs="Times New Roman"/>
          <w:b/>
          <w:bCs/>
          <w:szCs w:val="24"/>
        </w:rPr>
      </w:pPr>
      <w:r w:rsidRPr="00EB557C">
        <w:rPr>
          <w:rFonts w:cs="Times New Roman"/>
          <w:b/>
          <w:bCs/>
          <w:szCs w:val="24"/>
        </w:rPr>
        <w:t>Mechanizm warunkowości</w:t>
      </w:r>
    </w:p>
    <w:p w14:paraId="24C6B581" w14:textId="32BCC8E8" w:rsidR="00EA0C49" w:rsidRPr="00EB557C" w:rsidRDefault="30D1BE95" w:rsidP="00532F7E">
      <w:pPr>
        <w:spacing w:before="120" w:after="0"/>
        <w:ind w:firstLine="0"/>
        <w:rPr>
          <w:rFonts w:eastAsia="Times New Roman" w:cs="Times New Roman"/>
          <w:szCs w:val="24"/>
        </w:rPr>
      </w:pPr>
      <w:r w:rsidRPr="00EB557C">
        <w:rPr>
          <w:rFonts w:cs="Times New Roman"/>
          <w:szCs w:val="24"/>
        </w:rPr>
        <w:t>Do ustawy o OZE zostaje także dodany tzw. mechanizm warunkowości. Oznacza on, że sko</w:t>
      </w:r>
      <w:r w:rsidRPr="00EB557C">
        <w:rPr>
          <w:rFonts w:eastAsia="Times New Roman" w:cs="Times New Roman"/>
          <w:szCs w:val="24"/>
        </w:rPr>
        <w:t>rzystanie z ulg powiązane jest z obowiązkiem ograniczenia emisji gazów cieplarnianych. Zgodnie z wprowadzanym art. 54a ust. 2 ustawy o OZE można go będzie wypełnić:</w:t>
      </w:r>
    </w:p>
    <w:p w14:paraId="1C877B26" w14:textId="7A2BCB02" w:rsidR="00EA0C49" w:rsidRPr="00EB557C" w:rsidRDefault="30D1BE95" w:rsidP="00532F7E">
      <w:pPr>
        <w:pStyle w:val="Akapitzlist"/>
        <w:numPr>
          <w:ilvl w:val="0"/>
          <w:numId w:val="1"/>
        </w:numPr>
        <w:spacing w:before="120" w:after="0"/>
        <w:ind w:left="284" w:hanging="284"/>
        <w:rPr>
          <w:rFonts w:eastAsia="Times New Roman" w:cs="Times New Roman"/>
          <w:szCs w:val="24"/>
        </w:rPr>
      </w:pPr>
      <w:r w:rsidRPr="00EB557C">
        <w:rPr>
          <w:rFonts w:eastAsia="Times New Roman" w:cs="Times New Roman"/>
          <w:szCs w:val="24"/>
        </w:rPr>
        <w:t xml:space="preserve">realizując przedsięwzięcia służące poprawie efektywności energetycznej dla których okres zwrotu nakładów nie przekracza 3 lat, lub </w:t>
      </w:r>
    </w:p>
    <w:p w14:paraId="2EE52FE5" w14:textId="7D180D59" w:rsidR="00EA0C49" w:rsidRPr="00EB557C" w:rsidRDefault="30D1BE95" w:rsidP="00532F7E">
      <w:pPr>
        <w:pStyle w:val="Akapitzlist"/>
        <w:numPr>
          <w:ilvl w:val="0"/>
          <w:numId w:val="1"/>
        </w:numPr>
        <w:spacing w:before="120" w:after="0"/>
        <w:ind w:left="284" w:hanging="284"/>
        <w:rPr>
          <w:rFonts w:eastAsia="Times New Roman" w:cs="Times New Roman"/>
          <w:szCs w:val="24"/>
        </w:rPr>
      </w:pPr>
      <w:r w:rsidRPr="00EB557C">
        <w:rPr>
          <w:rFonts w:eastAsia="Times New Roman" w:cs="Times New Roman"/>
          <w:szCs w:val="24"/>
        </w:rPr>
        <w:t xml:space="preserve">zużywając na własne potrzeby min. 30% bezemisyjnej energii, lub </w:t>
      </w:r>
    </w:p>
    <w:p w14:paraId="001E76B6" w14:textId="20D57E22" w:rsidR="00EA0C49" w:rsidRPr="00EB557C" w:rsidRDefault="30D1BE95" w:rsidP="00532F7E">
      <w:pPr>
        <w:pStyle w:val="Akapitzlist"/>
        <w:numPr>
          <w:ilvl w:val="0"/>
          <w:numId w:val="1"/>
        </w:numPr>
        <w:spacing w:before="120" w:after="0"/>
        <w:ind w:left="284" w:hanging="284"/>
        <w:rPr>
          <w:rFonts w:eastAsia="Times New Roman" w:cs="Times New Roman"/>
          <w:szCs w:val="24"/>
        </w:rPr>
      </w:pPr>
      <w:r w:rsidRPr="00EB557C">
        <w:rPr>
          <w:rFonts w:eastAsia="Times New Roman" w:cs="Times New Roman"/>
          <w:szCs w:val="24"/>
        </w:rPr>
        <w:t xml:space="preserve">ponosząc wydatki na ograniczenie emisji. </w:t>
      </w:r>
    </w:p>
    <w:p w14:paraId="3FD43030" w14:textId="35BF60FE" w:rsidR="006B4406" w:rsidRPr="00EB557C" w:rsidRDefault="30D1BE95" w:rsidP="00532F7E">
      <w:pPr>
        <w:spacing w:before="120" w:after="0"/>
        <w:ind w:firstLine="0"/>
        <w:rPr>
          <w:rFonts w:cs="Times New Roman"/>
          <w:szCs w:val="24"/>
        </w:rPr>
      </w:pPr>
      <w:r w:rsidRPr="00EB557C">
        <w:rPr>
          <w:rFonts w:eastAsia="Times New Roman" w:cs="Times New Roman"/>
          <w:szCs w:val="24"/>
        </w:rPr>
        <w:t>W opinii projektodawcy</w:t>
      </w:r>
      <w:r w:rsidR="00B5629E" w:rsidRPr="00EB557C">
        <w:rPr>
          <w:rFonts w:eastAsia="Times New Roman" w:cs="Times New Roman"/>
          <w:szCs w:val="24"/>
        </w:rPr>
        <w:t>,</w:t>
      </w:r>
      <w:r w:rsidRPr="00EB557C">
        <w:rPr>
          <w:rFonts w:eastAsia="Times New Roman" w:cs="Times New Roman"/>
          <w:szCs w:val="24"/>
        </w:rPr>
        <w:t xml:space="preserve"> odbiorcy przemysłowi będą realizować warunkowość głownie poprzez przedsięwzięcia służące poprawie efektywnoś</w:t>
      </w:r>
      <w:r w:rsidRPr="00EB557C">
        <w:rPr>
          <w:rFonts w:cs="Times New Roman"/>
          <w:szCs w:val="24"/>
        </w:rPr>
        <w:t>ci energetycznej w rozumieniu art. 2 pkt 12 ustawy z dnia 20 maja 2016 r. o efektywności energetycznej (Dz. U. z 2024 r. poz. 1047). Komisja Europejska wymaga, aby państwo członkowskie zobowiązało się do monitorowania</w:t>
      </w:r>
      <w:r w:rsidR="321CBD51" w:rsidRPr="00EB557C">
        <w:rPr>
          <w:rFonts w:cs="Times New Roman"/>
          <w:szCs w:val="24"/>
        </w:rPr>
        <w:t>,</w:t>
      </w:r>
      <w:r w:rsidRPr="00EB557C">
        <w:rPr>
          <w:rFonts w:cs="Times New Roman"/>
          <w:szCs w:val="24"/>
        </w:rPr>
        <w:t xml:space="preserve"> czy beneficjenci objęci obowiązkiem przeprowadzenia audytu energetycznego realizują zalecenia wynikające z audytu, dla których okres zwrotu nie przekracza 3 lat. Do ustawy o OZE wpisano </w:t>
      </w:r>
      <w:r w:rsidR="6FBBB357" w:rsidRPr="00EB557C">
        <w:rPr>
          <w:rFonts w:cs="Times New Roman"/>
          <w:szCs w:val="24"/>
        </w:rPr>
        <w:t xml:space="preserve">zatem </w:t>
      </w:r>
      <w:r w:rsidRPr="00EB557C">
        <w:rPr>
          <w:rFonts w:cs="Times New Roman"/>
          <w:szCs w:val="24"/>
        </w:rPr>
        <w:t>regułę, zgodnie z którą zasada warunkowości zostanie spełniona, jeżeli odbiorca energochłonny:</w:t>
      </w:r>
    </w:p>
    <w:p w14:paraId="263732F3" w14:textId="091D6A76" w:rsidR="006B4406" w:rsidRPr="00EB557C" w:rsidRDefault="30D1BE95" w:rsidP="00532F7E">
      <w:pPr>
        <w:numPr>
          <w:ilvl w:val="0"/>
          <w:numId w:val="10"/>
        </w:numPr>
        <w:spacing w:before="120" w:after="0"/>
        <w:ind w:left="284" w:hanging="284"/>
        <w:rPr>
          <w:rFonts w:cs="Times New Roman"/>
          <w:szCs w:val="24"/>
        </w:rPr>
      </w:pPr>
      <w:r w:rsidRPr="00EB557C">
        <w:rPr>
          <w:rFonts w:cs="Times New Roman"/>
          <w:szCs w:val="24"/>
        </w:rPr>
        <w:t xml:space="preserve">zrealizował wymagane audytem </w:t>
      </w:r>
      <w:r w:rsidR="5E073817" w:rsidRPr="00EB557C">
        <w:rPr>
          <w:rFonts w:cs="Times New Roman"/>
          <w:szCs w:val="24"/>
        </w:rPr>
        <w:t>przedsięwzięcia</w:t>
      </w:r>
      <w:r w:rsidRPr="00EB557C">
        <w:rPr>
          <w:rFonts w:cs="Times New Roman"/>
          <w:szCs w:val="24"/>
        </w:rPr>
        <w:t xml:space="preserve"> lub </w:t>
      </w:r>
    </w:p>
    <w:p w14:paraId="64B157C5" w14:textId="4889F0EE" w:rsidR="00C43A26" w:rsidRPr="00EB557C" w:rsidRDefault="3A134619" w:rsidP="00532F7E">
      <w:pPr>
        <w:numPr>
          <w:ilvl w:val="0"/>
          <w:numId w:val="10"/>
        </w:numPr>
        <w:spacing w:before="120" w:after="0"/>
        <w:ind w:left="284" w:hanging="284"/>
        <w:rPr>
          <w:rFonts w:cs="Times New Roman"/>
          <w:szCs w:val="24"/>
        </w:rPr>
      </w:pPr>
      <w:r w:rsidRPr="00EB557C">
        <w:rPr>
          <w:rFonts w:cs="Times New Roman"/>
          <w:szCs w:val="24"/>
        </w:rPr>
        <w:t>z przeprowadzonego audytu energetycznego wynika, że jest on już efektywny energetycznie w stopniu powodującym brak potrzeby realizacji takich przedsięwzięć.</w:t>
      </w:r>
    </w:p>
    <w:p w14:paraId="2AA8A529" w14:textId="4921609F" w:rsidR="00C43A26" w:rsidRPr="00EB557C" w:rsidRDefault="04DBBE76" w:rsidP="00532F7E">
      <w:pPr>
        <w:spacing w:before="120" w:after="0"/>
        <w:ind w:firstLine="0"/>
        <w:rPr>
          <w:rFonts w:cs="Times New Roman"/>
          <w:szCs w:val="24"/>
        </w:rPr>
      </w:pPr>
      <w:r w:rsidRPr="00EB557C">
        <w:rPr>
          <w:rFonts w:cs="Times New Roman"/>
          <w:szCs w:val="24"/>
        </w:rPr>
        <w:t xml:space="preserve">W projekcie wprowadzono możliwość spełnienia zasady warunkowości poprzez samodzielne wytworzenie i zużycie przez odbiorcę przemysłowego bezemisyjnej energii elektrycznej na potrzeby własne, co stanowić będzie alternatywę dla zakupu gwarancji pochodzenia. Do projektu wpisano obowiązek wykazania wytworzenia tej energii zakładając, że będzie on realizowany albo poprzez złożenie wniosku o wydanie świadectw pochodzenia, o których mowa w art. 45 ust. 1 ustawy o OZE (wniosek składa się z danymi uzyskanymi z odczytów </w:t>
      </w:r>
      <w:r w:rsidRPr="00EB557C">
        <w:rPr>
          <w:rFonts w:cs="Times New Roman"/>
          <w:szCs w:val="24"/>
        </w:rPr>
        <w:lastRenderedPageBreak/>
        <w:t>licznika na zaciskach generatora), albo w sprawozdaniu G-03 składanym do GUS na podst</w:t>
      </w:r>
      <w:r w:rsidR="00101E2A">
        <w:rPr>
          <w:rFonts w:cs="Times New Roman"/>
          <w:szCs w:val="24"/>
        </w:rPr>
        <w:t>awie</w:t>
      </w:r>
      <w:r w:rsidRPr="00EB557C">
        <w:rPr>
          <w:rFonts w:cs="Times New Roman"/>
          <w:szCs w:val="24"/>
        </w:rPr>
        <w:t xml:space="preserve"> art.</w:t>
      </w:r>
      <w:r w:rsidR="00101E2A">
        <w:rPr>
          <w:rFonts w:cs="Times New Roman"/>
          <w:szCs w:val="24"/>
        </w:rPr>
        <w:t> </w:t>
      </w:r>
      <w:r w:rsidRPr="00EB557C">
        <w:rPr>
          <w:rFonts w:cs="Times New Roman"/>
          <w:szCs w:val="24"/>
        </w:rPr>
        <w:t>30 ust. 1 pkt 3 ustawy z dnia 29 czerwca 1995 r. o statystyce publicznej (Dz. U. z 2023 r. poz.</w:t>
      </w:r>
      <w:r w:rsidR="00101E2A">
        <w:rPr>
          <w:rFonts w:cs="Times New Roman"/>
          <w:szCs w:val="24"/>
        </w:rPr>
        <w:t> </w:t>
      </w:r>
      <w:r w:rsidRPr="00EB557C">
        <w:rPr>
          <w:rFonts w:cs="Times New Roman"/>
          <w:szCs w:val="24"/>
        </w:rPr>
        <w:t>773).</w:t>
      </w:r>
    </w:p>
    <w:p w14:paraId="6C5E8A46" w14:textId="1AC5A143" w:rsidR="784E2C26" w:rsidRPr="00EB557C" w:rsidRDefault="784E2C26" w:rsidP="00532F7E">
      <w:pPr>
        <w:spacing w:before="120" w:after="0"/>
        <w:ind w:firstLine="0"/>
        <w:rPr>
          <w:rFonts w:cs="Times New Roman"/>
          <w:b/>
          <w:bCs/>
          <w:szCs w:val="24"/>
        </w:rPr>
      </w:pPr>
      <w:r w:rsidRPr="00EB557C">
        <w:rPr>
          <w:rFonts w:cs="Times New Roman"/>
          <w:b/>
          <w:bCs/>
          <w:szCs w:val="24"/>
        </w:rPr>
        <w:t xml:space="preserve">Przepisy przejściowe </w:t>
      </w:r>
      <w:r w:rsidR="00CD4846">
        <w:rPr>
          <w:rFonts w:cs="Times New Roman"/>
          <w:b/>
          <w:bCs/>
          <w:szCs w:val="24"/>
        </w:rPr>
        <w:t>–</w:t>
      </w:r>
      <w:r w:rsidRPr="00EB557C">
        <w:rPr>
          <w:rFonts w:cs="Times New Roman"/>
          <w:b/>
          <w:bCs/>
          <w:szCs w:val="24"/>
        </w:rPr>
        <w:t xml:space="preserve"> obowiązki i uprawnienia za lata 2024</w:t>
      </w:r>
      <w:r w:rsidR="00CD4846">
        <w:rPr>
          <w:rFonts w:cs="Times New Roman"/>
          <w:b/>
          <w:bCs/>
          <w:szCs w:val="24"/>
        </w:rPr>
        <w:t>–</w:t>
      </w:r>
      <w:r w:rsidRPr="00EB557C">
        <w:rPr>
          <w:rFonts w:cs="Times New Roman"/>
          <w:b/>
          <w:bCs/>
          <w:szCs w:val="24"/>
        </w:rPr>
        <w:t>2025</w:t>
      </w:r>
    </w:p>
    <w:p w14:paraId="120FE8F9" w14:textId="0C3DA537" w:rsidR="3A134619" w:rsidRPr="00EB557C" w:rsidRDefault="3560B63A" w:rsidP="00532F7E">
      <w:pPr>
        <w:spacing w:before="120" w:after="0"/>
        <w:ind w:firstLine="0"/>
        <w:rPr>
          <w:rFonts w:cs="Times New Roman"/>
          <w:szCs w:val="24"/>
        </w:rPr>
      </w:pPr>
      <w:r w:rsidRPr="00EB557C">
        <w:rPr>
          <w:rFonts w:cs="Times New Roman"/>
          <w:szCs w:val="24"/>
        </w:rPr>
        <w:t xml:space="preserve">Projektodawca w przepisach przejściowych, dla uniknięcia wątpliwości interpretacyjnych, wprowadził przepis, który określa, że mechanizm warunkowości ma zastosowanie od 2025 r. Wskazano, że jest to pierwszy okres, za który wykonuje się obowiązek ograniczenia emisji gazów cieplarnianych w związku ze skorzystaniem z ulg. Oznacza to, że jeśli odbiorca przemysłowy skorzysta z ulg w 2025 r., to dopiero za ten rok będzie obowiązywać go mechanizm warunkowości oraz, że nie ma on zastosowania do okresów wcześniejszych. </w:t>
      </w:r>
    </w:p>
    <w:p w14:paraId="4F155C97" w14:textId="61FD6DA2" w:rsidR="00833CE4" w:rsidRPr="00EB557C" w:rsidRDefault="3560B63A" w:rsidP="00532F7E">
      <w:pPr>
        <w:spacing w:before="120" w:after="0"/>
        <w:ind w:firstLine="0"/>
        <w:rPr>
          <w:rFonts w:cs="Times New Roman"/>
          <w:szCs w:val="24"/>
        </w:rPr>
      </w:pPr>
      <w:r w:rsidRPr="00EB557C">
        <w:rPr>
          <w:rFonts w:cs="Times New Roman"/>
          <w:szCs w:val="24"/>
        </w:rPr>
        <w:t>Ponadto, zaproponowane przepisy przejściowe jednoznacznie potwierdzają, że zasady i terminy rozliczania ulg za rok 2024 nie ulegają zmianie</w:t>
      </w:r>
      <w:r w:rsidR="000C0013" w:rsidRPr="00EB557C">
        <w:rPr>
          <w:rFonts w:cs="Times New Roman"/>
          <w:szCs w:val="24"/>
        </w:rPr>
        <w:t>.</w:t>
      </w:r>
      <w:r w:rsidRPr="00EB557C">
        <w:rPr>
          <w:rFonts w:cs="Times New Roman"/>
          <w:szCs w:val="24"/>
        </w:rPr>
        <w:t xml:space="preserve"> </w:t>
      </w:r>
      <w:r w:rsidR="000C0013" w:rsidRPr="00EB557C">
        <w:rPr>
          <w:rFonts w:cs="Times New Roman"/>
          <w:szCs w:val="24"/>
        </w:rPr>
        <w:t>P</w:t>
      </w:r>
      <w:r w:rsidRPr="00EB557C">
        <w:rPr>
          <w:rFonts w:cs="Times New Roman"/>
          <w:szCs w:val="24"/>
        </w:rPr>
        <w:t>odmioty, które są zainteresowane skorzystaniem z ulg w roku 2025, co zgodnie z mechanizmem warunkowości</w:t>
      </w:r>
      <w:r w:rsidR="000C0013" w:rsidRPr="00EB557C">
        <w:rPr>
          <w:rFonts w:cs="Times New Roman"/>
          <w:szCs w:val="24"/>
        </w:rPr>
        <w:t xml:space="preserve"> wiąże się</w:t>
      </w:r>
      <w:r w:rsidRPr="00EB557C">
        <w:rPr>
          <w:rFonts w:cs="Times New Roman"/>
          <w:szCs w:val="24"/>
        </w:rPr>
        <w:t xml:space="preserve"> z obowiązkiem ograniczenia emisji gazów cieplarnianych, obowiązane są do skorygowania i uzupełnienia oświadczenia złożonego zgodnie z dotychczasowym brzmieniem ustawy o OZE albo, w przypadku podmiotów, które oświadczenia za rok 2025 jeszcze nie złożyły, do złożenia nowego oświadczenia według znowelizowanych przepisów. Konstrukcja powyższa pozwala na uniknięcie sytuacji, w której podmiot, który złożyłby oświadczenie przed wejściem w życie ustawy, planując skorzystanie z ulg w roku 2025 na dotychczasowych warunkach, musiałby spełnić obowiązek ograniczenia emisji gazów cieplarnianych. Oświadczenie podmiotu byłoby ważne, a spełnienie w jego przypadku tego warunku byłoby niemożliwe, bądź też wiązałoby się z kosztami, których nie brał on pod uwagę składając oświadczenie. Natomiast mając na uwadze zakres zmian w ustawie o OZE i konieczność zapoznania się z nimi przez adresatów norm, zdecydowano się uzależnić termin na składanie tych oświadczeń na rok 2025 od terminu wejścia w życie ustawy. Konsekwentnie</w:t>
      </w:r>
      <w:r w:rsidR="002800B0" w:rsidRPr="00EB557C">
        <w:rPr>
          <w:rFonts w:cs="Times New Roman"/>
          <w:szCs w:val="24"/>
        </w:rPr>
        <w:t>,</w:t>
      </w:r>
      <w:r w:rsidRPr="00EB557C">
        <w:rPr>
          <w:rFonts w:cs="Times New Roman"/>
          <w:szCs w:val="24"/>
        </w:rPr>
        <w:t xml:space="preserve"> od terminu wejścia w życie ustawy uzależniono również publikację wykazu odbiorców przemysłowych przez Prezesa URE.</w:t>
      </w:r>
      <w:r w:rsidR="002800B0" w:rsidRPr="00EB557C">
        <w:rPr>
          <w:rFonts w:cs="Times New Roman"/>
          <w:szCs w:val="24"/>
        </w:rPr>
        <w:t xml:space="preserve"> Jednocześnie, mając na uwadze, ze niniejsza nowelizacja będzie wchodzić w życie w okresie aplikowania o ulgi, w celu uniknięcia wątpliwości w zakresie stosowania przepisów oraz okresu objętego uprawnieniami, zdecydowano się wprost określić w przepisie przejściowym, że </w:t>
      </w:r>
      <w:r w:rsidRPr="00EB557C">
        <w:rPr>
          <w:rFonts w:cs="Times New Roman"/>
          <w:szCs w:val="24"/>
        </w:rPr>
        <w:t>w przypadku oświadczeń składanych na rok 2025, uprawnienia będą przysługiwać odbiorcy za okres od dnia 1 stycznia 2025 r.</w:t>
      </w:r>
      <w:r w:rsidR="02D5C52C" w:rsidRPr="00EB557C">
        <w:rPr>
          <w:rFonts w:cs="Times New Roman"/>
          <w:szCs w:val="24"/>
        </w:rPr>
        <w:t xml:space="preserve">W celu uzyskania pełnej jednoznaczności przepisów, projektodawca zdecydował się wprowadzić do projektu przepis przejściowy </w:t>
      </w:r>
      <w:r w:rsidR="000C0013" w:rsidRPr="00EB557C">
        <w:rPr>
          <w:rFonts w:cs="Times New Roman"/>
          <w:szCs w:val="24"/>
        </w:rPr>
        <w:t>precyzujący</w:t>
      </w:r>
      <w:r w:rsidR="02D5C52C" w:rsidRPr="00EB557C">
        <w:rPr>
          <w:rFonts w:cs="Times New Roman"/>
          <w:szCs w:val="24"/>
        </w:rPr>
        <w:t>, od którego roku ma miejsce po raz pierwszy obowiązek złożenia</w:t>
      </w:r>
      <w:r w:rsidR="09BA8EE3" w:rsidRPr="00EB557C">
        <w:rPr>
          <w:rFonts w:cs="Times New Roman"/>
          <w:szCs w:val="24"/>
        </w:rPr>
        <w:t xml:space="preserve"> </w:t>
      </w:r>
      <w:r w:rsidR="5BB44A59" w:rsidRPr="00EB557C">
        <w:rPr>
          <w:rFonts w:cs="Times New Roman"/>
          <w:szCs w:val="24"/>
        </w:rPr>
        <w:t xml:space="preserve">sprawozdania </w:t>
      </w:r>
      <w:r w:rsidR="75284342" w:rsidRPr="00EB557C">
        <w:rPr>
          <w:rFonts w:cs="Times New Roman"/>
          <w:szCs w:val="24"/>
        </w:rPr>
        <w:t>potwierdzającego</w:t>
      </w:r>
      <w:r w:rsidR="09BA8EE3" w:rsidRPr="00EB557C">
        <w:rPr>
          <w:rFonts w:cs="Times New Roman"/>
          <w:szCs w:val="24"/>
        </w:rPr>
        <w:t xml:space="preserve"> wykonanie </w:t>
      </w:r>
      <w:r w:rsidR="09BA8EE3" w:rsidRPr="00EB557C">
        <w:rPr>
          <w:rFonts w:cs="Times New Roman"/>
          <w:szCs w:val="24"/>
        </w:rPr>
        <w:lastRenderedPageBreak/>
        <w:t>obowiązku ograniczenia emisji gazów cieplarnianych lub poprawy efektywności energetycznej, zawierające w szczególności opis sposobu realizacji tego obowiązku</w:t>
      </w:r>
      <w:r w:rsidR="00DD250F" w:rsidRPr="00EB557C">
        <w:rPr>
          <w:rFonts w:cs="Times New Roman"/>
          <w:szCs w:val="24"/>
        </w:rPr>
        <w:t>.</w:t>
      </w:r>
    </w:p>
    <w:p w14:paraId="75252A37" w14:textId="5ACB94B9" w:rsidR="3A134619" w:rsidRPr="00EB557C" w:rsidRDefault="04DBBE76" w:rsidP="00532F7E">
      <w:pPr>
        <w:spacing w:before="120" w:after="0"/>
        <w:ind w:firstLine="0"/>
        <w:rPr>
          <w:rFonts w:cs="Times New Roman"/>
          <w:b/>
          <w:bCs/>
          <w:szCs w:val="24"/>
        </w:rPr>
      </w:pPr>
      <w:r w:rsidRPr="00EB557C">
        <w:rPr>
          <w:rFonts w:cs="Times New Roman"/>
          <w:b/>
          <w:bCs/>
          <w:szCs w:val="24"/>
        </w:rPr>
        <w:t>Opłata wyrównawcza</w:t>
      </w:r>
    </w:p>
    <w:p w14:paraId="64E326EC" w14:textId="5A00DDF6" w:rsidR="000E4AD3" w:rsidRPr="00EB557C" w:rsidRDefault="30D1BE95" w:rsidP="00532F7E">
      <w:pPr>
        <w:spacing w:before="120" w:after="0"/>
        <w:ind w:firstLine="0"/>
        <w:rPr>
          <w:rFonts w:cs="Times New Roman"/>
          <w:szCs w:val="24"/>
        </w:rPr>
      </w:pPr>
      <w:r w:rsidRPr="00EB557C">
        <w:rPr>
          <w:rFonts w:cs="Times New Roman"/>
          <w:szCs w:val="24"/>
        </w:rPr>
        <w:t>W związku z dostosowaniem przepisów ustawy o OZE do CEEAG zdecydowano o wprowadzeniu opłaty wyrównawczej. Opłata ta będzie nakładana na odbiorców energochłonnych tylko w przypadku skorzystania przez tych odbiorców z ulg określonych w ustawie o OZE oraz wyłącznie w przypadku, gdy łączna stawka opłat, o których mowa w przepisach ustawy o OZE</w:t>
      </w:r>
      <w:r w:rsidR="00833CE4" w:rsidRPr="00EB557C">
        <w:rPr>
          <w:rFonts w:cs="Times New Roman"/>
          <w:szCs w:val="24"/>
        </w:rPr>
        <w:t>,</w:t>
      </w:r>
      <w:r w:rsidRPr="00EB557C">
        <w:rPr>
          <w:rFonts w:cs="Times New Roman"/>
          <w:szCs w:val="24"/>
        </w:rPr>
        <w:t xml:space="preserve"> w wyniku stosowania tych ulg</w:t>
      </w:r>
      <w:r w:rsidR="00833CE4" w:rsidRPr="00EB557C">
        <w:rPr>
          <w:rFonts w:cs="Times New Roman"/>
          <w:szCs w:val="24"/>
        </w:rPr>
        <w:t>,</w:t>
      </w:r>
      <w:r w:rsidRPr="00EB557C">
        <w:rPr>
          <w:rFonts w:cs="Times New Roman"/>
          <w:szCs w:val="24"/>
        </w:rPr>
        <w:t xml:space="preserve"> wyniesie mniej niż 0,50 EUR za MWh. Wartość 0,5 EUR za MWh stanowi minimalny wymóg odnośnie do wysokości opłat określony w </w:t>
      </w:r>
      <w:r w:rsidR="4568E138" w:rsidRPr="00EB557C">
        <w:rPr>
          <w:rFonts w:cs="Times New Roman"/>
          <w:szCs w:val="24"/>
        </w:rPr>
        <w:t xml:space="preserve">pkt 408 </w:t>
      </w:r>
      <w:r w:rsidRPr="00EB557C">
        <w:rPr>
          <w:rFonts w:cs="Times New Roman"/>
          <w:szCs w:val="24"/>
        </w:rPr>
        <w:t xml:space="preserve">wytycznych CEEAG, a opłata wyrównawcza wyrównuje jedynie opłaty do tego poziomu, jeżeli okażą się one niższe. Brak </w:t>
      </w:r>
      <w:r w:rsidR="31FAB49D" w:rsidRPr="00EB557C">
        <w:rPr>
          <w:rFonts w:cs="Times New Roman"/>
          <w:szCs w:val="24"/>
        </w:rPr>
        <w:t xml:space="preserve">tego </w:t>
      </w:r>
      <w:r w:rsidRPr="00EB557C">
        <w:rPr>
          <w:rFonts w:cs="Times New Roman"/>
          <w:szCs w:val="24"/>
        </w:rPr>
        <w:t xml:space="preserve">przepisu mógłby narazić udzielaną pomoc publiczną na ryzyko podważenia jej </w:t>
      </w:r>
      <w:r w:rsidR="6B19D60B" w:rsidRPr="00EB557C">
        <w:rPr>
          <w:rFonts w:cs="Times New Roman"/>
          <w:szCs w:val="24"/>
        </w:rPr>
        <w:t xml:space="preserve">pełnej </w:t>
      </w:r>
      <w:r w:rsidRPr="00EB557C">
        <w:rPr>
          <w:rFonts w:cs="Times New Roman"/>
          <w:szCs w:val="24"/>
        </w:rPr>
        <w:t xml:space="preserve">zgodności z CEEAG. </w:t>
      </w:r>
    </w:p>
    <w:p w14:paraId="397561AA" w14:textId="39BB9F7B" w:rsidR="032EE11F" w:rsidRPr="00EB557C" w:rsidRDefault="032EE11F" w:rsidP="00532F7E">
      <w:pPr>
        <w:spacing w:before="120" w:after="0"/>
        <w:ind w:firstLine="0"/>
        <w:rPr>
          <w:rFonts w:cs="Times New Roman"/>
          <w:szCs w:val="24"/>
        </w:rPr>
      </w:pPr>
      <w:r w:rsidRPr="00EB557C">
        <w:rPr>
          <w:rFonts w:cs="Times New Roman"/>
          <w:szCs w:val="24"/>
        </w:rPr>
        <w:t>W celu ujednolicenia</w:t>
      </w:r>
      <w:r w:rsidR="00C104C6" w:rsidRPr="00EB557C">
        <w:rPr>
          <w:rFonts w:cs="Times New Roman"/>
          <w:szCs w:val="24"/>
        </w:rPr>
        <w:t xml:space="preserve"> i uproszczenia</w:t>
      </w:r>
      <w:r w:rsidRPr="00EB557C">
        <w:rPr>
          <w:rFonts w:cs="Times New Roman"/>
          <w:szCs w:val="24"/>
        </w:rPr>
        <w:t xml:space="preserve"> procedury</w:t>
      </w:r>
      <w:r w:rsidR="00C104C6" w:rsidRPr="00EB557C">
        <w:rPr>
          <w:rFonts w:cs="Times New Roman"/>
          <w:szCs w:val="24"/>
        </w:rPr>
        <w:t xml:space="preserve"> wnoszenia opłaty wyrównawczej</w:t>
      </w:r>
      <w:r w:rsidRPr="00EB557C">
        <w:rPr>
          <w:rFonts w:cs="Times New Roman"/>
          <w:szCs w:val="24"/>
        </w:rPr>
        <w:t xml:space="preserve"> zdecydowano, że każdy odbiorca przemysłowy będzie wnosił opłatę wyrównawczą bezpośrednio. Odbiorcy przemysłowi, którzy zakupują energię, względem której świadectwa pochodzenia umarza ich sprzedawca, otrzymają od tego sprzedawcy informację o koszcie zakupu praw majątkowych umorzonych w odniesieniu do nabytej przez nich energii.</w:t>
      </w:r>
    </w:p>
    <w:p w14:paraId="6935A756" w14:textId="6082AC28" w:rsidR="1E789D6E" w:rsidRPr="00EB557C" w:rsidRDefault="1E789D6E" w:rsidP="00532F7E">
      <w:pPr>
        <w:spacing w:before="120" w:after="0"/>
        <w:ind w:firstLine="0"/>
        <w:rPr>
          <w:rFonts w:eastAsia="Times New Roman" w:cs="Times New Roman"/>
          <w:szCs w:val="24"/>
        </w:rPr>
      </w:pPr>
      <w:r w:rsidRPr="00EB557C">
        <w:rPr>
          <w:rFonts w:cs="Times New Roman"/>
          <w:b/>
          <w:bCs/>
          <w:szCs w:val="24"/>
        </w:rPr>
        <w:t>Sankcje związane z ulgami dla odbiorców energochłonnych</w:t>
      </w:r>
    </w:p>
    <w:p w14:paraId="7535142F" w14:textId="06D33690" w:rsidR="1E789D6E" w:rsidRPr="00EB557C" w:rsidRDefault="3560B63A" w:rsidP="00532F7E">
      <w:pPr>
        <w:spacing w:before="120" w:after="0"/>
        <w:ind w:firstLine="0"/>
        <w:rPr>
          <w:rFonts w:cs="Times New Roman"/>
          <w:szCs w:val="24"/>
        </w:rPr>
      </w:pPr>
      <w:r w:rsidRPr="00EB557C">
        <w:rPr>
          <w:rFonts w:cs="Times New Roman"/>
          <w:szCs w:val="24"/>
        </w:rPr>
        <w:t>W celu zapewnienia spójności systemu ulg dla odbiorców energochłonnych oraz stosowania wprowadzanych przepisów projektodawca zdecydował się na wprowadzenie sankcji powiązanych z nowymi obowiązkami powiązanymi ze skorzystaniem z uprawnień. W związku z powyższym</w:t>
      </w:r>
      <w:r w:rsidR="00DD250F" w:rsidRPr="00EB557C">
        <w:rPr>
          <w:rFonts w:cs="Times New Roman"/>
          <w:szCs w:val="24"/>
        </w:rPr>
        <w:t>,</w:t>
      </w:r>
      <w:r w:rsidRPr="00EB557C">
        <w:rPr>
          <w:rFonts w:cs="Times New Roman"/>
          <w:szCs w:val="24"/>
        </w:rPr>
        <w:t xml:space="preserve"> wprowadzono nowe przepisy do art. 168 ustawy o OZE, uwzględniające również sytuację, w której odbiorca przemysłowy nie uiścił opłaty wyrównawczej w terminie określonym w art. 68 ust. 2 ustawy o OZE lub nie przekazał w terminie Prezesowi URE sprawozdania potwierdzającego wykonanie obowiązku ograniczenia emisji gazów cieplarnianych lub poprawy efektywności energetycznej</w:t>
      </w:r>
      <w:r w:rsidR="00DD250F" w:rsidRPr="00EB557C">
        <w:rPr>
          <w:rFonts w:cs="Times New Roman"/>
          <w:szCs w:val="24"/>
        </w:rPr>
        <w:t>.</w:t>
      </w:r>
      <w:r w:rsidRPr="00EB557C">
        <w:rPr>
          <w:rFonts w:cs="Times New Roman"/>
          <w:szCs w:val="24"/>
        </w:rPr>
        <w:t xml:space="preserve"> </w:t>
      </w:r>
    </w:p>
    <w:p w14:paraId="675C69FD" w14:textId="5EDDC1AA" w:rsidR="733D4D62" w:rsidRPr="00EB557C" w:rsidRDefault="3560B63A" w:rsidP="00532F7E">
      <w:pPr>
        <w:spacing w:before="120" w:after="0"/>
        <w:ind w:firstLine="0"/>
        <w:rPr>
          <w:rFonts w:cs="Times New Roman"/>
          <w:szCs w:val="24"/>
        </w:rPr>
      </w:pPr>
      <w:r w:rsidRPr="00EB557C">
        <w:rPr>
          <w:rFonts w:cs="Times New Roman"/>
          <w:szCs w:val="24"/>
        </w:rPr>
        <w:t>Dla braku uiszczenia opłaty wyrównawczej w terminie (w całości albo części) projektodawca ustalił karę w wysokości 10 000 zł</w:t>
      </w:r>
      <w:r w:rsidR="000C0013" w:rsidRPr="00EB557C">
        <w:rPr>
          <w:rFonts w:cs="Times New Roman"/>
          <w:szCs w:val="24"/>
        </w:rPr>
        <w:t>,</w:t>
      </w:r>
      <w:r w:rsidRPr="00EB557C">
        <w:rPr>
          <w:rFonts w:cs="Times New Roman"/>
          <w:szCs w:val="24"/>
        </w:rPr>
        <w:t xml:space="preserve"> powiększoną o różnicę między należną a uiszczoną opłatą wyrównawczą. Dla sytuacji, w której odbiorca energochłonny nie przekazał Prezesowi URE w terminie sprawozdania </w:t>
      </w:r>
      <w:r w:rsidRPr="00EB557C">
        <w:rPr>
          <w:rFonts w:eastAsia="Times New Roman" w:cs="Times New Roman"/>
          <w:szCs w:val="24"/>
        </w:rPr>
        <w:t>potwierdzającego wykonanie obowiązku ograniczenia emisji gazów cieplarnianych lub poprawy efektywności energetycznej</w:t>
      </w:r>
      <w:r w:rsidR="00DD250F" w:rsidRPr="00EB557C">
        <w:rPr>
          <w:rFonts w:eastAsia="Times New Roman" w:cs="Times New Roman"/>
          <w:szCs w:val="24"/>
        </w:rPr>
        <w:t xml:space="preserve"> </w:t>
      </w:r>
      <w:r w:rsidRPr="00EB557C">
        <w:rPr>
          <w:rFonts w:eastAsia="Times New Roman" w:cs="Times New Roman"/>
          <w:szCs w:val="24"/>
        </w:rPr>
        <w:t>,</w:t>
      </w:r>
      <w:r w:rsidRPr="00EB557C">
        <w:rPr>
          <w:rFonts w:cs="Times New Roman"/>
          <w:szCs w:val="24"/>
        </w:rPr>
        <w:t xml:space="preserve"> sankcję określono w art. 170 ust. 7 pkt. 1 ustawy o OZE i wynosi ona 10 000 zł.</w:t>
      </w:r>
    </w:p>
    <w:p w14:paraId="012B3FEF" w14:textId="77777777" w:rsidR="005D36F3" w:rsidRPr="00EB557C" w:rsidRDefault="000C0013" w:rsidP="00532F7E">
      <w:pPr>
        <w:spacing w:before="120" w:after="0"/>
        <w:ind w:firstLine="0"/>
        <w:rPr>
          <w:rFonts w:eastAsia="Times New Roman" w:cs="Times New Roman"/>
          <w:szCs w:val="24"/>
        </w:rPr>
      </w:pPr>
      <w:r w:rsidRPr="00EB557C">
        <w:rPr>
          <w:rFonts w:cs="Times New Roman"/>
          <w:szCs w:val="24"/>
        </w:rPr>
        <w:lastRenderedPageBreak/>
        <w:t xml:space="preserve">Skorygowane </w:t>
      </w:r>
      <w:r w:rsidR="3560B63A" w:rsidRPr="00EB557C">
        <w:rPr>
          <w:rFonts w:cs="Times New Roman"/>
          <w:szCs w:val="24"/>
        </w:rPr>
        <w:t xml:space="preserve">zostały również dotychczasowe </w:t>
      </w:r>
      <w:r w:rsidRPr="00EB557C">
        <w:rPr>
          <w:rFonts w:cs="Times New Roman"/>
          <w:szCs w:val="24"/>
        </w:rPr>
        <w:t xml:space="preserve">przepisy dot. </w:t>
      </w:r>
      <w:r w:rsidR="3560B63A" w:rsidRPr="00EB557C">
        <w:rPr>
          <w:rFonts w:cs="Times New Roman"/>
          <w:szCs w:val="24"/>
        </w:rPr>
        <w:t>sankcj</w:t>
      </w:r>
      <w:r w:rsidRPr="00EB557C">
        <w:rPr>
          <w:rFonts w:cs="Times New Roman"/>
          <w:szCs w:val="24"/>
        </w:rPr>
        <w:t>i</w:t>
      </w:r>
      <w:r w:rsidR="3560B63A" w:rsidRPr="00EB557C">
        <w:rPr>
          <w:rFonts w:cs="Times New Roman"/>
          <w:szCs w:val="24"/>
        </w:rPr>
        <w:t xml:space="preserve"> dla odbiorców przemysłowych w celu ich zharmonizowania z wytycznymi CEEAG. Odstępuje się od sankcji w postaci zakazu korzystania z uprawnień do ulg w przyszłości za nieprzekazanie Prezesowi URE informacji niezbędnych do weryfikacji prawidłowości i zasadności skorzystania z przedmiotowych ulg w latach poprzednich na rzecz zwrotu wraz z odsetkami nienależnie pobranej pomocy publicznej wynikającej z nienależnych ulg. W celu zapewnienia nienaruszalności zasady </w:t>
      </w:r>
      <w:r w:rsidR="3560B63A" w:rsidRPr="00EB557C">
        <w:rPr>
          <w:rFonts w:eastAsia="Times New Roman" w:cs="Times New Roman"/>
          <w:i/>
          <w:iCs/>
          <w:szCs w:val="24"/>
        </w:rPr>
        <w:t>ne bis in idem</w:t>
      </w:r>
      <w:r w:rsidR="3560B63A" w:rsidRPr="00EB557C">
        <w:rPr>
          <w:rFonts w:eastAsia="Times New Roman" w:cs="Times New Roman"/>
          <w:szCs w:val="24"/>
        </w:rPr>
        <w:t>, wprowadzono przepis przejściowy odnoszący się do odbiorców przemysłowych, którzy złożyli już informacje dotyczące skorzystania z przysługujących im ulg w latach 2023 i 2024, jednak informacje te nie zostały zweryfikowane jeszcze przez Prezesa URE. W przypadku tych odbiorców będą miały zastosowanie sankcje przewidziane przed nowelizacją ustawy, tzn. ewentualny zakaz korzystania z ulg w przyszłości, natomiast za lata 2024</w:t>
      </w:r>
      <w:r w:rsidR="005D1D5C" w:rsidRPr="00EB557C">
        <w:rPr>
          <w:rFonts w:eastAsia="Times New Roman" w:cs="Times New Roman"/>
          <w:szCs w:val="24"/>
        </w:rPr>
        <w:t xml:space="preserve"> i wcześniejsze</w:t>
      </w:r>
      <w:r w:rsidR="3560B63A" w:rsidRPr="00EB557C">
        <w:rPr>
          <w:rFonts w:eastAsia="Times New Roman" w:cs="Times New Roman"/>
          <w:szCs w:val="24"/>
        </w:rPr>
        <w:t xml:space="preserve"> nie będzie się od nich żądać zwrotu otrzymanej pomocy publicznej.</w:t>
      </w:r>
      <w:r w:rsidR="00B474F4" w:rsidRPr="00EB557C">
        <w:rPr>
          <w:rFonts w:eastAsia="Times New Roman" w:cs="Times New Roman"/>
          <w:szCs w:val="24"/>
        </w:rPr>
        <w:t xml:space="preserve"> </w:t>
      </w:r>
    </w:p>
    <w:p w14:paraId="2083123C" w14:textId="32339D6D" w:rsidR="005175FF" w:rsidRPr="00EB557C" w:rsidRDefault="3A134619" w:rsidP="00532F7E">
      <w:pPr>
        <w:spacing w:before="120" w:after="0"/>
        <w:ind w:firstLine="0"/>
        <w:rPr>
          <w:rFonts w:cs="Times New Roman"/>
          <w:szCs w:val="24"/>
        </w:rPr>
      </w:pPr>
      <w:r w:rsidRPr="00EB557C">
        <w:rPr>
          <w:rFonts w:cs="Times New Roman"/>
          <w:b/>
          <w:bCs/>
          <w:szCs w:val="24"/>
        </w:rPr>
        <w:t>Zmiany w ustawie CHP</w:t>
      </w:r>
    </w:p>
    <w:p w14:paraId="13A9BB64" w14:textId="1506BEDB" w:rsidR="005175FF" w:rsidRPr="00EB557C" w:rsidRDefault="3A134619" w:rsidP="00532F7E">
      <w:pPr>
        <w:spacing w:before="120" w:after="0"/>
        <w:ind w:firstLine="0"/>
        <w:rPr>
          <w:rFonts w:cs="Times New Roman"/>
          <w:szCs w:val="24"/>
        </w:rPr>
      </w:pPr>
      <w:r w:rsidRPr="00EB557C">
        <w:rPr>
          <w:rFonts w:cs="Times New Roman"/>
          <w:szCs w:val="24"/>
        </w:rPr>
        <w:t xml:space="preserve">W zakresie zmian wynikających z CEEAG dokonano również zmian w ustawie CHP polegających na usunięciu definicji paliw stałych i zastąpienie jej definicją paliw węglowych z enumeratywnym katalogiem tych paliw. </w:t>
      </w:r>
    </w:p>
    <w:p w14:paraId="2CA68F81" w14:textId="66660F57" w:rsidR="005175FF" w:rsidRPr="00EB557C" w:rsidRDefault="3A134619" w:rsidP="00532F7E">
      <w:pPr>
        <w:spacing w:before="120" w:after="0"/>
        <w:ind w:firstLine="0"/>
        <w:rPr>
          <w:rFonts w:cs="Times New Roman"/>
          <w:szCs w:val="24"/>
        </w:rPr>
      </w:pPr>
      <w:r w:rsidRPr="00EB557C">
        <w:rPr>
          <w:rFonts w:cs="Times New Roman"/>
          <w:szCs w:val="24"/>
        </w:rPr>
        <w:t>Zmiana ta, w zestawieniu z kolejnymi zaproponowanymi zmianami w obowiązujących przepisach odnoszących się do konkretnych rodzajów wsparcia, uniemożliwi wspieranie, w ramach mechanizmu wsparcia energii elektrycznej z wysokosprawnej kogeneracji</w:t>
      </w:r>
      <w:r w:rsidR="008E271B" w:rsidRPr="00EB557C">
        <w:rPr>
          <w:rFonts w:cs="Times New Roman"/>
          <w:szCs w:val="24"/>
        </w:rPr>
        <w:t>,</w:t>
      </w:r>
      <w:r w:rsidRPr="00EB557C">
        <w:rPr>
          <w:rFonts w:cs="Times New Roman"/>
          <w:szCs w:val="24"/>
        </w:rPr>
        <w:t xml:space="preserve"> jednostek kogeneracji opalanych paliwami węglowymi. Konieczność wyłączenia możliwości udzielania pomocy publicznej na infrastrukturę wytwórczą zasilaną paliwami węglowymi w sektorze ciepłownictwa systemowego wynika z pkt 396 CEEAG. </w:t>
      </w:r>
    </w:p>
    <w:p w14:paraId="4423BCAB" w14:textId="206BE9E9" w:rsidR="005175FF" w:rsidRPr="00EB557C" w:rsidRDefault="3A134619" w:rsidP="00532F7E">
      <w:pPr>
        <w:spacing w:before="120" w:after="0"/>
        <w:ind w:firstLine="0"/>
        <w:rPr>
          <w:rFonts w:cs="Times New Roman"/>
          <w:szCs w:val="24"/>
        </w:rPr>
      </w:pPr>
      <w:r w:rsidRPr="00EB557C">
        <w:rPr>
          <w:rFonts w:cs="Times New Roman"/>
          <w:szCs w:val="24"/>
        </w:rPr>
        <w:t>Należy również wskazać, że od momentu uzyskania pozytywnej decyzji KE w sprawie przedmiotowego mechanizmu wsparcia (tj. od dnia 15 kwietnia 2019 r.), aukcji na premię kogeneracyjną oraz naboru na premię kogeneracyjną indywidualną nie wygrała żadna jednostka opalana paliwami węglowymi.</w:t>
      </w:r>
    </w:p>
    <w:p w14:paraId="0AC4FACA" w14:textId="097F2792" w:rsidR="005175FF" w:rsidRPr="00EB557C" w:rsidRDefault="3A134619" w:rsidP="00532F7E">
      <w:pPr>
        <w:spacing w:before="120" w:after="0"/>
        <w:ind w:firstLine="0"/>
        <w:rPr>
          <w:rFonts w:cs="Times New Roman"/>
          <w:szCs w:val="24"/>
        </w:rPr>
      </w:pPr>
      <w:r w:rsidRPr="00EB557C">
        <w:rPr>
          <w:rFonts w:cs="Times New Roman"/>
          <w:szCs w:val="24"/>
        </w:rPr>
        <w:t xml:space="preserve">Kolejna zmiana, tj. zniesienie obowiązku załączania ekspertyzy potwierdzającej brak możliwości zasilenia nowobudowanej lub znacznie modernizowanej jednostki kogeneracji paliwem innym niż węgiel, ze względu na wyłączenie z mechanizmu wsparcia jednostek kogeneracji opalanej paliwami węglowymi uzasadnione jest tym, że w projektowanym stanie faktycznym obowiązek ten będzie bezprzedmiotowy. Ze względu na wyłączenie z mechanizmu </w:t>
      </w:r>
      <w:r w:rsidRPr="00EB557C">
        <w:rPr>
          <w:rFonts w:cs="Times New Roman"/>
          <w:szCs w:val="24"/>
        </w:rPr>
        <w:lastRenderedPageBreak/>
        <w:t>wsparcia jednostek kogeneracji opalanych paliwami węglowymi, konieczne jest także wydanie nowych aktów wykonawczych do ustawy, które nie będą uwzględniać parametrów wsparcia odnoszących się do tych jednostek kogeneracji oraz innych uwarunkowań związanych z funkcjonowaniem tych jednostek w ramach mechanizmu wsparcia energii elektrycznej z wysokosprawnej kogeneracji.</w:t>
      </w:r>
    </w:p>
    <w:p w14:paraId="7F1A22C4" w14:textId="3F60E20C" w:rsidR="003F0648" w:rsidRPr="00EB557C" w:rsidRDefault="3A134619" w:rsidP="00532F7E">
      <w:pPr>
        <w:spacing w:before="120" w:after="0"/>
        <w:ind w:firstLine="0"/>
        <w:rPr>
          <w:rFonts w:cs="Times New Roman"/>
          <w:szCs w:val="24"/>
        </w:rPr>
      </w:pPr>
      <w:r w:rsidRPr="00EB557C">
        <w:rPr>
          <w:rFonts w:cs="Times New Roman"/>
          <w:szCs w:val="24"/>
        </w:rPr>
        <w:t xml:space="preserve">Proponowana zmiana art. 66 ust. 2 ustawy CHP wynika z faktu, że dane, o których mowa w tym przepisie, nie są wykorzystywane przez Prezesa URE do realizacji zadań wynikających z tej ustawy. Przepis ten został wprowadzony w celu wyliczania przez Prezesa URE stawki opłaty CHP, jednakże ostatecznie projektodawca przyjął, że stawka ta jest określana w drodze rozporządzenia przez ministra właściwego do spraw energii (art. 64 ust. 4 ustawy CHP). Tym samym brak jest zasadności przekazywania Prezesowi URE danych, o których mowa w art. 66 ust. 2 ustawy CHP, a obowiązek ten jest nadmiarowy. Konsekwencją przedmiotowej zmiany jest zmiana dostosowująca w art. 87 ust. 1 pkt 2 ustawy CHP, polegająca na wykreśleniu obowiązku przekazywania przez operatora systemu przesyłowego elektroenergetycznego Prezesowi URE informacji o ilości energii, która stanowi podstawę do naliczenia opłaty kogeneracyjnej i wielkości należnych i pobranych środków z tytułu opłaty kogeneracyjnej. </w:t>
      </w:r>
    </w:p>
    <w:p w14:paraId="19209310" w14:textId="02C3795D" w:rsidR="00CB5C8A" w:rsidRPr="00EB557C" w:rsidRDefault="3A134619" w:rsidP="00532F7E">
      <w:pPr>
        <w:spacing w:before="120" w:after="0"/>
        <w:ind w:firstLine="0"/>
        <w:rPr>
          <w:rFonts w:cs="Times New Roman"/>
          <w:szCs w:val="24"/>
        </w:rPr>
      </w:pPr>
      <w:r w:rsidRPr="00EB557C">
        <w:rPr>
          <w:rFonts w:cs="Times New Roman"/>
          <w:szCs w:val="24"/>
        </w:rPr>
        <w:t>Dodatkowo</w:t>
      </w:r>
      <w:r w:rsidR="003766EB" w:rsidRPr="00EB557C">
        <w:rPr>
          <w:rFonts w:cs="Times New Roman"/>
          <w:szCs w:val="24"/>
        </w:rPr>
        <w:t>,</w:t>
      </w:r>
      <w:r w:rsidRPr="00EB557C">
        <w:rPr>
          <w:rFonts w:cs="Times New Roman"/>
          <w:szCs w:val="24"/>
        </w:rPr>
        <w:t xml:space="preserve"> art. 11 pkt 3 ustawy CHP został zaktualizowany poprzez zmianę odniesienia do liter „i lub j” zamiast „j lub k”. Zmiana wynika z konieczności dostosowania zapisów ww. artykułu do zmian w art. 3 pkt 3b ustawy </w:t>
      </w:r>
      <w:r w:rsidRPr="00EB557C">
        <w:rPr>
          <w:rFonts w:eastAsia="Times New Roman" w:cs="Times New Roman"/>
          <w:szCs w:val="24"/>
        </w:rPr>
        <w:t xml:space="preserve">z dnia 10 kwietnia 1997 r. </w:t>
      </w:r>
      <w:r w:rsidRPr="00EB557C">
        <w:rPr>
          <w:rFonts w:cs="Times New Roman"/>
          <w:szCs w:val="24"/>
        </w:rPr>
        <w:t>– Prawo energetyczne (Dz.</w:t>
      </w:r>
      <w:r w:rsidR="007F2458">
        <w:rPr>
          <w:rFonts w:cs="Times New Roman"/>
          <w:szCs w:val="24"/>
        </w:rPr>
        <w:t> </w:t>
      </w:r>
      <w:r w:rsidRPr="00EB557C">
        <w:rPr>
          <w:rFonts w:cs="Times New Roman"/>
          <w:szCs w:val="24"/>
        </w:rPr>
        <w:t>U. z 2024 r. poz. 266, 834 i 859), dalej: „ustawa</w:t>
      </w:r>
      <w:r w:rsidRPr="00EB557C">
        <w:rPr>
          <w:rFonts w:eastAsia="Times New Roman" w:cs="Times New Roman"/>
          <w:szCs w:val="24"/>
        </w:rPr>
        <w:t xml:space="preserve"> </w:t>
      </w:r>
      <w:r w:rsidRPr="00EB557C">
        <w:rPr>
          <w:rFonts w:cs="Times New Roman"/>
          <w:szCs w:val="24"/>
        </w:rPr>
        <w:t>– Prawo energetyczne”. Poprzednie brzmienie przepisu odnoszące się do oleju napędowego, w tym lekkiego oleju opałowego oraz ciężkiego oleju opałowego obecnie jest zawarte w lit. i oraz lit. j.</w:t>
      </w:r>
    </w:p>
    <w:p w14:paraId="28A42503" w14:textId="556767FD" w:rsidR="00A0556B" w:rsidRPr="00EB557C" w:rsidRDefault="00624312" w:rsidP="00532F7E">
      <w:pPr>
        <w:spacing w:before="120" w:after="0"/>
        <w:ind w:firstLine="0"/>
        <w:rPr>
          <w:rFonts w:cs="Times New Roman"/>
          <w:szCs w:val="24"/>
        </w:rPr>
      </w:pPr>
      <w:r w:rsidRPr="00EB557C">
        <w:rPr>
          <w:rFonts w:cs="Times New Roman"/>
          <w:szCs w:val="24"/>
        </w:rPr>
        <w:t>W przepisach przejściowych, dotyczących złożonych</w:t>
      </w:r>
      <w:r w:rsidR="007F37BB" w:rsidRPr="00EB557C">
        <w:rPr>
          <w:rFonts w:cs="Times New Roman"/>
          <w:szCs w:val="24"/>
        </w:rPr>
        <w:t xml:space="preserve"> i </w:t>
      </w:r>
      <w:r w:rsidRPr="00EB557C">
        <w:rPr>
          <w:rFonts w:cs="Times New Roman"/>
          <w:szCs w:val="24"/>
        </w:rPr>
        <w:t xml:space="preserve">nierozpatrzonych wniosków, wskazuje się, że rozpatrywanie ich będzie się odbywać na podstawie przepisów o brzmieniu nadanym </w:t>
      </w:r>
      <w:r w:rsidR="003F0648" w:rsidRPr="00EB557C">
        <w:rPr>
          <w:rFonts w:cs="Times New Roman"/>
          <w:szCs w:val="24"/>
        </w:rPr>
        <w:t>projektowaną</w:t>
      </w:r>
      <w:r w:rsidRPr="00EB557C">
        <w:rPr>
          <w:rFonts w:cs="Times New Roman"/>
          <w:szCs w:val="24"/>
        </w:rPr>
        <w:t xml:space="preserve"> ustawą. </w:t>
      </w:r>
    </w:p>
    <w:p w14:paraId="2B6A4A53" w14:textId="5263D830" w:rsidR="00556507" w:rsidRPr="00EB557C" w:rsidRDefault="3A134619" w:rsidP="00532F7E">
      <w:pPr>
        <w:tabs>
          <w:tab w:val="left" w:pos="426"/>
        </w:tabs>
        <w:spacing w:before="120" w:after="0"/>
        <w:ind w:firstLine="0"/>
        <w:rPr>
          <w:rFonts w:cs="Times New Roman"/>
          <w:szCs w:val="24"/>
        </w:rPr>
      </w:pPr>
      <w:r w:rsidRPr="00EB557C">
        <w:rPr>
          <w:rFonts w:cs="Times New Roman"/>
          <w:b/>
          <w:bCs/>
          <w:szCs w:val="24"/>
        </w:rPr>
        <w:t>2.</w:t>
      </w:r>
      <w:r w:rsidR="00EB557C">
        <w:rPr>
          <w:rFonts w:cs="Times New Roman"/>
          <w:b/>
          <w:bCs/>
          <w:szCs w:val="24"/>
        </w:rPr>
        <w:tab/>
      </w:r>
      <w:r w:rsidRPr="00EB557C">
        <w:rPr>
          <w:rFonts w:cs="Times New Roman"/>
          <w:b/>
          <w:bCs/>
          <w:szCs w:val="24"/>
          <w:u w:val="single"/>
        </w:rPr>
        <w:t>Dostosowanie przepisów krajowych do rozporządzenia GBER i rozporządzenia UE 2019/943 w sprawie rynku wewnętrznego energii elektrycznej</w:t>
      </w:r>
    </w:p>
    <w:p w14:paraId="0CDDC278" w14:textId="64D05FE8" w:rsidR="00A72E39" w:rsidRPr="00EB557C" w:rsidRDefault="3A134619" w:rsidP="00532F7E">
      <w:pPr>
        <w:spacing w:before="120" w:after="0"/>
        <w:ind w:firstLine="0"/>
        <w:rPr>
          <w:rFonts w:cs="Times New Roman"/>
          <w:szCs w:val="24"/>
        </w:rPr>
      </w:pPr>
      <w:r w:rsidRPr="00EB557C">
        <w:rPr>
          <w:rFonts w:cs="Times New Roman"/>
          <w:szCs w:val="24"/>
        </w:rPr>
        <w:t>Od dnia 1 stycznia 2024 r. obowiązuje zmienione rozporządzenie Komisji (UE) nr 651/2014 uznające niektóre rodzaje pomocy za zgodne z rynkiem wewnętrznym w zastosowaniu art. 107 i 108 Traktatu (Dz. Urz. UE L</w:t>
      </w:r>
      <w:r w:rsidR="006833BD">
        <w:rPr>
          <w:rFonts w:cs="Times New Roman"/>
          <w:szCs w:val="24"/>
        </w:rPr>
        <w:t xml:space="preserve"> </w:t>
      </w:r>
      <w:r w:rsidRPr="00EB557C">
        <w:rPr>
          <w:rFonts w:cs="Times New Roman"/>
          <w:szCs w:val="24"/>
        </w:rPr>
        <w:t xml:space="preserve">187 z 26.06.2014 r., str. 1, z późn. zm.), dalej: „rozporządzenie GBER”. Kluczowe zmiany w rozporządzeniu GBER zostały dokonane w obszarze zasad </w:t>
      </w:r>
      <w:r w:rsidRPr="00EB557C">
        <w:rPr>
          <w:rFonts w:cs="Times New Roman"/>
          <w:szCs w:val="24"/>
        </w:rPr>
        <w:lastRenderedPageBreak/>
        <w:t xml:space="preserve">udzielania pomocy operacyjnej na propagowanie energii ze źródeł odnawialnych w małych projektach OZE. </w:t>
      </w:r>
    </w:p>
    <w:p w14:paraId="25C677CC" w14:textId="44B5CF11" w:rsidR="003766EB" w:rsidRPr="00EB557C" w:rsidRDefault="3560B63A" w:rsidP="00532F7E">
      <w:pPr>
        <w:spacing w:before="120" w:after="0"/>
        <w:ind w:firstLine="0"/>
        <w:rPr>
          <w:rFonts w:cs="Times New Roman"/>
          <w:szCs w:val="24"/>
        </w:rPr>
      </w:pPr>
      <w:r w:rsidRPr="00EB557C">
        <w:rPr>
          <w:rFonts w:cs="Times New Roman"/>
          <w:szCs w:val="24"/>
        </w:rPr>
        <w:t>Należy wskazać, że nowością w stosunku do poprzedniej wersji rozporządzenia GBER jest zawarte w nim odesłanie do przepisów rozporządzenia Parlamentu Europejskiego i Rady (UE</w:t>
      </w:r>
      <w:bookmarkStart w:id="1" w:name="_Hlk167361471"/>
      <w:r w:rsidRPr="00EB557C">
        <w:rPr>
          <w:rFonts w:cs="Times New Roman"/>
          <w:szCs w:val="24"/>
        </w:rPr>
        <w:t xml:space="preserve">) 2019/943 </w:t>
      </w:r>
      <w:bookmarkEnd w:id="1"/>
      <w:r w:rsidRPr="00EB557C">
        <w:rPr>
          <w:rFonts w:cs="Times New Roman"/>
          <w:szCs w:val="24"/>
        </w:rPr>
        <w:t xml:space="preserve">z dnia 5 czerwca 2019 r. </w:t>
      </w:r>
      <w:bookmarkStart w:id="2" w:name="_Hlk167361460"/>
      <w:r w:rsidRPr="00EB557C">
        <w:rPr>
          <w:rFonts w:cs="Times New Roman"/>
          <w:szCs w:val="24"/>
        </w:rPr>
        <w:t xml:space="preserve">w sprawie rynku wewnętrznego energii elektrycznej </w:t>
      </w:r>
      <w:bookmarkEnd w:id="2"/>
      <w:r w:rsidRPr="00EB557C">
        <w:rPr>
          <w:rFonts w:cs="Times New Roman"/>
          <w:szCs w:val="24"/>
        </w:rPr>
        <w:t>(Dz.</w:t>
      </w:r>
      <w:r w:rsidR="00101E2A">
        <w:rPr>
          <w:rFonts w:cs="Times New Roman"/>
          <w:szCs w:val="24"/>
        </w:rPr>
        <w:t> </w:t>
      </w:r>
      <w:r w:rsidRPr="00EB557C">
        <w:rPr>
          <w:rFonts w:cs="Times New Roman"/>
          <w:szCs w:val="24"/>
        </w:rPr>
        <w:t>U</w:t>
      </w:r>
      <w:r w:rsidR="00101E2A">
        <w:rPr>
          <w:rFonts w:cs="Times New Roman"/>
          <w:szCs w:val="24"/>
        </w:rPr>
        <w:t>rz</w:t>
      </w:r>
      <w:r w:rsidRPr="00EB557C">
        <w:rPr>
          <w:rFonts w:cs="Times New Roman"/>
          <w:szCs w:val="24"/>
        </w:rPr>
        <w:t xml:space="preserve">. </w:t>
      </w:r>
      <w:r w:rsidR="00101E2A">
        <w:rPr>
          <w:rFonts w:cs="Times New Roman"/>
          <w:szCs w:val="24"/>
        </w:rPr>
        <w:t xml:space="preserve">UE </w:t>
      </w:r>
      <w:r w:rsidRPr="00EB557C">
        <w:rPr>
          <w:rFonts w:cs="Times New Roman"/>
          <w:szCs w:val="24"/>
        </w:rPr>
        <w:t>L 158 z 14.</w:t>
      </w:r>
      <w:r w:rsidR="00101E2A">
        <w:rPr>
          <w:rFonts w:cs="Times New Roman"/>
          <w:szCs w:val="24"/>
        </w:rPr>
        <w:t>0</w:t>
      </w:r>
      <w:r w:rsidRPr="00EB557C">
        <w:rPr>
          <w:rFonts w:cs="Times New Roman"/>
          <w:szCs w:val="24"/>
        </w:rPr>
        <w:t>6.2019, str. 54–124), dalej: „rozporządzenie rynkowe”, które znacząco zmienia wymagania dla wytwórców energii elektrycznej w instalacjach OZE.</w:t>
      </w:r>
    </w:p>
    <w:p w14:paraId="377F18D2" w14:textId="6F1E8814" w:rsidR="002C6A4D" w:rsidRPr="00EB557C" w:rsidRDefault="3A134619" w:rsidP="00532F7E">
      <w:pPr>
        <w:spacing w:before="120" w:after="0"/>
        <w:ind w:firstLine="0"/>
        <w:rPr>
          <w:rFonts w:cs="Times New Roman"/>
          <w:b/>
          <w:bCs/>
          <w:szCs w:val="24"/>
        </w:rPr>
      </w:pPr>
      <w:r w:rsidRPr="00EB557C">
        <w:rPr>
          <w:rFonts w:cs="Times New Roman"/>
          <w:b/>
          <w:bCs/>
          <w:szCs w:val="24"/>
        </w:rPr>
        <w:t>Dostosowanie przepisów w zakresie wytwórców energii elektrycznej w instalacjach OZE, którzy mogą korzystać z bilansowania handlowego realizowanego przez sprzedawcę zobowiązanego</w:t>
      </w:r>
    </w:p>
    <w:p w14:paraId="78BC380E" w14:textId="7268A695" w:rsidR="008B73DD" w:rsidRPr="00EB557C" w:rsidRDefault="3560B63A" w:rsidP="00532F7E">
      <w:pPr>
        <w:spacing w:before="120" w:after="0"/>
        <w:ind w:firstLine="0"/>
        <w:rPr>
          <w:rFonts w:cs="Times New Roman"/>
          <w:szCs w:val="24"/>
        </w:rPr>
      </w:pPr>
      <w:r w:rsidRPr="00EB557C">
        <w:rPr>
          <w:rFonts w:cs="Times New Roman"/>
          <w:szCs w:val="24"/>
        </w:rPr>
        <w:t xml:space="preserve">W związku z wymogami rozporządzenia rynkowego konieczne stało się dostosowanie programu wsparcia systemu taryf gwarantowanych i dopłat do ceny rynkowej (dalej: „systemy FiT i FiP”) w obszarze zastosowania progów określonych w art. 5 ust. 2 lit. b lub art. 5 ust. 4 rozporządzenia rynkowego. W odniesieniu do instalacji służących do wytwarzania energii o mocy zainstalowanej elektrycznej nie większej niż 400 kW, a dla instalacji uruchamianych po dniu 1 stycznia 2026 r. </w:t>
      </w:r>
      <w:r w:rsidR="00CD4846">
        <w:rPr>
          <w:rFonts w:cs="Times New Roman"/>
          <w:szCs w:val="24"/>
        </w:rPr>
        <w:t>–</w:t>
      </w:r>
      <w:r w:rsidRPr="00EB557C">
        <w:rPr>
          <w:rFonts w:cs="Times New Roman"/>
          <w:szCs w:val="24"/>
        </w:rPr>
        <w:t xml:space="preserve"> nie większej niż 200 kW. Zgodnie z ww. regulacjami unijnymi, tylko te instalacje mogą uzyskiwać prawo do gwarantowanego odbioru energii przez sprzedawcę zobowiązanego oraz być zwolnione z obciążeń finansowych w zakresie bilansowania handlowego. W konsekwencji zmianie uległy artykuły ustawy o OZE: 39, 43, 70a, 70b, 70e, 79, 81</w:t>
      </w:r>
      <w:r w:rsidR="00CD4846">
        <w:rPr>
          <w:rFonts w:cs="Times New Roman"/>
          <w:szCs w:val="24"/>
        </w:rPr>
        <w:t>–</w:t>
      </w:r>
      <w:r w:rsidRPr="00EB557C">
        <w:rPr>
          <w:rFonts w:cs="Times New Roman"/>
          <w:szCs w:val="24"/>
        </w:rPr>
        <w:t>83, 92</w:t>
      </w:r>
      <w:r w:rsidR="00CD4846">
        <w:rPr>
          <w:rFonts w:cs="Times New Roman"/>
          <w:szCs w:val="24"/>
        </w:rPr>
        <w:t>–</w:t>
      </w:r>
      <w:r w:rsidRPr="00EB557C">
        <w:rPr>
          <w:rFonts w:cs="Times New Roman"/>
          <w:szCs w:val="24"/>
        </w:rPr>
        <w:t>94, 104 (w obszarze energii elektrycznej) oraz artykułów: 83m, 83p-r (w obszarze biometanu). Dodano również art. 70fa</w:t>
      </w:r>
      <w:r w:rsidR="48DFD630" w:rsidRPr="00EB557C">
        <w:rPr>
          <w:rFonts w:cs="Times New Roman"/>
          <w:szCs w:val="24"/>
        </w:rPr>
        <w:t xml:space="preserve"> i art.</w:t>
      </w:r>
      <w:r w:rsidRPr="00EB557C">
        <w:rPr>
          <w:rFonts w:cs="Times New Roman"/>
          <w:szCs w:val="24"/>
        </w:rPr>
        <w:t xml:space="preserve"> 184o ustawy o OZE oraz szczegółowe przepisy przejściowe</w:t>
      </w:r>
      <w:r w:rsidR="48DFD630" w:rsidRPr="00EB557C">
        <w:rPr>
          <w:rFonts w:cs="Times New Roman"/>
          <w:szCs w:val="24"/>
        </w:rPr>
        <w:t xml:space="preserve"> projektu ustawy</w:t>
      </w:r>
      <w:r w:rsidRPr="00EB557C">
        <w:rPr>
          <w:rFonts w:cs="Times New Roman"/>
          <w:szCs w:val="24"/>
        </w:rPr>
        <w:t>.</w:t>
      </w:r>
    </w:p>
    <w:p w14:paraId="661CACCD" w14:textId="64E94C0B" w:rsidR="00942529" w:rsidRPr="00EB557C" w:rsidRDefault="04DBBE76" w:rsidP="00532F7E">
      <w:pPr>
        <w:spacing w:before="120" w:after="0"/>
        <w:ind w:firstLine="0"/>
        <w:rPr>
          <w:rFonts w:cs="Times New Roman"/>
          <w:szCs w:val="24"/>
        </w:rPr>
      </w:pPr>
      <w:r w:rsidRPr="00EB557C">
        <w:rPr>
          <w:rFonts w:cs="Times New Roman"/>
          <w:szCs w:val="24"/>
        </w:rPr>
        <w:t>Powyższe zmiany wynikające z wymagań rozporządzenia GBER mają także wpływ na system aukcyjny w odniesieniu do wytwórców energii elektrycznej w instalacjach OZE o mocy poniżej 500 kW, którzy wygrali aukcję, a od których zakupu energii elektrycznej wytworzonej w instalacji odnawialnego źródła energii dokonuje sprzedawca zobowiązany. Podobnie i do nich stosowane będą ww. ograniczenia mocowe w okresie od dnia wejścia w życie przepisów niniejszej ustawy do dnia 31 grudnia 2025 r. (ograniczenie do 400 kW) oraz po dniu 1 stycznia 2026 r. (200 kW).</w:t>
      </w:r>
    </w:p>
    <w:p w14:paraId="0E80FC7C" w14:textId="0B3A65D8" w:rsidR="31D1A20D" w:rsidRPr="00EB557C" w:rsidRDefault="31D1A20D" w:rsidP="00532F7E">
      <w:pPr>
        <w:spacing w:before="120" w:after="0"/>
        <w:ind w:firstLine="0"/>
        <w:rPr>
          <w:rFonts w:cs="Times New Roman"/>
          <w:b/>
          <w:bCs/>
          <w:szCs w:val="24"/>
        </w:rPr>
      </w:pPr>
      <w:r w:rsidRPr="00EB557C">
        <w:rPr>
          <w:rFonts w:cs="Times New Roman"/>
          <w:b/>
          <w:bCs/>
          <w:szCs w:val="24"/>
        </w:rPr>
        <w:t>Sytuacja wytwórców w systemach FiT i FiP do dnia 31 grudnia 2025 r. i po tym dniu</w:t>
      </w:r>
    </w:p>
    <w:p w14:paraId="20B7BE8E" w14:textId="4DDA5F24" w:rsidR="00C14F0F" w:rsidRPr="00EB557C" w:rsidRDefault="04DBBE76" w:rsidP="00532F7E">
      <w:pPr>
        <w:spacing w:before="120" w:after="0"/>
        <w:ind w:firstLine="0"/>
        <w:rPr>
          <w:rFonts w:cs="Times New Roman"/>
          <w:szCs w:val="24"/>
        </w:rPr>
      </w:pPr>
      <w:r w:rsidRPr="00EB557C">
        <w:rPr>
          <w:rFonts w:cs="Times New Roman"/>
          <w:szCs w:val="24"/>
        </w:rPr>
        <w:t>Z uwagi na dążenie prawodawcy unijnego do sukcesywnego ograniczania</w:t>
      </w:r>
      <w:r w:rsidR="000F70EB" w:rsidRPr="00EB557C">
        <w:rPr>
          <w:rFonts w:cs="Times New Roman"/>
          <w:szCs w:val="24"/>
        </w:rPr>
        <w:t>,</w:t>
      </w:r>
      <w:r w:rsidRPr="00EB557C">
        <w:rPr>
          <w:rFonts w:cs="Times New Roman"/>
          <w:szCs w:val="24"/>
        </w:rPr>
        <w:t xml:space="preserve"> w ramach rozporządzenia GBER</w:t>
      </w:r>
      <w:r w:rsidR="000F70EB" w:rsidRPr="00EB557C">
        <w:rPr>
          <w:rFonts w:cs="Times New Roman"/>
          <w:szCs w:val="24"/>
        </w:rPr>
        <w:t>,</w:t>
      </w:r>
      <w:r w:rsidRPr="00EB557C">
        <w:rPr>
          <w:rFonts w:cs="Times New Roman"/>
          <w:szCs w:val="24"/>
        </w:rPr>
        <w:t xml:space="preserve"> wsparcia dla wytwórców w mech</w:t>
      </w:r>
      <w:r w:rsidR="00DF7EA3" w:rsidRPr="00EB557C">
        <w:rPr>
          <w:rFonts w:cs="Times New Roman"/>
          <w:szCs w:val="24"/>
        </w:rPr>
        <w:t>a</w:t>
      </w:r>
      <w:r w:rsidRPr="00EB557C">
        <w:rPr>
          <w:rFonts w:cs="Times New Roman"/>
          <w:szCs w:val="24"/>
        </w:rPr>
        <w:t xml:space="preserve">nizmach wsparcia działających na </w:t>
      </w:r>
      <w:r w:rsidRPr="00EB557C">
        <w:rPr>
          <w:rFonts w:cs="Times New Roman"/>
          <w:szCs w:val="24"/>
        </w:rPr>
        <w:lastRenderedPageBreak/>
        <w:t>zasadach przewidzianych dla systemów FiT albo FiP</w:t>
      </w:r>
      <w:r w:rsidR="000F70EB" w:rsidRPr="00EB557C">
        <w:rPr>
          <w:rFonts w:cs="Times New Roman"/>
          <w:szCs w:val="24"/>
        </w:rPr>
        <w:t>,</w:t>
      </w:r>
      <w:r w:rsidRPr="00EB557C">
        <w:rPr>
          <w:rFonts w:cs="Times New Roman"/>
          <w:szCs w:val="24"/>
        </w:rPr>
        <w:t xml:space="preserve"> w zakresie korzystania z uprawnienia do bilansowania przez sprzedawcę zobowiązanego, niezbędne jest ujęcie w przepisach krajowych wszystkich sytuacji prawnych wytwórców działających na rynku lub planujących rozpoczęcie wytwarzania w najbliższym czasie. </w:t>
      </w:r>
    </w:p>
    <w:p w14:paraId="1D0F3D2C" w14:textId="5136C77F" w:rsidR="00C14F0F" w:rsidRPr="00EB557C" w:rsidRDefault="04DBBE76" w:rsidP="00532F7E">
      <w:pPr>
        <w:spacing w:before="120" w:after="0"/>
        <w:ind w:firstLine="0"/>
        <w:rPr>
          <w:rFonts w:cs="Times New Roman"/>
          <w:b/>
          <w:bCs/>
          <w:szCs w:val="24"/>
        </w:rPr>
      </w:pPr>
      <w:r w:rsidRPr="00EB557C">
        <w:rPr>
          <w:rFonts w:cs="Times New Roman"/>
          <w:szCs w:val="24"/>
        </w:rPr>
        <w:t>Dlatego też, zróżnicowano i określono sytuację wytwórców w okresach:</w:t>
      </w:r>
    </w:p>
    <w:p w14:paraId="37FB836E" w14:textId="11676591" w:rsidR="3A134619" w:rsidRPr="00EB557C" w:rsidRDefault="3A134619" w:rsidP="00532F7E">
      <w:pPr>
        <w:pStyle w:val="Akapitzlist"/>
        <w:numPr>
          <w:ilvl w:val="0"/>
          <w:numId w:val="18"/>
        </w:numPr>
        <w:spacing w:before="120" w:after="0"/>
        <w:ind w:left="426" w:hanging="426"/>
        <w:rPr>
          <w:rFonts w:cs="Times New Roman"/>
          <w:szCs w:val="24"/>
        </w:rPr>
      </w:pPr>
      <w:r w:rsidRPr="00EB557C">
        <w:rPr>
          <w:rFonts w:cs="Times New Roman"/>
          <w:szCs w:val="24"/>
          <w:u w:val="single"/>
        </w:rPr>
        <w:t>od dnia wejścia w życie przepisów projektowanej ustawy do dnia 31 grudnia 2025 r.,</w:t>
      </w:r>
      <w:r w:rsidRPr="00EB557C">
        <w:rPr>
          <w:rFonts w:cs="Times New Roman"/>
          <w:szCs w:val="24"/>
        </w:rPr>
        <w:t xml:space="preserve"> tj. okresu, w którym prawodawca unijny dopuścił możliwość korzystania z prawa do gwarantowanego odbioru energii przez sprzedawcę zobowiązanego oraz zwolnienia z obciążeń finansowych w zakresie bilansowania handlowego dla instalacji o łącznej mocy zainstalowanej elektrycznej do 400 kW – sytuację tę adresuje przepis epizodyczny – dodawany w art. 184o ustawy o OZE. Zgodnie z tą regulacją, we wskazanym okresie przejściowym, instalacje OZE o łącznej zainstalowanej mocy elektrycznej będą mogły wejść do systemu wsparcia</w:t>
      </w:r>
      <w:r w:rsidR="000F70EB" w:rsidRPr="00EB557C">
        <w:rPr>
          <w:rFonts w:cs="Times New Roman"/>
          <w:szCs w:val="24"/>
        </w:rPr>
        <w:t>;</w:t>
      </w:r>
      <w:r w:rsidRPr="00EB557C">
        <w:rPr>
          <w:rFonts w:cs="Times New Roman"/>
          <w:szCs w:val="24"/>
        </w:rPr>
        <w:t xml:space="preserve"> </w:t>
      </w:r>
    </w:p>
    <w:p w14:paraId="0D48D397" w14:textId="470303E1" w:rsidR="008231EF" w:rsidRPr="00EB557C" w:rsidRDefault="3A134619" w:rsidP="00532F7E">
      <w:pPr>
        <w:numPr>
          <w:ilvl w:val="0"/>
          <w:numId w:val="18"/>
        </w:numPr>
        <w:spacing w:before="120" w:after="0"/>
        <w:ind w:left="426" w:hanging="426"/>
        <w:rPr>
          <w:rFonts w:cs="Times New Roman"/>
          <w:szCs w:val="24"/>
        </w:rPr>
      </w:pPr>
      <w:r w:rsidRPr="00EB557C">
        <w:rPr>
          <w:rFonts w:cs="Times New Roman"/>
          <w:szCs w:val="24"/>
          <w:u w:val="single"/>
        </w:rPr>
        <w:t xml:space="preserve">od dnia 1 stycznia 2026 r., </w:t>
      </w:r>
      <w:r w:rsidRPr="00EB557C">
        <w:rPr>
          <w:rFonts w:cs="Times New Roman"/>
          <w:szCs w:val="24"/>
        </w:rPr>
        <w:t>tj. okresu, w którym prawodawca unijny dopuścił możliwość korzystania z prawa do gwarantowanego odbioru energii przez sprzedawcę zobowiązanego oraz zwolnienia z obciążeń finansowych w zakresie bilansowania handlowego dla instalacji o łącznej mocy zainstalowanej elektrycznej do 200 kW. Ponieważ zgodnie z obowiązującym stanem prawnym na poziomie unijnym jest to rozwiązanie docelowe, zdecydowano się wprowadzić je w kolejnych przepisach materialnych ustawy o OZE, zastępując wartością 200 kW obowiązującą obecnie wartość 500 kW.</w:t>
      </w:r>
    </w:p>
    <w:p w14:paraId="1EFB8199" w14:textId="3A622934" w:rsidR="3A134619" w:rsidRPr="00EB557C" w:rsidRDefault="3A134619" w:rsidP="00532F7E">
      <w:pPr>
        <w:spacing w:before="120" w:after="0"/>
        <w:ind w:firstLine="0"/>
        <w:rPr>
          <w:rFonts w:cs="Times New Roman"/>
          <w:szCs w:val="24"/>
        </w:rPr>
      </w:pPr>
      <w:r w:rsidRPr="00EB557C">
        <w:rPr>
          <w:rFonts w:cs="Times New Roman"/>
          <w:szCs w:val="24"/>
        </w:rPr>
        <w:t>Należy wyjaśnić, że projektodawca zdecydował o zamieszczeniu omawianej regulacji w przepisie epizodycznym (dodawanym art. 184o ustawy o OZE), aby w jednej nowelizacji ustawy o OZE (czyli przedmiotowym projekcie), kompleksowo uregulować etapowe dostosowanie w tym zakresie przepisów krajowych do regulacji unijnych i uniknąć procedowania w krótkim odstępie czasu kolejnej, analogicznej nowelizacji, która ponownie dostosowywałaby przepisy do docelowych wartości dozwolonych przepisami unijnymi.</w:t>
      </w:r>
    </w:p>
    <w:p w14:paraId="1D6B9BF6" w14:textId="76E8AC12" w:rsidR="3A134619" w:rsidRPr="00EB557C" w:rsidRDefault="3A134619" w:rsidP="00532F7E">
      <w:pPr>
        <w:spacing w:before="120" w:after="0"/>
        <w:ind w:firstLine="0"/>
        <w:rPr>
          <w:rFonts w:cs="Times New Roman"/>
          <w:szCs w:val="24"/>
        </w:rPr>
      </w:pPr>
      <w:r w:rsidRPr="00EB557C">
        <w:rPr>
          <w:rFonts w:cs="Times New Roman"/>
          <w:szCs w:val="24"/>
        </w:rPr>
        <w:t>Wyjaśnić należy, że z</w:t>
      </w:r>
      <w:r w:rsidR="032EE11F" w:rsidRPr="00EB557C">
        <w:rPr>
          <w:rFonts w:cs="Times New Roman"/>
          <w:szCs w:val="24"/>
        </w:rPr>
        <w:t xml:space="preserve"> uwagi na systematykę zmienianej ustawy i umiejscowienie oraz epizodyczny charakter dodawanego art. 184o</w:t>
      </w:r>
      <w:r w:rsidR="2E607EA8" w:rsidRPr="00EB557C">
        <w:rPr>
          <w:rFonts w:cs="Times New Roman"/>
          <w:szCs w:val="24"/>
        </w:rPr>
        <w:t xml:space="preserve"> ustawy o OZE</w:t>
      </w:r>
      <w:r w:rsidR="032EE11F" w:rsidRPr="00EB557C">
        <w:rPr>
          <w:rFonts w:cs="Times New Roman"/>
          <w:szCs w:val="24"/>
        </w:rPr>
        <w:t>, w okresie jego obowiązywania, określona w nim moc zainstalowana elektryczna (400 kW) stosuje się w wyliczonych w nim przepisach oraz w jednostkach redakcyjnych, które do tych przepisów odsyłają.</w:t>
      </w:r>
    </w:p>
    <w:p w14:paraId="5D1AC121" w14:textId="4CBA5B6A" w:rsidR="38DDC2A7" w:rsidRPr="00EB557C" w:rsidRDefault="38DDC2A7" w:rsidP="00532F7E">
      <w:pPr>
        <w:spacing w:before="120" w:after="0"/>
        <w:ind w:firstLine="0"/>
        <w:rPr>
          <w:rFonts w:cs="Times New Roman"/>
          <w:b/>
          <w:bCs/>
          <w:szCs w:val="24"/>
        </w:rPr>
      </w:pPr>
      <w:r w:rsidRPr="00EB557C">
        <w:rPr>
          <w:rFonts w:cs="Times New Roman"/>
          <w:b/>
          <w:bCs/>
          <w:szCs w:val="24"/>
        </w:rPr>
        <w:t>Zmiany w zakresie cen ujemnych i rozliczania wytwórców w systemach wsparcia</w:t>
      </w:r>
    </w:p>
    <w:p w14:paraId="38EF964D" w14:textId="01DB6DEC" w:rsidR="3A134619" w:rsidRPr="00EB557C" w:rsidRDefault="032EE11F" w:rsidP="00532F7E">
      <w:pPr>
        <w:spacing w:before="120" w:after="0"/>
        <w:ind w:firstLine="0"/>
        <w:rPr>
          <w:rFonts w:cs="Times New Roman"/>
          <w:szCs w:val="24"/>
        </w:rPr>
      </w:pPr>
      <w:r w:rsidRPr="00EB557C">
        <w:rPr>
          <w:rFonts w:cs="Times New Roman"/>
          <w:szCs w:val="24"/>
        </w:rPr>
        <w:lastRenderedPageBreak/>
        <w:t xml:space="preserve">Dodatkowo, na podstawie przepisów art. 42 ust. 6 rozporządzenia GBER i pkt 123 wytycznych CEAAG konieczne </w:t>
      </w:r>
      <w:r w:rsidR="69537649" w:rsidRPr="00EB557C">
        <w:rPr>
          <w:rFonts w:cs="Times New Roman"/>
          <w:szCs w:val="24"/>
        </w:rPr>
        <w:t xml:space="preserve">jest </w:t>
      </w:r>
      <w:r w:rsidRPr="00EB557C">
        <w:rPr>
          <w:rFonts w:cs="Times New Roman"/>
          <w:szCs w:val="24"/>
        </w:rPr>
        <w:t>dokonanie zmian w obrębie rozliczenia przez wytwórców otrzymujących wsparcie cen ujemnych we wszystkich systemach wsparcia. W tym kontekście prawodawca unijny wprost wskazał w rozporządzeniu GBER, że pomocy nie wypłaca się w odniesieniu do żadnego okresu obowiązywania ujemnych cen i doprecyzował, że dla uniknięcia wątpliwości powyższe ma zastosowanie od chwili osiągnięcia ujemnej wartości cen. Z uwagi na powyższe</w:t>
      </w:r>
      <w:r w:rsidR="00866EF2" w:rsidRPr="00EB557C">
        <w:rPr>
          <w:rFonts w:cs="Times New Roman"/>
          <w:szCs w:val="24"/>
        </w:rPr>
        <w:t>,</w:t>
      </w:r>
      <w:r w:rsidRPr="00EB557C">
        <w:rPr>
          <w:rFonts w:cs="Times New Roman"/>
          <w:szCs w:val="24"/>
        </w:rPr>
        <w:t xml:space="preserve"> oraz </w:t>
      </w:r>
      <w:r w:rsidR="00866EF2" w:rsidRPr="00EB557C">
        <w:rPr>
          <w:rFonts w:cs="Times New Roman"/>
          <w:szCs w:val="24"/>
        </w:rPr>
        <w:t xml:space="preserve">w celu </w:t>
      </w:r>
      <w:r w:rsidRPr="00EB557C">
        <w:rPr>
          <w:rFonts w:cs="Times New Roman"/>
          <w:szCs w:val="24"/>
        </w:rPr>
        <w:t>zapewnieni</w:t>
      </w:r>
      <w:r w:rsidR="00866EF2" w:rsidRPr="00EB557C">
        <w:rPr>
          <w:rFonts w:cs="Times New Roman"/>
          <w:szCs w:val="24"/>
        </w:rPr>
        <w:t>a</w:t>
      </w:r>
      <w:r w:rsidRPr="00EB557C">
        <w:rPr>
          <w:rFonts w:cs="Times New Roman"/>
          <w:szCs w:val="24"/>
        </w:rPr>
        <w:t xml:space="preserve"> równego traktowania podmiotów w systemach wsparcia, niezbędne stało się dokonanie zmian w obszarze art. 93 ust. 5</w:t>
      </w:r>
      <w:r w:rsidR="3F875F14" w:rsidRPr="00EB557C">
        <w:rPr>
          <w:rFonts w:cs="Times New Roman"/>
          <w:szCs w:val="24"/>
        </w:rPr>
        <w:t xml:space="preserve"> </w:t>
      </w:r>
      <w:r w:rsidRPr="00EB557C">
        <w:rPr>
          <w:rFonts w:cs="Times New Roman"/>
          <w:szCs w:val="24"/>
        </w:rPr>
        <w:t xml:space="preserve">obowiązujących przepisów ustawy o OZE i konsekwentnie w ust. 6 i 6a tego artykułu. </w:t>
      </w:r>
    </w:p>
    <w:p w14:paraId="74FB58E1" w14:textId="28909170" w:rsidR="7110DF12" w:rsidRPr="00EB557C" w:rsidRDefault="7110DF12" w:rsidP="00532F7E">
      <w:pPr>
        <w:spacing w:before="120" w:after="0"/>
        <w:ind w:firstLine="0"/>
        <w:rPr>
          <w:rFonts w:cs="Times New Roman"/>
          <w:b/>
          <w:bCs/>
          <w:szCs w:val="24"/>
        </w:rPr>
      </w:pPr>
      <w:r w:rsidRPr="00EB557C">
        <w:rPr>
          <w:rFonts w:cs="Times New Roman"/>
          <w:b/>
          <w:bCs/>
          <w:szCs w:val="24"/>
        </w:rPr>
        <w:t>Przepisy przejściowe</w:t>
      </w:r>
      <w:r w:rsidR="00866EF2" w:rsidRPr="00EB557C">
        <w:rPr>
          <w:rFonts w:cs="Times New Roman"/>
          <w:b/>
          <w:bCs/>
          <w:szCs w:val="24"/>
        </w:rPr>
        <w:t>,</w:t>
      </w:r>
      <w:r w:rsidRPr="00EB557C">
        <w:rPr>
          <w:rFonts w:cs="Times New Roman"/>
          <w:b/>
          <w:bCs/>
          <w:szCs w:val="24"/>
        </w:rPr>
        <w:t xml:space="preserve"> w tym powiązane z przepisami epizodycznymi </w:t>
      </w:r>
    </w:p>
    <w:p w14:paraId="00865A54" w14:textId="33CB8675" w:rsidR="00866EF2" w:rsidRPr="00EB557C" w:rsidRDefault="30D1BE95" w:rsidP="00532F7E">
      <w:pPr>
        <w:spacing w:before="120" w:after="0"/>
        <w:ind w:firstLine="0"/>
        <w:rPr>
          <w:rFonts w:cs="Times New Roman"/>
          <w:szCs w:val="24"/>
        </w:rPr>
      </w:pPr>
      <w:r w:rsidRPr="00EB557C">
        <w:rPr>
          <w:rFonts w:cs="Times New Roman"/>
          <w:szCs w:val="24"/>
        </w:rPr>
        <w:t xml:space="preserve">Ponadto, konieczne było wprowadzenie przepisów przejściowych dotyczących obydwu ww. etapów zmian w systemach wsparcia, </w:t>
      </w:r>
      <w:r w:rsidR="49386D07" w:rsidRPr="00EB557C">
        <w:rPr>
          <w:rFonts w:cs="Times New Roman"/>
          <w:szCs w:val="24"/>
        </w:rPr>
        <w:t xml:space="preserve">co ujęto w </w:t>
      </w:r>
      <w:r w:rsidRPr="00EB557C">
        <w:rPr>
          <w:rFonts w:cs="Times New Roman"/>
          <w:szCs w:val="24"/>
        </w:rPr>
        <w:t>art. 1</w:t>
      </w:r>
      <w:r w:rsidR="00A37329" w:rsidRPr="00EB557C">
        <w:rPr>
          <w:rFonts w:cs="Times New Roman"/>
          <w:szCs w:val="24"/>
        </w:rPr>
        <w:t>8</w:t>
      </w:r>
      <w:r w:rsidR="00CD4846">
        <w:rPr>
          <w:rFonts w:cs="Times New Roman"/>
          <w:szCs w:val="24"/>
        </w:rPr>
        <w:t>–</w:t>
      </w:r>
      <w:r w:rsidRPr="00EB557C">
        <w:rPr>
          <w:rFonts w:cs="Times New Roman"/>
          <w:szCs w:val="24"/>
        </w:rPr>
        <w:t>2</w:t>
      </w:r>
      <w:r w:rsidR="004732AB" w:rsidRPr="00EB557C">
        <w:rPr>
          <w:rFonts w:cs="Times New Roman"/>
          <w:szCs w:val="24"/>
        </w:rPr>
        <w:t>1</w:t>
      </w:r>
      <w:r w:rsidR="32E89791" w:rsidRPr="00EB557C">
        <w:rPr>
          <w:rFonts w:cs="Times New Roman"/>
          <w:szCs w:val="24"/>
        </w:rPr>
        <w:t xml:space="preserve"> projektu</w:t>
      </w:r>
      <w:r w:rsidRPr="00EB557C">
        <w:rPr>
          <w:rFonts w:cs="Times New Roman"/>
          <w:szCs w:val="24"/>
        </w:rPr>
        <w:t>.</w:t>
      </w:r>
    </w:p>
    <w:p w14:paraId="23A794A8" w14:textId="468A323C" w:rsidR="3A134619" w:rsidRPr="00EB557C" w:rsidRDefault="30D1BE95" w:rsidP="00532F7E">
      <w:pPr>
        <w:spacing w:before="120" w:after="0"/>
        <w:ind w:firstLine="0"/>
        <w:rPr>
          <w:rFonts w:cs="Times New Roman"/>
          <w:szCs w:val="24"/>
        </w:rPr>
      </w:pPr>
      <w:r w:rsidRPr="00EB557C">
        <w:rPr>
          <w:rFonts w:cs="Times New Roman"/>
          <w:szCs w:val="24"/>
        </w:rPr>
        <w:t>Art. 1</w:t>
      </w:r>
      <w:r w:rsidR="003E1423" w:rsidRPr="00EB557C">
        <w:rPr>
          <w:rFonts w:cs="Times New Roman"/>
          <w:szCs w:val="24"/>
        </w:rPr>
        <w:t>8</w:t>
      </w:r>
      <w:r w:rsidRPr="00EB557C">
        <w:rPr>
          <w:rFonts w:cs="Times New Roman"/>
          <w:szCs w:val="24"/>
        </w:rPr>
        <w:t xml:space="preserve"> </w:t>
      </w:r>
      <w:r w:rsidR="09D9562E" w:rsidRPr="00EB557C">
        <w:rPr>
          <w:rFonts w:cs="Times New Roman"/>
          <w:szCs w:val="24"/>
        </w:rPr>
        <w:t>projektu</w:t>
      </w:r>
      <w:r w:rsidR="21AE7CF1" w:rsidRPr="00EB557C">
        <w:rPr>
          <w:rFonts w:cs="Times New Roman"/>
          <w:szCs w:val="24"/>
        </w:rPr>
        <w:t xml:space="preserve"> u</w:t>
      </w:r>
      <w:r w:rsidRPr="00EB557C">
        <w:rPr>
          <w:rFonts w:cs="Times New Roman"/>
          <w:szCs w:val="24"/>
        </w:rPr>
        <w:t xml:space="preserve">stawy reguluje status wytwórców w instalacji odnawialnego źródła energii o łącznej mocy zainstalowanej elektrycznej równej lub większej </w:t>
      </w:r>
      <w:r w:rsidR="00D93D4A" w:rsidRPr="00EB557C">
        <w:rPr>
          <w:rFonts w:cs="Times New Roman"/>
          <w:szCs w:val="24"/>
        </w:rPr>
        <w:t>niż 2</w:t>
      </w:r>
      <w:r w:rsidRPr="00EB557C">
        <w:rPr>
          <w:rFonts w:cs="Times New Roman"/>
          <w:szCs w:val="24"/>
        </w:rPr>
        <w:t>00 kW, ale mniejszej niż 500 kW, dotyczy zatem przejścia ze stosowania przepisów ustawy OZE w obecnym brzmieniu na stosowanie regulacji epizodycznej, czyli dodawanego art. 184o</w:t>
      </w:r>
      <w:r w:rsidR="5C83FA54" w:rsidRPr="00EB557C">
        <w:rPr>
          <w:rFonts w:cs="Times New Roman"/>
          <w:szCs w:val="24"/>
        </w:rPr>
        <w:t xml:space="preserve"> ustawy o OZE.</w:t>
      </w:r>
    </w:p>
    <w:p w14:paraId="161DB446" w14:textId="349538D5" w:rsidR="00437370" w:rsidRPr="00EB557C" w:rsidRDefault="30D1BE95" w:rsidP="00532F7E">
      <w:pPr>
        <w:spacing w:before="120" w:after="0"/>
        <w:ind w:firstLine="0"/>
        <w:rPr>
          <w:rFonts w:cs="Times New Roman"/>
          <w:szCs w:val="24"/>
        </w:rPr>
      </w:pPr>
      <w:r w:rsidRPr="00EB557C">
        <w:rPr>
          <w:rFonts w:cs="Times New Roman"/>
          <w:szCs w:val="24"/>
        </w:rPr>
        <w:t xml:space="preserve">Zgodnie z tym przepisem, wytwórcy w instalacjach o ww. mocy, którzy przed dniem wejścia w życie niniejszej ustawy weszli do systemów wsparcia </w:t>
      </w:r>
      <w:r w:rsidR="5C0F10E9" w:rsidRPr="00EB557C">
        <w:rPr>
          <w:rFonts w:cs="Times New Roman"/>
          <w:szCs w:val="24"/>
        </w:rPr>
        <w:t>FiT</w:t>
      </w:r>
      <w:r w:rsidRPr="00EB557C">
        <w:rPr>
          <w:rFonts w:cs="Times New Roman"/>
          <w:szCs w:val="24"/>
        </w:rPr>
        <w:t xml:space="preserve"> lub aukcyjnego (uzyskali zaświadczenie albo wygrali aukcję) i zdecydowali się korzystać z zakupu energii i bilansowania przez sprzedawcę zobowiązanego, zachowują swoje nabyte uprawnienia (stosuje się do nich przepisy dotychczasowe).</w:t>
      </w:r>
      <w:r w:rsidR="00EB6D8A" w:rsidRPr="00EB557C">
        <w:rPr>
          <w:rFonts w:cs="Times New Roman"/>
          <w:szCs w:val="24"/>
        </w:rPr>
        <w:t xml:space="preserve"> </w:t>
      </w:r>
      <w:r w:rsidRPr="00EB557C">
        <w:rPr>
          <w:rFonts w:cs="Times New Roman"/>
          <w:szCs w:val="24"/>
        </w:rPr>
        <w:t xml:space="preserve">Jednakże, mając na uwadze konieczność pogodzenia ochrony praw nabytych wskazanych wytwórców oraz zapewnienia zgodności z celem regulacji unijnych, utrzymanie dotychczasowych uprawnień nie będzie bezwarunkowe i bezterminowe. Mianowicie, w ust. 2 i 3 projektodawca określił, że jeżeli wytwórca w instalacji OZE o łącznej mocy zainstalowanej elektrycznej równej lub większej </w:t>
      </w:r>
      <w:r w:rsidR="001F5772" w:rsidRPr="00EB557C">
        <w:rPr>
          <w:rFonts w:cs="Times New Roman"/>
          <w:szCs w:val="24"/>
        </w:rPr>
        <w:t>niż 2</w:t>
      </w:r>
      <w:r w:rsidRPr="00EB557C">
        <w:rPr>
          <w:rFonts w:cs="Times New Roman"/>
          <w:szCs w:val="24"/>
        </w:rPr>
        <w:t xml:space="preserve">00 kW, ale mniejszej niż 500 kW, który na podstawie ust. 1 zachował możliwość korzystania z bilansowania przez sprzedawcę zobowiązanego, mimo wejścia do systemu wsparcia, nie wytworzy energii elektrycznej do </w:t>
      </w:r>
      <w:r w:rsidR="001F5772" w:rsidRPr="00EB557C">
        <w:rPr>
          <w:rFonts w:cs="Times New Roman"/>
          <w:szCs w:val="24"/>
        </w:rPr>
        <w:t xml:space="preserve">dnia 31 grudnia </w:t>
      </w:r>
      <w:r w:rsidRPr="00EB557C">
        <w:rPr>
          <w:rFonts w:cs="Times New Roman"/>
          <w:szCs w:val="24"/>
        </w:rPr>
        <w:t>202</w:t>
      </w:r>
      <w:r w:rsidR="001F5772" w:rsidRPr="00EB557C">
        <w:rPr>
          <w:rFonts w:cs="Times New Roman"/>
          <w:szCs w:val="24"/>
        </w:rPr>
        <w:t>5</w:t>
      </w:r>
      <w:r w:rsidRPr="00EB557C">
        <w:rPr>
          <w:rFonts w:cs="Times New Roman"/>
          <w:szCs w:val="24"/>
        </w:rPr>
        <w:t xml:space="preserve"> r., traci to uprawnienie</w:t>
      </w:r>
      <w:r w:rsidR="00A6670A" w:rsidRPr="00EB557C">
        <w:rPr>
          <w:rFonts w:cs="Times New Roman"/>
          <w:szCs w:val="24"/>
        </w:rPr>
        <w:t xml:space="preserve"> od dnia 1 stycznia 2026 r.</w:t>
      </w:r>
      <w:r w:rsidRPr="00EB557C">
        <w:rPr>
          <w:rFonts w:cs="Times New Roman"/>
          <w:szCs w:val="24"/>
        </w:rPr>
        <w:t xml:space="preserve"> (w przypadku systemu aukcyjnego opiera się ono na umowie, o której mowa w art. 82 ust. 1 ustawy </w:t>
      </w:r>
      <w:r w:rsidR="3AA6116B" w:rsidRPr="00EB557C">
        <w:rPr>
          <w:rFonts w:cs="Times New Roman"/>
          <w:szCs w:val="24"/>
        </w:rPr>
        <w:t xml:space="preserve">o </w:t>
      </w:r>
      <w:r w:rsidRPr="00EB557C">
        <w:rPr>
          <w:rFonts w:cs="Times New Roman"/>
          <w:szCs w:val="24"/>
        </w:rPr>
        <w:t>OZE, stąd też w przepisie przejściowym odniesiono się do tej umowy</w:t>
      </w:r>
      <w:r w:rsidR="00A6670A" w:rsidRPr="00EB557C">
        <w:rPr>
          <w:rFonts w:cs="Times New Roman"/>
          <w:szCs w:val="24"/>
        </w:rPr>
        <w:t xml:space="preserve"> i jej wygaśnięcia</w:t>
      </w:r>
      <w:r w:rsidRPr="00EB557C">
        <w:rPr>
          <w:rFonts w:cs="Times New Roman"/>
          <w:szCs w:val="24"/>
        </w:rPr>
        <w:t>).</w:t>
      </w:r>
    </w:p>
    <w:p w14:paraId="11710DA2" w14:textId="6865B4E9" w:rsidR="00EC0600" w:rsidRPr="00EB557C" w:rsidRDefault="30D1BE95" w:rsidP="00532F7E">
      <w:pPr>
        <w:spacing w:before="120" w:after="0"/>
        <w:ind w:firstLine="0"/>
        <w:rPr>
          <w:rFonts w:cs="Times New Roman"/>
          <w:szCs w:val="24"/>
        </w:rPr>
      </w:pPr>
      <w:r w:rsidRPr="00EB557C">
        <w:rPr>
          <w:rFonts w:cs="Times New Roman"/>
          <w:szCs w:val="24"/>
        </w:rPr>
        <w:t xml:space="preserve">Jednakże tacy wytwórcy będą mogli pozostać w systemach wsparcia, do których zostali dopuszczeni, jeśli zdecydują się na zmianę warunków uczestnictwa w nich, tj. na sprzedaż </w:t>
      </w:r>
      <w:r w:rsidRPr="00EB557C">
        <w:rPr>
          <w:rFonts w:cs="Times New Roman"/>
          <w:szCs w:val="24"/>
        </w:rPr>
        <w:lastRenderedPageBreak/>
        <w:t xml:space="preserve">energii elektrycznej sprzedawcy wybranemu </w:t>
      </w:r>
      <w:r w:rsidR="00906FF0" w:rsidRPr="00EB557C">
        <w:rPr>
          <w:rFonts w:cs="Times New Roman"/>
          <w:szCs w:val="24"/>
        </w:rPr>
        <w:t xml:space="preserve">– </w:t>
      </w:r>
      <w:r w:rsidRPr="00EB557C">
        <w:rPr>
          <w:rFonts w:cs="Times New Roman"/>
          <w:szCs w:val="24"/>
        </w:rPr>
        <w:t>innemu niż zobowiązany i w tym celu, w terminie określonym w art. 1</w:t>
      </w:r>
      <w:r w:rsidR="009A7A9E" w:rsidRPr="00EB557C">
        <w:rPr>
          <w:rFonts w:cs="Times New Roman"/>
          <w:szCs w:val="24"/>
        </w:rPr>
        <w:t>8</w:t>
      </w:r>
      <w:r w:rsidRPr="00EB557C">
        <w:rPr>
          <w:rFonts w:cs="Times New Roman"/>
          <w:szCs w:val="24"/>
        </w:rPr>
        <w:t xml:space="preserve"> ust. 4 </w:t>
      </w:r>
      <w:r w:rsidR="6666901B" w:rsidRPr="00EB557C">
        <w:rPr>
          <w:rFonts w:cs="Times New Roman"/>
          <w:szCs w:val="24"/>
        </w:rPr>
        <w:t xml:space="preserve">projektu </w:t>
      </w:r>
      <w:r w:rsidRPr="00EB557C">
        <w:rPr>
          <w:rFonts w:cs="Times New Roman"/>
          <w:szCs w:val="24"/>
        </w:rPr>
        <w:t>ustawy, złożą Prezesowi URE</w:t>
      </w:r>
      <w:r w:rsidR="0034479E" w:rsidRPr="00EB557C">
        <w:rPr>
          <w:rFonts w:cs="Times New Roman"/>
          <w:szCs w:val="24"/>
        </w:rPr>
        <w:t xml:space="preserve"> odpowiednio zmienioną deklarację lub zaktualizowaną ofertę aukcyjną</w:t>
      </w:r>
      <w:r w:rsidR="00C720D4" w:rsidRPr="00EB557C">
        <w:rPr>
          <w:rFonts w:cs="Times New Roman"/>
          <w:szCs w:val="24"/>
        </w:rPr>
        <w:t xml:space="preserve"> w zakresie opisanym powyżej</w:t>
      </w:r>
      <w:r w:rsidRPr="00EB557C">
        <w:rPr>
          <w:rFonts w:cs="Times New Roman"/>
          <w:szCs w:val="24"/>
        </w:rPr>
        <w:t>. Dzięki takiemu rozwiązaniu wytwórcy, którzy mimo zmiany warunków będą nadal chcie</w:t>
      </w:r>
      <w:r w:rsidR="0062435C" w:rsidRPr="00EB557C">
        <w:rPr>
          <w:rFonts w:cs="Times New Roman"/>
          <w:szCs w:val="24"/>
        </w:rPr>
        <w:t>li</w:t>
      </w:r>
      <w:r w:rsidRPr="00EB557C">
        <w:rPr>
          <w:rFonts w:cs="Times New Roman"/>
          <w:szCs w:val="24"/>
        </w:rPr>
        <w:t xml:space="preserve"> korzystać z systemu wsparcia, nie będą musie</w:t>
      </w:r>
      <w:r w:rsidR="0062435C" w:rsidRPr="00EB557C">
        <w:rPr>
          <w:rFonts w:cs="Times New Roman"/>
          <w:szCs w:val="24"/>
        </w:rPr>
        <w:t>li</w:t>
      </w:r>
      <w:r w:rsidRPr="00EB557C">
        <w:rPr>
          <w:rFonts w:cs="Times New Roman"/>
          <w:szCs w:val="24"/>
        </w:rPr>
        <w:t xml:space="preserve"> ponownie przechodzić procedury kwalifikacyjnej, co stanowi dla nich istotne ułatwienie. Dopiero w przypadku niezłożenia </w:t>
      </w:r>
      <w:r w:rsidR="00D3626C" w:rsidRPr="00EB557C">
        <w:rPr>
          <w:rFonts w:cs="Times New Roman"/>
          <w:szCs w:val="24"/>
        </w:rPr>
        <w:t xml:space="preserve">zmienionej </w:t>
      </w:r>
      <w:r w:rsidR="00550F76" w:rsidRPr="00EB557C">
        <w:rPr>
          <w:rFonts w:cs="Times New Roman"/>
          <w:szCs w:val="24"/>
        </w:rPr>
        <w:t xml:space="preserve">deklaracji lub </w:t>
      </w:r>
      <w:r w:rsidR="00D3626C" w:rsidRPr="00EB557C">
        <w:rPr>
          <w:rFonts w:cs="Times New Roman"/>
          <w:szCs w:val="24"/>
        </w:rPr>
        <w:t xml:space="preserve">zaktualizowanej </w:t>
      </w:r>
      <w:r w:rsidR="00550F76" w:rsidRPr="00EB557C">
        <w:rPr>
          <w:rFonts w:cs="Times New Roman"/>
          <w:szCs w:val="24"/>
        </w:rPr>
        <w:t>oferty</w:t>
      </w:r>
      <w:r w:rsidRPr="00EB557C">
        <w:rPr>
          <w:rFonts w:cs="Times New Roman"/>
          <w:szCs w:val="24"/>
        </w:rPr>
        <w:t>, dany wytwórca straci prawo do korzystania z systemu wsparcia.</w:t>
      </w:r>
    </w:p>
    <w:p w14:paraId="047EF222" w14:textId="19CA5A5E" w:rsidR="00EC0600" w:rsidRPr="00EB557C" w:rsidRDefault="30D1BE95" w:rsidP="00532F7E">
      <w:pPr>
        <w:spacing w:before="120" w:after="0"/>
        <w:ind w:firstLine="0"/>
        <w:rPr>
          <w:rFonts w:cs="Times New Roman"/>
          <w:szCs w:val="24"/>
        </w:rPr>
      </w:pPr>
      <w:r w:rsidRPr="00EB557C">
        <w:rPr>
          <w:rFonts w:cs="Times New Roman"/>
          <w:szCs w:val="24"/>
        </w:rPr>
        <w:t xml:space="preserve">W opinii projektodawcy wprowadzana regulacja </w:t>
      </w:r>
      <w:r w:rsidR="4C73A7A0" w:rsidRPr="00EB557C">
        <w:rPr>
          <w:rFonts w:cs="Times New Roman"/>
          <w:szCs w:val="24"/>
        </w:rPr>
        <w:t xml:space="preserve">uwzględnia </w:t>
      </w:r>
      <w:r w:rsidRPr="00EB557C">
        <w:rPr>
          <w:rFonts w:cs="Times New Roman"/>
          <w:szCs w:val="24"/>
        </w:rPr>
        <w:t>szereg wartości i celów, które należy uwzględnić w przedmiotowej sytuacji, tj. interes i ochronę praw nabytych wytwórców, konieczność zapewnienia zgodności z przepisami unijnymi oraz cele ustawodawcy w zakresie systemów wsparcia OZE. Należy bowiem mieć na uwadze, że celem wprowadzenia systemów wsparcia OZE było doprowadzenie do wytwarzania dzięki nim jak największej ilości energii elektrycznej z odnawialnych źródeł, stąd we wszystkich systemach istotnym elementem jest zobowiązanie się wytwórcy do wytworzenia energii po raz pierwszy w konkretnym terminie. Zatem wytwórcy, którzy zostaną dopuszczeni do systemu wsparcia i nie realizują tego obowiązku, nie wywiązują się z postawionych przed nimi celów, ich trwanie w systemie wsparcia stoi zatem w sprzeczności z celami ustawy o OZE. W związku z tym, projektodawca zdecydował się na wprowadzenie omówionych ograniczeń, co jest przejawem zapewnienia funkcjonalnej zgodności regulacji z przepisami unijnymi oraz celami prawodawcy unijnego i Polski w zakresie zwiększania udziału OZE w końcowym zużyciu energii brutto.</w:t>
      </w:r>
    </w:p>
    <w:p w14:paraId="284887E9" w14:textId="4FBF6FDE" w:rsidR="3A134619" w:rsidRPr="00EB557C" w:rsidRDefault="30D1BE95" w:rsidP="00532F7E">
      <w:pPr>
        <w:spacing w:before="120" w:after="0"/>
        <w:ind w:firstLine="0"/>
        <w:rPr>
          <w:rFonts w:cs="Times New Roman"/>
          <w:szCs w:val="24"/>
        </w:rPr>
      </w:pPr>
      <w:r w:rsidRPr="00EB557C">
        <w:rPr>
          <w:rFonts w:cs="Times New Roman"/>
          <w:szCs w:val="24"/>
        </w:rPr>
        <w:t xml:space="preserve">Art. </w:t>
      </w:r>
      <w:r w:rsidR="00E261A7" w:rsidRPr="00EB557C">
        <w:rPr>
          <w:rFonts w:cs="Times New Roman"/>
          <w:szCs w:val="24"/>
        </w:rPr>
        <w:t>19</w:t>
      </w:r>
      <w:r w:rsidRPr="00EB557C">
        <w:rPr>
          <w:rFonts w:cs="Times New Roman"/>
          <w:szCs w:val="24"/>
        </w:rPr>
        <w:t xml:space="preserve"> projekt</w:t>
      </w:r>
      <w:r w:rsidR="061E9EBF" w:rsidRPr="00EB557C">
        <w:rPr>
          <w:rFonts w:cs="Times New Roman"/>
          <w:szCs w:val="24"/>
        </w:rPr>
        <w:t>u</w:t>
      </w:r>
      <w:r w:rsidRPr="00EB557C">
        <w:rPr>
          <w:rFonts w:cs="Times New Roman"/>
          <w:szCs w:val="24"/>
        </w:rPr>
        <w:t xml:space="preserve"> powiela rozwiązania zastosowane w </w:t>
      </w:r>
      <w:r w:rsidR="01EAE2AF" w:rsidRPr="00EB557C">
        <w:rPr>
          <w:rFonts w:cs="Times New Roman"/>
          <w:szCs w:val="24"/>
        </w:rPr>
        <w:t xml:space="preserve">ww. </w:t>
      </w:r>
      <w:r w:rsidRPr="00EB557C">
        <w:rPr>
          <w:rFonts w:cs="Times New Roman"/>
          <w:szCs w:val="24"/>
        </w:rPr>
        <w:t>art. 1</w:t>
      </w:r>
      <w:r w:rsidR="00E261A7" w:rsidRPr="00EB557C">
        <w:rPr>
          <w:rFonts w:cs="Times New Roman"/>
          <w:szCs w:val="24"/>
        </w:rPr>
        <w:t>8</w:t>
      </w:r>
      <w:r w:rsidR="4A4089A6" w:rsidRPr="00EB557C">
        <w:rPr>
          <w:rFonts w:cs="Times New Roman"/>
          <w:szCs w:val="24"/>
        </w:rPr>
        <w:t xml:space="preserve"> </w:t>
      </w:r>
      <w:r w:rsidRPr="00EB557C">
        <w:rPr>
          <w:rFonts w:cs="Times New Roman"/>
          <w:szCs w:val="24"/>
        </w:rPr>
        <w:t>i dotyczy analogicznych okoliczności</w:t>
      </w:r>
      <w:r w:rsidR="7D7ED2ED" w:rsidRPr="00EB557C">
        <w:rPr>
          <w:rFonts w:cs="Times New Roman"/>
          <w:szCs w:val="24"/>
        </w:rPr>
        <w:t>.</w:t>
      </w:r>
      <w:r w:rsidRPr="00EB557C">
        <w:rPr>
          <w:rFonts w:cs="Times New Roman"/>
          <w:szCs w:val="24"/>
        </w:rPr>
        <w:t xml:space="preserve"> </w:t>
      </w:r>
      <w:r w:rsidR="3BCBF6AE" w:rsidRPr="00EB557C">
        <w:rPr>
          <w:rFonts w:cs="Times New Roman"/>
          <w:szCs w:val="24"/>
        </w:rPr>
        <w:t>O</w:t>
      </w:r>
      <w:r w:rsidRPr="00EB557C">
        <w:rPr>
          <w:rFonts w:cs="Times New Roman"/>
          <w:szCs w:val="24"/>
        </w:rPr>
        <w:t>dnosi się jednak do wytwórców energii elektrycznej w instalacji odnawialnego źródła energii o łącznej mocy zainstalowanej elektrycznej równej lub większej niż 200 kW, ale mniejszej niż 400 kW</w:t>
      </w:r>
      <w:r w:rsidR="000E6D5C" w:rsidRPr="00EB557C">
        <w:rPr>
          <w:rFonts w:cs="Times New Roman"/>
          <w:szCs w:val="24"/>
        </w:rPr>
        <w:t>, którzy weszli do systemów wsparcia</w:t>
      </w:r>
      <w:r w:rsidR="00E53D74" w:rsidRPr="00EB557C">
        <w:rPr>
          <w:rFonts w:cs="Times New Roman"/>
          <w:szCs w:val="24"/>
        </w:rPr>
        <w:t xml:space="preserve"> </w:t>
      </w:r>
      <w:r w:rsidR="7059A9D3" w:rsidRPr="00EB557C">
        <w:rPr>
          <w:rFonts w:cs="Times New Roman"/>
          <w:szCs w:val="24"/>
        </w:rPr>
        <w:t>FiT</w:t>
      </w:r>
      <w:r w:rsidR="004A73B7" w:rsidRPr="00EB557C">
        <w:rPr>
          <w:rFonts w:cs="Times New Roman"/>
          <w:szCs w:val="24"/>
        </w:rPr>
        <w:t xml:space="preserve"> </w:t>
      </w:r>
      <w:r w:rsidR="03AFA274" w:rsidRPr="00EB557C">
        <w:rPr>
          <w:rFonts w:cs="Times New Roman"/>
          <w:szCs w:val="24"/>
        </w:rPr>
        <w:t>albo</w:t>
      </w:r>
      <w:r w:rsidR="004A73B7" w:rsidRPr="00EB557C">
        <w:rPr>
          <w:rFonts w:cs="Times New Roman"/>
          <w:szCs w:val="24"/>
        </w:rPr>
        <w:t xml:space="preserve"> aukcyjnego </w:t>
      </w:r>
      <w:r w:rsidR="00E53D74" w:rsidRPr="00EB557C">
        <w:rPr>
          <w:rFonts w:cs="Times New Roman"/>
          <w:szCs w:val="24"/>
        </w:rPr>
        <w:t xml:space="preserve">(tj. uzyskali zaświadczenie </w:t>
      </w:r>
      <w:r w:rsidR="03AFA274" w:rsidRPr="00EB557C">
        <w:rPr>
          <w:rFonts w:cs="Times New Roman"/>
          <w:szCs w:val="24"/>
        </w:rPr>
        <w:t>albo</w:t>
      </w:r>
      <w:r w:rsidR="00E53D74" w:rsidRPr="00EB557C">
        <w:rPr>
          <w:rFonts w:cs="Times New Roman"/>
          <w:szCs w:val="24"/>
        </w:rPr>
        <w:t xml:space="preserve"> wygrali aukcję) po dniu wejścia</w:t>
      </w:r>
      <w:r w:rsidR="004A73B7" w:rsidRPr="00EB557C">
        <w:rPr>
          <w:rFonts w:cs="Times New Roman"/>
          <w:szCs w:val="24"/>
        </w:rPr>
        <w:t xml:space="preserve"> w </w:t>
      </w:r>
      <w:r w:rsidR="00461A4F" w:rsidRPr="00EB557C">
        <w:rPr>
          <w:rFonts w:cs="Times New Roman"/>
          <w:szCs w:val="24"/>
        </w:rPr>
        <w:t>ż</w:t>
      </w:r>
      <w:r w:rsidR="004A73B7" w:rsidRPr="00EB557C">
        <w:rPr>
          <w:rFonts w:cs="Times New Roman"/>
          <w:szCs w:val="24"/>
        </w:rPr>
        <w:t>ycie</w:t>
      </w:r>
      <w:r w:rsidR="00E53D74" w:rsidRPr="00EB557C">
        <w:rPr>
          <w:rFonts w:cs="Times New Roman"/>
          <w:szCs w:val="24"/>
        </w:rPr>
        <w:t xml:space="preserve"> projektowanych przepisów</w:t>
      </w:r>
      <w:r w:rsidRPr="00EB557C">
        <w:rPr>
          <w:rFonts w:cs="Times New Roman"/>
          <w:szCs w:val="24"/>
        </w:rPr>
        <w:t xml:space="preserve">. Jest to zatem przepis przejściowy regulujący przejście z etapu opisanego w dodawanym art. 184o ustawy o OZE, do regulacji docelowej (czyli przepisów merytorycznych ustawy o OZE w zmienianym brzmieniu). Przepis ten, w praktyce </w:t>
      </w:r>
      <w:r w:rsidR="5621BF3B" w:rsidRPr="00EB557C">
        <w:rPr>
          <w:rFonts w:cs="Times New Roman"/>
          <w:szCs w:val="24"/>
        </w:rPr>
        <w:t xml:space="preserve">będzie </w:t>
      </w:r>
      <w:r w:rsidRPr="00EB557C">
        <w:rPr>
          <w:rFonts w:cs="Times New Roman"/>
          <w:szCs w:val="24"/>
        </w:rPr>
        <w:t xml:space="preserve">stosowany dopiero </w:t>
      </w:r>
      <w:r w:rsidR="26857C68" w:rsidRPr="00EB557C">
        <w:rPr>
          <w:rFonts w:cs="Times New Roman"/>
          <w:szCs w:val="24"/>
        </w:rPr>
        <w:t xml:space="preserve">od dnia </w:t>
      </w:r>
      <w:r w:rsidRPr="00EB557C">
        <w:rPr>
          <w:rFonts w:cs="Times New Roman"/>
          <w:szCs w:val="24"/>
        </w:rPr>
        <w:t xml:space="preserve">1 stycznia 2026 r. Wówczas bowiem ponownie zmianie ulegną zasady uczestnictwa w systemach wsparcia z możliwością bilansowania handlowego przez sprzedawcę zobowiązanego, analogicznie jak ma to mieć miejsce z dniem wejścia w życie niniejszej ustawy i zmianą maksymalnej łącznej mocy zainstalowanej instalacji OZE z 500 kW na 400 kW. Ponieważ obie regulowane sytuacje będą w praktyce takie same, projektodawca </w:t>
      </w:r>
      <w:r w:rsidRPr="00EB557C">
        <w:rPr>
          <w:rFonts w:cs="Times New Roman"/>
          <w:szCs w:val="24"/>
        </w:rPr>
        <w:lastRenderedPageBreak/>
        <w:t>zdecydował się zastosować do nich te same rozwiązania. Różnice w brzmieniu obu przepisów są podyktowane wyłącznie zasadami legislacji.</w:t>
      </w:r>
    </w:p>
    <w:p w14:paraId="798871B3" w14:textId="7E337BE6" w:rsidR="00D165B9" w:rsidRPr="00EB557C" w:rsidRDefault="30D1BE95" w:rsidP="00532F7E">
      <w:pPr>
        <w:spacing w:before="120" w:after="0"/>
        <w:ind w:firstLine="0"/>
        <w:rPr>
          <w:rFonts w:cs="Times New Roman"/>
          <w:szCs w:val="24"/>
        </w:rPr>
      </w:pPr>
      <w:r w:rsidRPr="00EB557C">
        <w:rPr>
          <w:rFonts w:cs="Times New Roman"/>
          <w:szCs w:val="24"/>
        </w:rPr>
        <w:t>Art. 2</w:t>
      </w:r>
      <w:r w:rsidR="004222EF" w:rsidRPr="00EB557C">
        <w:rPr>
          <w:rFonts w:cs="Times New Roman"/>
          <w:szCs w:val="24"/>
        </w:rPr>
        <w:t>0</w:t>
      </w:r>
      <w:r w:rsidRPr="00EB557C">
        <w:rPr>
          <w:rFonts w:cs="Times New Roman"/>
          <w:szCs w:val="24"/>
        </w:rPr>
        <w:t xml:space="preserve"> </w:t>
      </w:r>
      <w:r w:rsidR="49EE86DB" w:rsidRPr="00EB557C">
        <w:rPr>
          <w:rFonts w:cs="Times New Roman"/>
          <w:szCs w:val="24"/>
        </w:rPr>
        <w:t xml:space="preserve">projektu </w:t>
      </w:r>
      <w:r w:rsidRPr="00EB557C">
        <w:rPr>
          <w:rFonts w:cs="Times New Roman"/>
          <w:szCs w:val="24"/>
        </w:rPr>
        <w:t>rozstrzyga, jakie przepisy</w:t>
      </w:r>
      <w:r w:rsidR="17C3397A" w:rsidRPr="00EB557C">
        <w:rPr>
          <w:rFonts w:cs="Times New Roman"/>
          <w:szCs w:val="24"/>
        </w:rPr>
        <w:t xml:space="preserve"> należy</w:t>
      </w:r>
      <w:r w:rsidRPr="00EB557C">
        <w:rPr>
          <w:rFonts w:cs="Times New Roman"/>
          <w:szCs w:val="24"/>
        </w:rPr>
        <w:t xml:space="preserve"> stosować w sprawach wszczętych i nierozpatrzonych do dnia wejścia w życie ustawy dotyczących dopuszczenia do systemu wsparcia FIT, czyli w praktyce wg jakich przepisów rozpatrywać złożone i nierozpatrzone deklaracje. W celu zapewnienia stosowania przepisów unijnych, projektodawca zdecydował o posłużeniu się w takim przypadku przepisami nowymi. Mając na uwadze wprowadzenie do ustawy okresu przejściowego, tj. art. 184o, w dniu wejścia w życie ustawy, takimi przepisami nowymi będzie regulacja art. 184o, tj. stanowiąca, że sprzedawcy zobowiązanemu sprzedaży energii może dokonać tylko wytwórca energii w instalacji o łącznej mocy zainstalowanej elektrycznej nie większej niż 400 kW. </w:t>
      </w:r>
    </w:p>
    <w:p w14:paraId="767146A2" w14:textId="1DDE43F1" w:rsidR="00685612" w:rsidRPr="00EB557C" w:rsidRDefault="2D3DD6AE" w:rsidP="00532F7E">
      <w:pPr>
        <w:spacing w:before="120" w:after="0"/>
        <w:ind w:firstLine="0"/>
        <w:rPr>
          <w:rFonts w:cs="Times New Roman"/>
          <w:szCs w:val="24"/>
        </w:rPr>
      </w:pPr>
      <w:r w:rsidRPr="00EB557C">
        <w:rPr>
          <w:rFonts w:cs="Times New Roman"/>
          <w:szCs w:val="24"/>
        </w:rPr>
        <w:t xml:space="preserve">Jednakże również w tym przypadku, ustawodawca wprowadza ułatwienie dla wytwórców w instalacji o większej mocy, którzy składając deklarację na podstawie przepisów dotychczasowych </w:t>
      </w:r>
      <w:r w:rsidR="5F9A6D63" w:rsidRPr="00EB557C">
        <w:rPr>
          <w:rFonts w:cs="Times New Roman"/>
          <w:szCs w:val="24"/>
        </w:rPr>
        <w:t xml:space="preserve">wskazali </w:t>
      </w:r>
      <w:r w:rsidRPr="00EB557C">
        <w:rPr>
          <w:rFonts w:cs="Times New Roman"/>
          <w:szCs w:val="24"/>
        </w:rPr>
        <w:t xml:space="preserve">sprzedaż energii sprzedawcy zobowiązanemu. Mianowicie, zgodnie z ust. 2, wytwórcy ci, </w:t>
      </w:r>
      <w:r w:rsidR="76F3DBFA" w:rsidRPr="00EB557C">
        <w:rPr>
          <w:rFonts w:cs="Times New Roman"/>
          <w:szCs w:val="24"/>
        </w:rPr>
        <w:t xml:space="preserve">na wezwanie Prezesa URE, </w:t>
      </w:r>
      <w:r w:rsidRPr="00EB557C">
        <w:rPr>
          <w:rFonts w:cs="Times New Roman"/>
          <w:szCs w:val="24"/>
        </w:rPr>
        <w:t>w określonym</w:t>
      </w:r>
      <w:r w:rsidR="69CDFCC8" w:rsidRPr="00EB557C">
        <w:rPr>
          <w:rFonts w:cs="Times New Roman"/>
          <w:szCs w:val="24"/>
        </w:rPr>
        <w:t xml:space="preserve"> przepisami</w:t>
      </w:r>
      <w:r w:rsidRPr="00EB557C">
        <w:rPr>
          <w:rFonts w:cs="Times New Roman"/>
          <w:szCs w:val="24"/>
        </w:rPr>
        <w:t xml:space="preserve"> terminie </w:t>
      </w:r>
      <w:r w:rsidR="107A4AF1" w:rsidRPr="00EB557C">
        <w:rPr>
          <w:rFonts w:cs="Times New Roman"/>
          <w:szCs w:val="24"/>
        </w:rPr>
        <w:t xml:space="preserve">(45 dni) </w:t>
      </w:r>
      <w:r w:rsidRPr="00EB557C">
        <w:rPr>
          <w:rFonts w:cs="Times New Roman"/>
          <w:szCs w:val="24"/>
        </w:rPr>
        <w:t>będą mogli zmienić w tym zakresie swoją deklarację, aby mogła ona podlegać rozpatrzeniu. Dopiero w przypadku gdy wytwórca nie zmieni deklaracji w określonym terminie, zostanie ona pozostawiona bez rozpoznania.</w:t>
      </w:r>
    </w:p>
    <w:p w14:paraId="32462382" w14:textId="21F218BD" w:rsidR="001474DF" w:rsidRPr="00EB557C" w:rsidRDefault="30D1BE95" w:rsidP="00532F7E">
      <w:pPr>
        <w:spacing w:before="120" w:after="0"/>
        <w:ind w:firstLine="0"/>
        <w:rPr>
          <w:rFonts w:cs="Times New Roman"/>
          <w:szCs w:val="24"/>
        </w:rPr>
      </w:pPr>
      <w:r w:rsidRPr="00EB557C">
        <w:rPr>
          <w:rFonts w:cs="Times New Roman"/>
          <w:szCs w:val="24"/>
        </w:rPr>
        <w:t>Art. 2</w:t>
      </w:r>
      <w:r w:rsidR="003254F1" w:rsidRPr="00EB557C">
        <w:rPr>
          <w:rFonts w:cs="Times New Roman"/>
          <w:szCs w:val="24"/>
        </w:rPr>
        <w:t>1</w:t>
      </w:r>
      <w:r w:rsidRPr="00EB557C">
        <w:rPr>
          <w:rFonts w:cs="Times New Roman"/>
          <w:szCs w:val="24"/>
        </w:rPr>
        <w:t xml:space="preserve"> </w:t>
      </w:r>
      <w:r w:rsidR="4C74F320" w:rsidRPr="00EB557C">
        <w:rPr>
          <w:rFonts w:cs="Times New Roman"/>
          <w:szCs w:val="24"/>
        </w:rPr>
        <w:t xml:space="preserve">projektu </w:t>
      </w:r>
      <w:r w:rsidR="40F6796E" w:rsidRPr="00EB557C">
        <w:rPr>
          <w:rFonts w:cs="Times New Roman"/>
          <w:szCs w:val="24"/>
        </w:rPr>
        <w:t>także</w:t>
      </w:r>
      <w:r w:rsidR="4C74F320" w:rsidRPr="00EB557C">
        <w:rPr>
          <w:rFonts w:cs="Times New Roman"/>
          <w:szCs w:val="24"/>
        </w:rPr>
        <w:t xml:space="preserve"> </w:t>
      </w:r>
      <w:r w:rsidRPr="00EB557C">
        <w:rPr>
          <w:rFonts w:cs="Times New Roman"/>
          <w:szCs w:val="24"/>
        </w:rPr>
        <w:t xml:space="preserve">powiela rozwiązania zastosowane w </w:t>
      </w:r>
      <w:r w:rsidR="6BE0A313" w:rsidRPr="00EB557C">
        <w:rPr>
          <w:rFonts w:cs="Times New Roman"/>
          <w:szCs w:val="24"/>
        </w:rPr>
        <w:t xml:space="preserve">ww. </w:t>
      </w:r>
      <w:r w:rsidRPr="00EB557C">
        <w:rPr>
          <w:rFonts w:cs="Times New Roman"/>
          <w:szCs w:val="24"/>
        </w:rPr>
        <w:t>art. 2</w:t>
      </w:r>
      <w:r w:rsidR="003254F1" w:rsidRPr="00EB557C">
        <w:rPr>
          <w:rFonts w:cs="Times New Roman"/>
          <w:szCs w:val="24"/>
        </w:rPr>
        <w:t>0</w:t>
      </w:r>
      <w:r w:rsidRPr="00EB557C">
        <w:rPr>
          <w:rFonts w:cs="Times New Roman"/>
          <w:szCs w:val="24"/>
        </w:rPr>
        <w:t xml:space="preserve"> i dotyczy analogicznych okoliczności, odnosi się jednak do wytwórców energii elektrycznej w instalacji odnawialnego źródła energii o łącznej mocy zainstalowanej elektrycznej równej lub większej niż 200 kW, ale mniejszej niż 400 kW. Jest to zatem przepis przejściowy regulujący przejście z etapu opisanego w dodawanym art. 184o ustawy</w:t>
      </w:r>
      <w:r w:rsidR="092B7964" w:rsidRPr="00EB557C">
        <w:rPr>
          <w:rFonts w:cs="Times New Roman"/>
          <w:szCs w:val="24"/>
        </w:rPr>
        <w:t xml:space="preserve"> o</w:t>
      </w:r>
      <w:r w:rsidRPr="00EB557C">
        <w:rPr>
          <w:rFonts w:cs="Times New Roman"/>
          <w:szCs w:val="24"/>
        </w:rPr>
        <w:t xml:space="preserve"> OZE, do regulacji docelowej (czyli przepisów merytorycznych ustawy o OZE w zmienianym brzmieniu). Przepis ten w praktyce zostanie zastosowany dopiero </w:t>
      </w:r>
      <w:r w:rsidR="45920BC9" w:rsidRPr="00EB557C">
        <w:rPr>
          <w:rFonts w:cs="Times New Roman"/>
          <w:szCs w:val="24"/>
        </w:rPr>
        <w:t>od dnia 1</w:t>
      </w:r>
      <w:r w:rsidRPr="00EB557C">
        <w:rPr>
          <w:rFonts w:cs="Times New Roman"/>
          <w:szCs w:val="24"/>
        </w:rPr>
        <w:t xml:space="preserve"> stycznia 2026 r. Podobnie jak w przypadku omówionych wyżej relacji art. 1</w:t>
      </w:r>
      <w:r w:rsidR="00826156" w:rsidRPr="00EB557C">
        <w:rPr>
          <w:rFonts w:cs="Times New Roman"/>
          <w:szCs w:val="24"/>
        </w:rPr>
        <w:t>8</w:t>
      </w:r>
      <w:r w:rsidRPr="00EB557C">
        <w:rPr>
          <w:rFonts w:cs="Times New Roman"/>
          <w:szCs w:val="24"/>
        </w:rPr>
        <w:t xml:space="preserve"> i </w:t>
      </w:r>
      <w:r w:rsidR="00826156" w:rsidRPr="00EB557C">
        <w:rPr>
          <w:rFonts w:cs="Times New Roman"/>
          <w:szCs w:val="24"/>
        </w:rPr>
        <w:t>19</w:t>
      </w:r>
      <w:r w:rsidRPr="00EB557C">
        <w:rPr>
          <w:rFonts w:cs="Times New Roman"/>
          <w:szCs w:val="24"/>
        </w:rPr>
        <w:t>, również w zakresie regulacji sytuacji określonej w art. 2</w:t>
      </w:r>
      <w:r w:rsidR="00826156" w:rsidRPr="00EB557C">
        <w:rPr>
          <w:rFonts w:cs="Times New Roman"/>
          <w:szCs w:val="24"/>
        </w:rPr>
        <w:t>0</w:t>
      </w:r>
      <w:r w:rsidRPr="00EB557C">
        <w:rPr>
          <w:rFonts w:cs="Times New Roman"/>
          <w:szCs w:val="24"/>
        </w:rPr>
        <w:t xml:space="preserve"> i 2</w:t>
      </w:r>
      <w:r w:rsidR="00826156" w:rsidRPr="00EB557C">
        <w:rPr>
          <w:rFonts w:cs="Times New Roman"/>
          <w:szCs w:val="24"/>
        </w:rPr>
        <w:t>1</w:t>
      </w:r>
      <w:r w:rsidRPr="00EB557C">
        <w:rPr>
          <w:rFonts w:cs="Times New Roman"/>
          <w:szCs w:val="24"/>
        </w:rPr>
        <w:t xml:space="preserve">, z uwagi na ich tożsamość projektodawca zdecydował o zastosowaniu analogicznych rozwiązań. Różnice w brzmieniu obu przepisów są podyktowane wyłącznie zasadami </w:t>
      </w:r>
      <w:r w:rsidR="70B58647" w:rsidRPr="00EB557C">
        <w:rPr>
          <w:rFonts w:cs="Times New Roman"/>
          <w:szCs w:val="24"/>
        </w:rPr>
        <w:t>poprawnej</w:t>
      </w:r>
      <w:r w:rsidRPr="00EB557C">
        <w:rPr>
          <w:rFonts w:cs="Times New Roman"/>
          <w:szCs w:val="24"/>
        </w:rPr>
        <w:t xml:space="preserve"> legislacji.</w:t>
      </w:r>
    </w:p>
    <w:p w14:paraId="0C0F5283" w14:textId="16B84784" w:rsidR="0038576E" w:rsidRPr="00EB557C" w:rsidRDefault="66E32692" w:rsidP="00532F7E">
      <w:pPr>
        <w:spacing w:before="120" w:after="0"/>
        <w:ind w:firstLine="0"/>
        <w:rPr>
          <w:rFonts w:cs="Times New Roman"/>
          <w:szCs w:val="24"/>
        </w:rPr>
      </w:pPr>
      <w:r w:rsidRPr="00EB557C">
        <w:rPr>
          <w:rFonts w:cs="Times New Roman"/>
          <w:szCs w:val="24"/>
        </w:rPr>
        <w:t>Mając na uwadze powyższe należy wyjaśnić, że dla systemu aukcyjnego, z uwagi na jego konstrukcję i terminarz dokonywania kolejnych czynności, nie ma konieczności wprowadzania przepisów przejściowych analogicznych do art. 2</w:t>
      </w:r>
      <w:r w:rsidR="00826156" w:rsidRPr="00EB557C">
        <w:rPr>
          <w:rFonts w:cs="Times New Roman"/>
          <w:szCs w:val="24"/>
        </w:rPr>
        <w:t>0</w:t>
      </w:r>
      <w:r w:rsidRPr="00EB557C">
        <w:rPr>
          <w:rFonts w:cs="Times New Roman"/>
          <w:szCs w:val="24"/>
        </w:rPr>
        <w:t xml:space="preserve"> i 2</w:t>
      </w:r>
      <w:r w:rsidR="00826156" w:rsidRPr="00EB557C">
        <w:rPr>
          <w:rFonts w:cs="Times New Roman"/>
          <w:szCs w:val="24"/>
        </w:rPr>
        <w:t>1</w:t>
      </w:r>
      <w:r w:rsidR="3224F335" w:rsidRPr="00EB557C">
        <w:rPr>
          <w:rFonts w:cs="Times New Roman"/>
          <w:szCs w:val="24"/>
        </w:rPr>
        <w:t>.</w:t>
      </w:r>
    </w:p>
    <w:p w14:paraId="70C2A8F4" w14:textId="438CA4E0" w:rsidR="5C8A32A3" w:rsidRPr="00EB557C" w:rsidRDefault="5C8A32A3" w:rsidP="00532F7E">
      <w:pPr>
        <w:spacing w:before="120" w:after="0"/>
        <w:ind w:firstLine="0"/>
        <w:rPr>
          <w:rFonts w:cs="Times New Roman"/>
          <w:b/>
          <w:bCs/>
          <w:szCs w:val="24"/>
        </w:rPr>
      </w:pPr>
      <w:r w:rsidRPr="00EB557C">
        <w:rPr>
          <w:rFonts w:cs="Times New Roman"/>
          <w:b/>
          <w:bCs/>
          <w:szCs w:val="24"/>
        </w:rPr>
        <w:lastRenderedPageBreak/>
        <w:t>Kryteria zrównoważonego rozwoju</w:t>
      </w:r>
    </w:p>
    <w:p w14:paraId="0234193F" w14:textId="6912E20A" w:rsidR="00C64B10" w:rsidRPr="00EB557C" w:rsidRDefault="30D1BE95" w:rsidP="00532F7E">
      <w:pPr>
        <w:spacing w:before="120" w:after="0"/>
        <w:ind w:firstLine="0"/>
        <w:rPr>
          <w:rFonts w:cs="Times New Roman"/>
          <w:szCs w:val="24"/>
        </w:rPr>
      </w:pPr>
      <w:r w:rsidRPr="00EB557C">
        <w:rPr>
          <w:rFonts w:cs="Times New Roman"/>
          <w:szCs w:val="24"/>
        </w:rPr>
        <w:t>W związku z koniecznością dostosowania systemu wsparcia dla biometanu do wymogów GBER, uzależniających możliwość udzielania wsparcia finansowego od spełnienia przez biometan kryteriów zrównoważonego rozwoju, w treści oświadczenia w art. 83m ust. 3</w:t>
      </w:r>
      <w:r w:rsidR="3C70AD67" w:rsidRPr="00EB557C">
        <w:rPr>
          <w:rFonts w:cs="Times New Roman"/>
          <w:szCs w:val="24"/>
        </w:rPr>
        <w:t xml:space="preserve"> ustawy o OZE</w:t>
      </w:r>
      <w:r w:rsidRPr="00EB557C">
        <w:rPr>
          <w:rFonts w:cs="Times New Roman"/>
          <w:szCs w:val="24"/>
        </w:rPr>
        <w:t xml:space="preserve"> wprowadzono dodatkowy pkt 5, zawierający oświadczenie wytwórcy biometanu, iż do wytworzenia biometanu nie będzie wykorzystywany biogaz lub biogaz rolniczy, nie spełniający kryteriów zrównoważonego rozwoju, o których mowa w art. 43 ust. 3 rozporządzenia GBER. </w:t>
      </w:r>
    </w:p>
    <w:p w14:paraId="13336C0E" w14:textId="6115F773" w:rsidR="1091CEE6" w:rsidRPr="00EB557C" w:rsidRDefault="1091CEE6" w:rsidP="00532F7E">
      <w:pPr>
        <w:spacing w:before="120" w:after="0"/>
        <w:ind w:firstLine="0"/>
        <w:rPr>
          <w:rFonts w:cs="Times New Roman"/>
          <w:b/>
          <w:bCs/>
          <w:szCs w:val="24"/>
        </w:rPr>
      </w:pPr>
      <w:r w:rsidRPr="00EB557C">
        <w:rPr>
          <w:rFonts w:cs="Times New Roman"/>
          <w:b/>
          <w:bCs/>
          <w:szCs w:val="24"/>
        </w:rPr>
        <w:t>Efekt zachęty</w:t>
      </w:r>
    </w:p>
    <w:p w14:paraId="2EE9D0D8" w14:textId="5FABC328" w:rsidR="00BF591C" w:rsidRPr="00532F7E" w:rsidRDefault="06AAB1DF" w:rsidP="00532F7E">
      <w:pPr>
        <w:spacing w:before="120" w:after="0"/>
        <w:ind w:firstLine="0"/>
        <w:rPr>
          <w:rFonts w:eastAsiaTheme="minorEastAsia" w:cs="Times New Roman"/>
          <w:kern w:val="24"/>
          <w:szCs w:val="24"/>
        </w:rPr>
      </w:pPr>
      <w:r w:rsidRPr="00EB557C">
        <w:rPr>
          <w:rFonts w:cs="Times New Roman"/>
          <w:szCs w:val="24"/>
        </w:rPr>
        <w:t>Ponadto</w:t>
      </w:r>
      <w:r w:rsidR="009C2474" w:rsidRPr="00EB557C">
        <w:rPr>
          <w:rFonts w:cs="Times New Roman"/>
          <w:szCs w:val="24"/>
        </w:rPr>
        <w:t>,</w:t>
      </w:r>
      <w:r w:rsidRPr="00EB557C">
        <w:rPr>
          <w:rFonts w:cs="Times New Roman"/>
          <w:szCs w:val="24"/>
        </w:rPr>
        <w:t xml:space="preserve"> </w:t>
      </w:r>
      <w:r w:rsidR="009C2474" w:rsidRPr="00EB557C">
        <w:rPr>
          <w:rFonts w:cs="Times New Roman"/>
          <w:szCs w:val="24"/>
        </w:rPr>
        <w:t>projekt uzupełnia przepisy dot.</w:t>
      </w:r>
      <w:r w:rsidRPr="00EB557C">
        <w:rPr>
          <w:rFonts w:cs="Times New Roman"/>
          <w:szCs w:val="24"/>
        </w:rPr>
        <w:t xml:space="preserve"> deklaracji </w:t>
      </w:r>
      <w:r w:rsidR="009C2474" w:rsidRPr="00EB557C">
        <w:rPr>
          <w:rFonts w:cs="Times New Roman"/>
          <w:szCs w:val="24"/>
        </w:rPr>
        <w:t>w systemie FiT dla biometanu. Zgodnie ze zmienianym</w:t>
      </w:r>
      <w:r w:rsidRPr="00EB557C">
        <w:rPr>
          <w:rFonts w:cs="Times New Roman"/>
          <w:szCs w:val="24"/>
        </w:rPr>
        <w:t xml:space="preserve"> </w:t>
      </w:r>
      <w:r w:rsidR="170988F1" w:rsidRPr="00EB557C">
        <w:rPr>
          <w:rFonts w:cs="Times New Roman"/>
          <w:szCs w:val="24"/>
        </w:rPr>
        <w:t>art. 83m ust. 3 pkt 6 ustawy</w:t>
      </w:r>
      <w:r w:rsidRPr="00EB557C">
        <w:rPr>
          <w:rFonts w:cs="Times New Roman"/>
          <w:szCs w:val="24"/>
        </w:rPr>
        <w:t xml:space="preserve"> o</w:t>
      </w:r>
      <w:r w:rsidR="170988F1" w:rsidRPr="00EB557C">
        <w:rPr>
          <w:rFonts w:cs="Times New Roman"/>
          <w:szCs w:val="24"/>
        </w:rPr>
        <w:t xml:space="preserve"> OZE</w:t>
      </w:r>
      <w:r w:rsidR="009C2474" w:rsidRPr="00EB557C">
        <w:rPr>
          <w:rFonts w:cs="Times New Roman"/>
          <w:szCs w:val="24"/>
        </w:rPr>
        <w:t>, do deklaracji należy załączyć również</w:t>
      </w:r>
      <w:r w:rsidR="170988F1" w:rsidRPr="00EB557C">
        <w:rPr>
          <w:rFonts w:cs="Times New Roman"/>
          <w:szCs w:val="24"/>
        </w:rPr>
        <w:t xml:space="preserve"> </w:t>
      </w:r>
      <w:r w:rsidR="009C2474" w:rsidRPr="00EB557C">
        <w:rPr>
          <w:rFonts w:cs="Times New Roman"/>
          <w:szCs w:val="24"/>
        </w:rPr>
        <w:t xml:space="preserve">oświadczenie </w:t>
      </w:r>
      <w:r w:rsidR="170988F1" w:rsidRPr="00EB557C">
        <w:rPr>
          <w:rFonts w:cs="Times New Roman"/>
          <w:szCs w:val="24"/>
        </w:rPr>
        <w:t>wytwórcy, zgodnie z którym</w:t>
      </w:r>
      <w:r w:rsidR="00C32E60" w:rsidRPr="00EB557C">
        <w:rPr>
          <w:rFonts w:cs="Times New Roman"/>
          <w:szCs w:val="24"/>
        </w:rPr>
        <w:t>,</w:t>
      </w:r>
      <w:r w:rsidR="170988F1" w:rsidRPr="00EB557C">
        <w:rPr>
          <w:rFonts w:cs="Times New Roman"/>
          <w:szCs w:val="24"/>
        </w:rPr>
        <w:t xml:space="preserve"> </w:t>
      </w:r>
      <w:r w:rsidR="7539392E" w:rsidRPr="00EB557C">
        <w:rPr>
          <w:rFonts w:cs="Times New Roman"/>
          <w:szCs w:val="24"/>
        </w:rPr>
        <w:t>do dnia złożenia przez wytwórcę deklaracji, o której mowa w art. 83m ust. 1</w:t>
      </w:r>
      <w:r w:rsidR="3EFC77B5" w:rsidRPr="00EB557C">
        <w:rPr>
          <w:rFonts w:cs="Times New Roman"/>
          <w:szCs w:val="24"/>
        </w:rPr>
        <w:t xml:space="preserve"> ustawy</w:t>
      </w:r>
      <w:r w:rsidRPr="00EB557C">
        <w:rPr>
          <w:rFonts w:cs="Times New Roman"/>
          <w:szCs w:val="24"/>
        </w:rPr>
        <w:t xml:space="preserve"> o</w:t>
      </w:r>
      <w:r w:rsidR="3EFC77B5" w:rsidRPr="00EB557C">
        <w:rPr>
          <w:rFonts w:cs="Times New Roman"/>
          <w:szCs w:val="24"/>
        </w:rPr>
        <w:t xml:space="preserve"> OZE</w:t>
      </w:r>
      <w:r w:rsidR="7539392E" w:rsidRPr="00EB557C">
        <w:rPr>
          <w:rFonts w:cs="Times New Roman"/>
          <w:szCs w:val="24"/>
        </w:rPr>
        <w:t xml:space="preserve">, dotyczącej udziału w systemie wsparcia FiP dla biometanu </w:t>
      </w:r>
      <w:r w:rsidR="170988F1" w:rsidRPr="00EB557C">
        <w:rPr>
          <w:rFonts w:cs="Times New Roman"/>
          <w:szCs w:val="24"/>
        </w:rPr>
        <w:t>w</w:t>
      </w:r>
      <w:r w:rsidR="7539392E" w:rsidRPr="00EB557C">
        <w:rPr>
          <w:rFonts w:cs="Times New Roman"/>
          <w:szCs w:val="24"/>
        </w:rPr>
        <w:t xml:space="preserve"> instalacji, która ma zostać objęta mechanizmem wsparcia, nie był </w:t>
      </w:r>
      <w:r w:rsidR="170988F1" w:rsidRPr="00EB557C">
        <w:rPr>
          <w:rFonts w:cs="Times New Roman"/>
          <w:szCs w:val="24"/>
        </w:rPr>
        <w:t>wytwarzany biometan</w:t>
      </w:r>
      <w:r w:rsidR="7539392E" w:rsidRPr="00EB557C">
        <w:rPr>
          <w:rFonts w:cs="Times New Roman"/>
          <w:szCs w:val="24"/>
        </w:rPr>
        <w:t xml:space="preserve">. Powyższe </w:t>
      </w:r>
      <w:r w:rsidR="3EFC77B5" w:rsidRPr="00EB557C">
        <w:rPr>
          <w:rFonts w:cs="Times New Roman"/>
          <w:szCs w:val="24"/>
        </w:rPr>
        <w:t xml:space="preserve">rozwiązanie </w:t>
      </w:r>
      <w:r w:rsidR="7539392E" w:rsidRPr="00EB557C">
        <w:rPr>
          <w:rFonts w:cs="Times New Roman"/>
          <w:szCs w:val="24"/>
        </w:rPr>
        <w:t xml:space="preserve">jest zgodne z </w:t>
      </w:r>
      <w:r w:rsidR="170988F1" w:rsidRPr="00EB557C">
        <w:rPr>
          <w:rFonts w:cs="Times New Roman"/>
          <w:szCs w:val="24"/>
        </w:rPr>
        <w:t>art. 6 ust. 2 GBER, zgodnie z którym</w:t>
      </w:r>
      <w:r w:rsidR="7539392E" w:rsidRPr="00EB557C">
        <w:rPr>
          <w:rFonts w:cs="Times New Roman"/>
          <w:szCs w:val="24"/>
        </w:rPr>
        <w:t xml:space="preserve"> </w:t>
      </w:r>
      <w:r w:rsidR="170988F1" w:rsidRPr="00EB557C">
        <w:rPr>
          <w:rFonts w:cs="Times New Roman"/>
          <w:szCs w:val="24"/>
        </w:rPr>
        <w:t>u</w:t>
      </w:r>
      <w:r w:rsidR="170988F1" w:rsidRPr="00532F7E">
        <w:rPr>
          <w:rFonts w:eastAsiaTheme="minorEastAsia" w:cs="Times New Roman"/>
          <w:kern w:val="24"/>
          <w:szCs w:val="24"/>
        </w:rPr>
        <w:t>znaje się, że pomoc wywołuje efekt zachęty, jeżeli beneficjent złożył do danego państwa członkowskiego pisemny wniosek o przyznanie pomocy przed rozpoczęciem prac nad projektem lub rozpoczęciem działalności.</w:t>
      </w:r>
    </w:p>
    <w:p w14:paraId="0845C407" w14:textId="6F429CD0" w:rsidR="44E4B3F1" w:rsidRPr="00532F7E" w:rsidRDefault="44E4B3F1" w:rsidP="00532F7E">
      <w:pPr>
        <w:spacing w:before="120" w:after="0"/>
        <w:ind w:firstLine="0"/>
        <w:rPr>
          <w:rFonts w:eastAsiaTheme="minorEastAsia" w:cs="Times New Roman"/>
          <w:b/>
          <w:bCs/>
          <w:szCs w:val="24"/>
        </w:rPr>
      </w:pPr>
      <w:r w:rsidRPr="00532F7E">
        <w:rPr>
          <w:rFonts w:eastAsiaTheme="minorEastAsia" w:cs="Times New Roman"/>
          <w:b/>
          <w:bCs/>
          <w:szCs w:val="24"/>
        </w:rPr>
        <w:t>Kumulacja pomocy publicznej</w:t>
      </w:r>
      <w:r w:rsidR="2EA5E9D7" w:rsidRPr="00532F7E">
        <w:rPr>
          <w:rFonts w:eastAsiaTheme="minorEastAsia" w:cs="Times New Roman"/>
          <w:b/>
          <w:bCs/>
          <w:szCs w:val="24"/>
        </w:rPr>
        <w:t xml:space="preserve"> </w:t>
      </w:r>
    </w:p>
    <w:p w14:paraId="7CCF404D" w14:textId="2B84FA98" w:rsidR="00741B02" w:rsidRPr="00EB557C" w:rsidRDefault="4C7C21E3" w:rsidP="00532F7E">
      <w:pPr>
        <w:spacing w:before="120" w:after="0"/>
        <w:ind w:firstLine="0"/>
        <w:rPr>
          <w:rFonts w:cs="Times New Roman"/>
          <w:szCs w:val="24"/>
        </w:rPr>
      </w:pPr>
      <w:r w:rsidRPr="00EB557C">
        <w:rPr>
          <w:rFonts w:cs="Times New Roman"/>
          <w:szCs w:val="24"/>
        </w:rPr>
        <w:t>W następstwie wymogów prawodawstwa unijnego</w:t>
      </w:r>
      <w:r w:rsidR="4AD034EE" w:rsidRPr="00EB557C">
        <w:rPr>
          <w:rFonts w:cs="Times New Roman"/>
          <w:szCs w:val="24"/>
        </w:rPr>
        <w:t xml:space="preserve"> w zakresie kumulacji wsparcia</w:t>
      </w:r>
      <w:r w:rsidRPr="00EB557C">
        <w:rPr>
          <w:rFonts w:cs="Times New Roman"/>
          <w:szCs w:val="24"/>
        </w:rPr>
        <w:t xml:space="preserve">, w trosce o niedopuszczenie do ryzyka zwrotu pomocy publicznej przez wytwórców energii z OZE, w art. 39a </w:t>
      </w:r>
      <w:r w:rsidR="00265A4D" w:rsidRPr="00EB557C">
        <w:rPr>
          <w:rFonts w:cs="Times New Roman"/>
          <w:szCs w:val="24"/>
        </w:rPr>
        <w:t xml:space="preserve">ust. 1a </w:t>
      </w:r>
      <w:r w:rsidRPr="00EB557C">
        <w:rPr>
          <w:rFonts w:cs="Times New Roman"/>
          <w:szCs w:val="24"/>
        </w:rPr>
        <w:t>ustawy o OZE wskazano, że pomoc inwestycyjna na realizację inwestycji w instalację OZE na cele wytwarzania biogaz</w:t>
      </w:r>
      <w:r w:rsidR="00D34F06" w:rsidRPr="00EB557C">
        <w:rPr>
          <w:rFonts w:cs="Times New Roman"/>
          <w:szCs w:val="24"/>
        </w:rPr>
        <w:t>u</w:t>
      </w:r>
      <w:r w:rsidR="00E36748" w:rsidRPr="00EB557C">
        <w:rPr>
          <w:rFonts w:cs="Times New Roman"/>
          <w:szCs w:val="24"/>
        </w:rPr>
        <w:t xml:space="preserve"> albo biogazu rolniczego</w:t>
      </w:r>
      <w:r w:rsidRPr="00EB557C">
        <w:rPr>
          <w:rFonts w:cs="Times New Roman"/>
          <w:szCs w:val="24"/>
        </w:rPr>
        <w:t xml:space="preserve">, z którego wytworzona </w:t>
      </w:r>
      <w:r w:rsidR="00D34F06" w:rsidRPr="00EB557C">
        <w:rPr>
          <w:rFonts w:cs="Times New Roman"/>
          <w:szCs w:val="24"/>
        </w:rPr>
        <w:t xml:space="preserve">zostanie następnie </w:t>
      </w:r>
      <w:r w:rsidRPr="00EB557C">
        <w:rPr>
          <w:rFonts w:cs="Times New Roman"/>
          <w:szCs w:val="24"/>
        </w:rPr>
        <w:t>energia elektryczna</w:t>
      </w:r>
      <w:r w:rsidR="00D34F06" w:rsidRPr="00EB557C">
        <w:rPr>
          <w:rFonts w:cs="Times New Roman"/>
          <w:szCs w:val="24"/>
        </w:rPr>
        <w:t xml:space="preserve"> w instalacji OZE</w:t>
      </w:r>
      <w:r w:rsidRPr="00EB557C">
        <w:rPr>
          <w:rFonts w:cs="Times New Roman"/>
          <w:szCs w:val="24"/>
        </w:rPr>
        <w:t xml:space="preserve">, wpływa na zmniejszenie stałej ceny zakupu energii elektrycznej obowiązującej w dniu złożenia przez wytwórcę deklaracji. </w:t>
      </w:r>
      <w:r w:rsidR="61E0A7E4" w:rsidRPr="00EB557C">
        <w:rPr>
          <w:rFonts w:cs="Times New Roman"/>
          <w:szCs w:val="24"/>
        </w:rPr>
        <w:t>W art. 2</w:t>
      </w:r>
      <w:r w:rsidR="004E7F41" w:rsidRPr="00EB557C">
        <w:rPr>
          <w:rFonts w:cs="Times New Roman"/>
          <w:szCs w:val="24"/>
        </w:rPr>
        <w:t>3</w:t>
      </w:r>
      <w:r w:rsidR="61E0A7E4" w:rsidRPr="00EB557C">
        <w:rPr>
          <w:rFonts w:cs="Times New Roman"/>
          <w:szCs w:val="24"/>
        </w:rPr>
        <w:t xml:space="preserve"> </w:t>
      </w:r>
      <w:r w:rsidR="1C15C2B7" w:rsidRPr="00EB557C">
        <w:rPr>
          <w:rFonts w:cs="Times New Roman"/>
          <w:szCs w:val="24"/>
        </w:rPr>
        <w:t>projektu</w:t>
      </w:r>
      <w:r w:rsidR="61E0A7E4" w:rsidRPr="00EB557C">
        <w:rPr>
          <w:rFonts w:cs="Times New Roman"/>
          <w:szCs w:val="24"/>
        </w:rPr>
        <w:t xml:space="preserve"> </w:t>
      </w:r>
      <w:r w:rsidR="00652968" w:rsidRPr="00EB557C">
        <w:rPr>
          <w:rFonts w:cs="Times New Roman"/>
          <w:szCs w:val="24"/>
        </w:rPr>
        <w:t xml:space="preserve">określono </w:t>
      </w:r>
      <w:r w:rsidR="61E0A7E4" w:rsidRPr="00EB557C">
        <w:rPr>
          <w:rFonts w:cs="Times New Roman"/>
          <w:szCs w:val="24"/>
        </w:rPr>
        <w:t xml:space="preserve">postępowanie wobec wytwórców, którzy otrzymali zaświadczenie </w:t>
      </w:r>
      <w:r w:rsidR="00A63DC0" w:rsidRPr="00EB557C">
        <w:rPr>
          <w:rFonts w:cs="Times New Roman"/>
          <w:szCs w:val="24"/>
        </w:rPr>
        <w:t>przed dniem wejścia w życie projektowanej ustawy</w:t>
      </w:r>
      <w:r w:rsidR="4D97E1A5" w:rsidRPr="00EB557C">
        <w:rPr>
          <w:rFonts w:cs="Times New Roman"/>
          <w:szCs w:val="24"/>
        </w:rPr>
        <w:t>,</w:t>
      </w:r>
      <w:r w:rsidR="00A63DC0" w:rsidRPr="00EB557C">
        <w:rPr>
          <w:rFonts w:cs="Times New Roman"/>
          <w:szCs w:val="24"/>
        </w:rPr>
        <w:t xml:space="preserve"> </w:t>
      </w:r>
      <w:r w:rsidR="61E0A7E4" w:rsidRPr="00EB557C">
        <w:rPr>
          <w:rFonts w:cs="Times New Roman"/>
          <w:szCs w:val="24"/>
        </w:rPr>
        <w:t xml:space="preserve">poprzez zachowanie wobec nich zasad ustalania stałej ceny zakupu energii elektrycznej na dotychczasowych zasadach. </w:t>
      </w:r>
      <w:r w:rsidRPr="00EB557C">
        <w:rPr>
          <w:rFonts w:cs="Times New Roman"/>
          <w:szCs w:val="24"/>
        </w:rPr>
        <w:t xml:space="preserve">Konsekwencją </w:t>
      </w:r>
      <w:r w:rsidR="689E520F" w:rsidRPr="00EB557C">
        <w:rPr>
          <w:rFonts w:cs="Times New Roman"/>
          <w:szCs w:val="24"/>
        </w:rPr>
        <w:t xml:space="preserve">ww. zmian </w:t>
      </w:r>
      <w:r w:rsidR="28B17225" w:rsidRPr="00EB557C">
        <w:rPr>
          <w:rFonts w:cs="Times New Roman"/>
          <w:szCs w:val="24"/>
        </w:rPr>
        <w:t xml:space="preserve">w art. 39a ustawy o OZE </w:t>
      </w:r>
      <w:r w:rsidRPr="00EB557C">
        <w:rPr>
          <w:rFonts w:cs="Times New Roman"/>
          <w:szCs w:val="24"/>
        </w:rPr>
        <w:t>jest wskazanie przez projektodawcę w art. 70b ust. 4 ustawy o OZE</w:t>
      </w:r>
      <w:r w:rsidR="4090F165" w:rsidRPr="00EB557C">
        <w:rPr>
          <w:rFonts w:cs="Times New Roman"/>
          <w:szCs w:val="24"/>
        </w:rPr>
        <w:t xml:space="preserve"> obowiązku dołączenia</w:t>
      </w:r>
      <w:r w:rsidRPr="00EB557C">
        <w:rPr>
          <w:rFonts w:cs="Times New Roman"/>
          <w:szCs w:val="24"/>
        </w:rPr>
        <w:t xml:space="preserve"> </w:t>
      </w:r>
      <w:r w:rsidR="37DE4996" w:rsidRPr="00EB557C">
        <w:rPr>
          <w:rFonts w:cs="Times New Roman"/>
          <w:szCs w:val="24"/>
        </w:rPr>
        <w:t>do składanej</w:t>
      </w:r>
      <w:r w:rsidR="5605B4CB" w:rsidRPr="00EB557C">
        <w:rPr>
          <w:rFonts w:cs="Times New Roman"/>
          <w:szCs w:val="24"/>
        </w:rPr>
        <w:t xml:space="preserve"> przez</w:t>
      </w:r>
      <w:r w:rsidR="37DE4996" w:rsidRPr="00EB557C">
        <w:rPr>
          <w:rFonts w:cs="Times New Roman"/>
          <w:szCs w:val="24"/>
        </w:rPr>
        <w:t xml:space="preserve"> </w:t>
      </w:r>
      <w:r w:rsidR="49E0CEB6" w:rsidRPr="00EB557C">
        <w:rPr>
          <w:rFonts w:cs="Times New Roman"/>
          <w:szCs w:val="24"/>
        </w:rPr>
        <w:t>wytwórc</w:t>
      </w:r>
      <w:r w:rsidR="18D24DEC" w:rsidRPr="00EB557C">
        <w:rPr>
          <w:rFonts w:cs="Times New Roman"/>
          <w:szCs w:val="24"/>
        </w:rPr>
        <w:t>ę</w:t>
      </w:r>
      <w:r w:rsidR="49E0CEB6" w:rsidRPr="00EB557C">
        <w:rPr>
          <w:rFonts w:cs="Times New Roman"/>
          <w:szCs w:val="24"/>
        </w:rPr>
        <w:t xml:space="preserve"> energii elektrycznej w instalacji OZE </w:t>
      </w:r>
      <w:r w:rsidR="37DE4996" w:rsidRPr="00EB557C">
        <w:rPr>
          <w:rFonts w:cs="Times New Roman"/>
          <w:szCs w:val="24"/>
        </w:rPr>
        <w:t xml:space="preserve">deklaracji o zamiarze przystąpienia do systemów wsparcia </w:t>
      </w:r>
      <w:r w:rsidRPr="00EB557C">
        <w:rPr>
          <w:rFonts w:cs="Times New Roman"/>
          <w:szCs w:val="24"/>
        </w:rPr>
        <w:t>nowych informacji</w:t>
      </w:r>
      <w:r w:rsidR="60ADE005" w:rsidRPr="00EB557C">
        <w:rPr>
          <w:rFonts w:cs="Times New Roman"/>
          <w:szCs w:val="24"/>
        </w:rPr>
        <w:t xml:space="preserve"> i dokumentów</w:t>
      </w:r>
      <w:r w:rsidR="00800D79" w:rsidRPr="00EB557C">
        <w:rPr>
          <w:rFonts w:cs="Times New Roman"/>
          <w:szCs w:val="24"/>
        </w:rPr>
        <w:t xml:space="preserve"> wskazujących na </w:t>
      </w:r>
      <w:r w:rsidR="004F1509" w:rsidRPr="00EB557C">
        <w:rPr>
          <w:rFonts w:cs="Times New Roman"/>
          <w:szCs w:val="24"/>
        </w:rPr>
        <w:t>poziom</w:t>
      </w:r>
      <w:r w:rsidR="00800D79" w:rsidRPr="00EB557C">
        <w:rPr>
          <w:rFonts w:cs="Times New Roman"/>
          <w:szCs w:val="24"/>
        </w:rPr>
        <w:t xml:space="preserve"> pomocy inwestycyjnej </w:t>
      </w:r>
      <w:r w:rsidR="004F1509" w:rsidRPr="00EB557C">
        <w:rPr>
          <w:rFonts w:cs="Times New Roman"/>
          <w:szCs w:val="24"/>
        </w:rPr>
        <w:t>uzyskanej przez wytwórcę</w:t>
      </w:r>
      <w:r w:rsidR="00485722" w:rsidRPr="00EB557C">
        <w:rPr>
          <w:rFonts w:cs="Times New Roman"/>
          <w:szCs w:val="24"/>
        </w:rPr>
        <w:t xml:space="preserve"> w instalacji </w:t>
      </w:r>
      <w:r w:rsidR="00485722" w:rsidRPr="00EB557C">
        <w:rPr>
          <w:rFonts w:cs="Times New Roman"/>
          <w:szCs w:val="24"/>
        </w:rPr>
        <w:lastRenderedPageBreak/>
        <w:t xml:space="preserve">wytwarzania biogazu </w:t>
      </w:r>
      <w:r w:rsidR="4DACE959" w:rsidRPr="00EB557C">
        <w:rPr>
          <w:rFonts w:cs="Times New Roman"/>
          <w:szCs w:val="24"/>
        </w:rPr>
        <w:t>albo</w:t>
      </w:r>
      <w:r w:rsidR="00485722" w:rsidRPr="00EB557C">
        <w:rPr>
          <w:rFonts w:cs="Times New Roman"/>
          <w:szCs w:val="24"/>
        </w:rPr>
        <w:t xml:space="preserve"> biogazu rolniczego wykorzystywanego </w:t>
      </w:r>
      <w:r w:rsidR="00906FF0" w:rsidRPr="00EB557C">
        <w:rPr>
          <w:rFonts w:cs="Times New Roman"/>
          <w:szCs w:val="24"/>
        </w:rPr>
        <w:t xml:space="preserve">następnie </w:t>
      </w:r>
      <w:r w:rsidR="00485722" w:rsidRPr="00EB557C">
        <w:rPr>
          <w:rFonts w:cs="Times New Roman"/>
          <w:szCs w:val="24"/>
        </w:rPr>
        <w:t>do wytwarzania energii elektrycznej</w:t>
      </w:r>
      <w:r w:rsidR="60ADE005" w:rsidRPr="00EB557C">
        <w:rPr>
          <w:rFonts w:cs="Times New Roman"/>
          <w:szCs w:val="24"/>
        </w:rPr>
        <w:t>.</w:t>
      </w:r>
      <w:r w:rsidRPr="00EB557C">
        <w:rPr>
          <w:rFonts w:cs="Times New Roman"/>
          <w:szCs w:val="24"/>
        </w:rPr>
        <w:t xml:space="preserve">  </w:t>
      </w:r>
    </w:p>
    <w:p w14:paraId="3A010241" w14:textId="5B6AADB8" w:rsidR="00741B02" w:rsidRPr="00EB557C" w:rsidRDefault="4C7C21E3" w:rsidP="00532F7E">
      <w:pPr>
        <w:spacing w:before="120" w:after="0"/>
        <w:ind w:firstLine="0"/>
        <w:rPr>
          <w:rFonts w:cs="Times New Roman"/>
          <w:szCs w:val="24"/>
        </w:rPr>
      </w:pPr>
      <w:r w:rsidRPr="00EB557C">
        <w:rPr>
          <w:rFonts w:eastAsia="Helvetica" w:cs="Times New Roman"/>
          <w:szCs w:val="24"/>
        </w:rPr>
        <w:t xml:space="preserve">W związku z wynikającą z regulacji unijnych koniecznością prawidłowego monitorowania pomocy publicznej udzielonej projektom, niezbędne stało się także rozszerzenie katalogu dokumentów, które należy dołączyć do deklaracji wytwórcy biometanu chcącego przystąpić do systemu </w:t>
      </w:r>
      <w:r w:rsidR="4D97E1A5" w:rsidRPr="00EB557C">
        <w:rPr>
          <w:rFonts w:eastAsia="Helvetica" w:cs="Times New Roman"/>
          <w:szCs w:val="24"/>
        </w:rPr>
        <w:t>FiP.</w:t>
      </w:r>
      <w:r w:rsidRPr="00EB557C">
        <w:rPr>
          <w:rFonts w:eastAsia="Helvetica" w:cs="Times New Roman"/>
          <w:szCs w:val="24"/>
        </w:rPr>
        <w:t xml:space="preserve"> Dlatego też w celu uniknięcia kumulacji pomocy</w:t>
      </w:r>
      <w:r w:rsidR="00D34F06" w:rsidRPr="00EB557C">
        <w:rPr>
          <w:rFonts w:eastAsia="Helvetica" w:cs="Times New Roman"/>
          <w:szCs w:val="24"/>
        </w:rPr>
        <w:t xml:space="preserve"> publicznej</w:t>
      </w:r>
      <w:r w:rsidRPr="00EB557C">
        <w:rPr>
          <w:rFonts w:eastAsia="Helvetica" w:cs="Times New Roman"/>
          <w:szCs w:val="24"/>
        </w:rPr>
        <w:t xml:space="preserve">, wytwórca wytwarzający </w:t>
      </w:r>
      <w:r w:rsidR="00C843D7" w:rsidRPr="00EB557C">
        <w:rPr>
          <w:rFonts w:eastAsia="Helvetica" w:cs="Times New Roman"/>
          <w:szCs w:val="24"/>
        </w:rPr>
        <w:t xml:space="preserve">energię elektryczną z biogazu </w:t>
      </w:r>
      <w:r w:rsidR="26651A78" w:rsidRPr="00EB557C">
        <w:rPr>
          <w:rFonts w:eastAsia="Helvetica" w:cs="Times New Roman"/>
          <w:szCs w:val="24"/>
        </w:rPr>
        <w:t>al</w:t>
      </w:r>
      <w:r w:rsidR="00730E85" w:rsidRPr="00EB557C">
        <w:rPr>
          <w:rFonts w:eastAsia="Helvetica" w:cs="Times New Roman"/>
          <w:szCs w:val="24"/>
        </w:rPr>
        <w:t>bo</w:t>
      </w:r>
      <w:r w:rsidR="00C843D7" w:rsidRPr="00EB557C">
        <w:rPr>
          <w:rFonts w:eastAsia="Helvetica" w:cs="Times New Roman"/>
          <w:szCs w:val="24"/>
        </w:rPr>
        <w:t xml:space="preserve"> biogazu rolniczego</w:t>
      </w:r>
      <w:r w:rsidRPr="00EB557C">
        <w:rPr>
          <w:rFonts w:eastAsia="Helvetica" w:cs="Times New Roman"/>
          <w:szCs w:val="24"/>
        </w:rPr>
        <w:t xml:space="preserve">, w stosownym przypadku, powinien </w:t>
      </w:r>
      <w:r w:rsidR="00C268DC" w:rsidRPr="00EB557C">
        <w:rPr>
          <w:rFonts w:eastAsia="Helvetica" w:cs="Times New Roman"/>
          <w:szCs w:val="24"/>
        </w:rPr>
        <w:t xml:space="preserve">dołączyć do deklaracji informację czy </w:t>
      </w:r>
      <w:r w:rsidR="007426CD" w:rsidRPr="00EB557C">
        <w:rPr>
          <w:rFonts w:eastAsia="Helvetica" w:cs="Times New Roman"/>
          <w:szCs w:val="24"/>
        </w:rPr>
        <w:t xml:space="preserve">biogaz </w:t>
      </w:r>
      <w:r w:rsidR="000564EE" w:rsidRPr="00EB557C">
        <w:rPr>
          <w:rFonts w:eastAsia="Helvetica" w:cs="Times New Roman"/>
          <w:szCs w:val="24"/>
        </w:rPr>
        <w:t xml:space="preserve">wykorzystywany do produkcji energii w </w:t>
      </w:r>
      <w:r w:rsidR="00425298" w:rsidRPr="00EB557C">
        <w:rPr>
          <w:rFonts w:eastAsia="Helvetica" w:cs="Times New Roman"/>
          <w:szCs w:val="24"/>
        </w:rPr>
        <w:t>instalacji</w:t>
      </w:r>
      <w:r w:rsidR="000564EE" w:rsidRPr="00EB557C">
        <w:rPr>
          <w:rFonts w:eastAsia="Helvetica" w:cs="Times New Roman"/>
          <w:szCs w:val="24"/>
        </w:rPr>
        <w:t xml:space="preserve"> OZE objętej deklaracją będzie wytwarzany w tej instalacji czy też</w:t>
      </w:r>
      <w:r w:rsidR="00182D60" w:rsidRPr="00EB557C">
        <w:rPr>
          <w:rFonts w:eastAsia="Helvetica" w:cs="Times New Roman"/>
          <w:szCs w:val="24"/>
        </w:rPr>
        <w:t xml:space="preserve"> w </w:t>
      </w:r>
      <w:r w:rsidR="00B223B3" w:rsidRPr="00EB557C">
        <w:rPr>
          <w:rFonts w:eastAsia="Helvetica" w:cs="Times New Roman"/>
          <w:szCs w:val="24"/>
        </w:rPr>
        <w:t>odrębnej</w:t>
      </w:r>
      <w:r w:rsidR="00A601A7" w:rsidRPr="00EB557C">
        <w:rPr>
          <w:rFonts w:eastAsia="Helvetica" w:cs="Times New Roman"/>
          <w:szCs w:val="24"/>
        </w:rPr>
        <w:t xml:space="preserve"> </w:t>
      </w:r>
      <w:r w:rsidR="00182D60" w:rsidRPr="00EB557C">
        <w:rPr>
          <w:rFonts w:eastAsia="Helvetica" w:cs="Times New Roman"/>
          <w:szCs w:val="24"/>
        </w:rPr>
        <w:t xml:space="preserve">instalacji należącej do </w:t>
      </w:r>
      <w:r w:rsidR="00A601A7" w:rsidRPr="00EB557C">
        <w:rPr>
          <w:rFonts w:eastAsia="Helvetica" w:cs="Times New Roman"/>
          <w:szCs w:val="24"/>
        </w:rPr>
        <w:t xml:space="preserve">innego </w:t>
      </w:r>
      <w:r w:rsidR="00182D60" w:rsidRPr="00EB557C">
        <w:rPr>
          <w:rFonts w:eastAsia="Helvetica" w:cs="Times New Roman"/>
          <w:szCs w:val="24"/>
        </w:rPr>
        <w:t xml:space="preserve">podmiotu (tj. czy biogaz </w:t>
      </w:r>
      <w:r w:rsidR="26651A78" w:rsidRPr="00EB557C">
        <w:rPr>
          <w:rFonts w:eastAsia="Helvetica" w:cs="Times New Roman"/>
          <w:szCs w:val="24"/>
        </w:rPr>
        <w:t>albo</w:t>
      </w:r>
      <w:r w:rsidR="00182D60" w:rsidRPr="00EB557C">
        <w:rPr>
          <w:rFonts w:eastAsia="Helvetica" w:cs="Times New Roman"/>
          <w:szCs w:val="24"/>
        </w:rPr>
        <w:t xml:space="preserve"> biogaz rolniczy będą </w:t>
      </w:r>
      <w:r w:rsidR="00425298" w:rsidRPr="00EB557C">
        <w:rPr>
          <w:rFonts w:eastAsia="Helvetica" w:cs="Times New Roman"/>
          <w:szCs w:val="24"/>
        </w:rPr>
        <w:t>k</w:t>
      </w:r>
      <w:r w:rsidR="00A601A7" w:rsidRPr="00EB557C">
        <w:rPr>
          <w:rFonts w:eastAsia="Helvetica" w:cs="Times New Roman"/>
          <w:szCs w:val="24"/>
        </w:rPr>
        <w:t>u</w:t>
      </w:r>
      <w:r w:rsidR="00425298" w:rsidRPr="00EB557C">
        <w:rPr>
          <w:rFonts w:eastAsia="Helvetica" w:cs="Times New Roman"/>
          <w:szCs w:val="24"/>
        </w:rPr>
        <w:t>powane</w:t>
      </w:r>
      <w:r w:rsidR="00182D60" w:rsidRPr="00EB557C">
        <w:rPr>
          <w:rFonts w:eastAsia="Helvetica" w:cs="Times New Roman"/>
          <w:szCs w:val="24"/>
        </w:rPr>
        <w:t xml:space="preserve"> dla potrzeb wytwarzania </w:t>
      </w:r>
      <w:r w:rsidR="00425298" w:rsidRPr="00EB557C">
        <w:rPr>
          <w:rFonts w:eastAsia="Helvetica" w:cs="Times New Roman"/>
          <w:szCs w:val="24"/>
        </w:rPr>
        <w:t xml:space="preserve">z nich </w:t>
      </w:r>
      <w:r w:rsidR="00182D60" w:rsidRPr="00EB557C">
        <w:rPr>
          <w:rFonts w:eastAsia="Helvetica" w:cs="Times New Roman"/>
          <w:szCs w:val="24"/>
        </w:rPr>
        <w:t xml:space="preserve">energii </w:t>
      </w:r>
      <w:r w:rsidR="00425298" w:rsidRPr="00EB557C">
        <w:rPr>
          <w:rFonts w:eastAsia="Helvetica" w:cs="Times New Roman"/>
          <w:szCs w:val="24"/>
        </w:rPr>
        <w:t>elektrycznej</w:t>
      </w:r>
      <w:r w:rsidR="007426CD" w:rsidRPr="00EB557C">
        <w:rPr>
          <w:rFonts w:eastAsia="Helvetica" w:cs="Times New Roman"/>
          <w:szCs w:val="24"/>
        </w:rPr>
        <w:t xml:space="preserve"> w tej instalacji</w:t>
      </w:r>
      <w:r w:rsidR="00425298" w:rsidRPr="00EB557C">
        <w:rPr>
          <w:rFonts w:eastAsia="Helvetica" w:cs="Times New Roman"/>
          <w:szCs w:val="24"/>
        </w:rPr>
        <w:t>). Ponadto</w:t>
      </w:r>
      <w:r w:rsidR="00E36748" w:rsidRPr="00EB557C">
        <w:rPr>
          <w:rFonts w:eastAsia="Helvetica" w:cs="Times New Roman"/>
          <w:szCs w:val="24"/>
        </w:rPr>
        <w:t>,</w:t>
      </w:r>
      <w:r w:rsidR="00B87DCD" w:rsidRPr="00EB557C">
        <w:rPr>
          <w:rFonts w:eastAsia="Helvetica" w:cs="Times New Roman"/>
          <w:szCs w:val="24"/>
        </w:rPr>
        <w:t xml:space="preserve"> wytwórca składający deklarację będzie zobowiązany</w:t>
      </w:r>
      <w:r w:rsidR="00425298" w:rsidRPr="00EB557C">
        <w:rPr>
          <w:rFonts w:eastAsia="Helvetica" w:cs="Times New Roman"/>
          <w:szCs w:val="24"/>
        </w:rPr>
        <w:t xml:space="preserve"> </w:t>
      </w:r>
      <w:r w:rsidRPr="00EB557C">
        <w:rPr>
          <w:rFonts w:eastAsia="Helvetica" w:cs="Times New Roman"/>
          <w:szCs w:val="24"/>
        </w:rPr>
        <w:t xml:space="preserve">uzyskać i dołączyć do deklaracji oświadczenie wytwórcy biogazu </w:t>
      </w:r>
      <w:r w:rsidR="26651A78" w:rsidRPr="00EB557C">
        <w:rPr>
          <w:rFonts w:eastAsia="Helvetica" w:cs="Times New Roman"/>
          <w:szCs w:val="24"/>
        </w:rPr>
        <w:t>albo</w:t>
      </w:r>
      <w:r w:rsidR="00B87DCD" w:rsidRPr="00EB557C">
        <w:rPr>
          <w:rFonts w:eastAsia="Helvetica" w:cs="Times New Roman"/>
          <w:szCs w:val="24"/>
        </w:rPr>
        <w:t xml:space="preserve"> biogazu rolniczego </w:t>
      </w:r>
      <w:r w:rsidRPr="00EB557C">
        <w:rPr>
          <w:rFonts w:eastAsia="Helvetica" w:cs="Times New Roman"/>
          <w:szCs w:val="24"/>
        </w:rPr>
        <w:t xml:space="preserve">w instalacji </w:t>
      </w:r>
      <w:r w:rsidR="0555CE9F" w:rsidRPr="00EB557C">
        <w:rPr>
          <w:rFonts w:cs="Times New Roman"/>
          <w:szCs w:val="24"/>
        </w:rPr>
        <w:t>OZE</w:t>
      </w:r>
      <w:r w:rsidRPr="00EB557C">
        <w:rPr>
          <w:rFonts w:eastAsia="Helvetica" w:cs="Times New Roman"/>
          <w:szCs w:val="24"/>
        </w:rPr>
        <w:t xml:space="preserve">, z której pochodzi </w:t>
      </w:r>
      <w:r w:rsidR="26651A78" w:rsidRPr="00EB557C">
        <w:rPr>
          <w:rFonts w:eastAsia="Helvetica" w:cs="Times New Roman"/>
          <w:szCs w:val="24"/>
        </w:rPr>
        <w:t>ten biogaz albo biogaz rolniczy</w:t>
      </w:r>
      <w:r w:rsidRPr="00EB557C">
        <w:rPr>
          <w:rFonts w:eastAsia="Helvetica" w:cs="Times New Roman"/>
          <w:szCs w:val="24"/>
        </w:rPr>
        <w:t xml:space="preserve"> na potrzeby wytwarzania </w:t>
      </w:r>
      <w:r w:rsidR="004E70D5" w:rsidRPr="00EB557C">
        <w:rPr>
          <w:rFonts w:eastAsia="Helvetica" w:cs="Times New Roman"/>
          <w:szCs w:val="24"/>
        </w:rPr>
        <w:t xml:space="preserve">energii </w:t>
      </w:r>
      <w:r w:rsidR="008C6115" w:rsidRPr="00EB557C">
        <w:rPr>
          <w:rFonts w:eastAsia="Helvetica" w:cs="Times New Roman"/>
          <w:szCs w:val="24"/>
        </w:rPr>
        <w:t>elektrycznej</w:t>
      </w:r>
      <w:r w:rsidR="004E70D5" w:rsidRPr="00EB557C">
        <w:rPr>
          <w:rFonts w:eastAsia="Helvetica" w:cs="Times New Roman"/>
          <w:szCs w:val="24"/>
        </w:rPr>
        <w:t xml:space="preserve"> </w:t>
      </w:r>
      <w:r w:rsidRPr="00EB557C">
        <w:rPr>
          <w:rFonts w:eastAsia="Helvetica" w:cs="Times New Roman"/>
          <w:szCs w:val="24"/>
        </w:rPr>
        <w:t>, że instalacja biogazowa otrzymała pomoc inwestycyjną</w:t>
      </w:r>
      <w:r w:rsidR="004E70D5" w:rsidRPr="00EB557C">
        <w:rPr>
          <w:rFonts w:eastAsia="Helvetica" w:cs="Times New Roman"/>
          <w:szCs w:val="24"/>
        </w:rPr>
        <w:t xml:space="preserve"> i w jakiej wysokości</w:t>
      </w:r>
      <w:r w:rsidRPr="00EB557C">
        <w:rPr>
          <w:rFonts w:eastAsia="Helvetica" w:cs="Times New Roman"/>
          <w:szCs w:val="24"/>
        </w:rPr>
        <w:t xml:space="preserve">. Jeśli taką pomoc uzyskała, to zostanie ona uwzględniona w wyliczeniu </w:t>
      </w:r>
      <w:r w:rsidR="0035438D" w:rsidRPr="00EB557C">
        <w:rPr>
          <w:rFonts w:eastAsia="Helvetica" w:cs="Times New Roman"/>
          <w:szCs w:val="24"/>
        </w:rPr>
        <w:t xml:space="preserve">skorygowanej </w:t>
      </w:r>
      <w:r w:rsidRPr="00EB557C">
        <w:rPr>
          <w:rFonts w:eastAsia="Helvetica" w:cs="Times New Roman"/>
          <w:szCs w:val="24"/>
        </w:rPr>
        <w:t xml:space="preserve">ceny </w:t>
      </w:r>
      <w:r w:rsidRPr="00EB557C">
        <w:rPr>
          <w:rFonts w:cs="Times New Roman"/>
          <w:szCs w:val="24"/>
        </w:rPr>
        <w:t xml:space="preserve">zakupu </w:t>
      </w:r>
      <w:r w:rsidR="0035438D" w:rsidRPr="00EB557C">
        <w:rPr>
          <w:rFonts w:cs="Times New Roman"/>
          <w:szCs w:val="24"/>
        </w:rPr>
        <w:t>energii</w:t>
      </w:r>
      <w:r w:rsidR="26651A78" w:rsidRPr="00EB557C">
        <w:rPr>
          <w:rFonts w:cs="Times New Roman"/>
          <w:szCs w:val="24"/>
        </w:rPr>
        <w:t xml:space="preserve"> elektrycznej</w:t>
      </w:r>
      <w:r w:rsidRPr="00EB557C">
        <w:rPr>
          <w:rFonts w:cs="Times New Roman"/>
          <w:szCs w:val="24"/>
        </w:rPr>
        <w:t xml:space="preserve">, o której mowa w art. </w:t>
      </w:r>
      <w:r w:rsidR="26651A78" w:rsidRPr="00EB557C">
        <w:rPr>
          <w:rFonts w:cs="Times New Roman"/>
          <w:szCs w:val="24"/>
        </w:rPr>
        <w:t>70e ust. 1</w:t>
      </w:r>
      <w:r w:rsidR="00823AEC" w:rsidRPr="00EB557C">
        <w:rPr>
          <w:rFonts w:cs="Times New Roman"/>
          <w:szCs w:val="24"/>
        </w:rPr>
        <w:t xml:space="preserve"> </w:t>
      </w:r>
      <w:r w:rsidRPr="00EB557C">
        <w:rPr>
          <w:rFonts w:cs="Times New Roman"/>
          <w:szCs w:val="24"/>
        </w:rPr>
        <w:t xml:space="preserve">ustawy o OZE, obowiązującej w dniu złożenia deklaracji. </w:t>
      </w:r>
    </w:p>
    <w:p w14:paraId="5CC7835C" w14:textId="6B72F1E4" w:rsidR="006C74E0" w:rsidRPr="00EB557C" w:rsidRDefault="006C74E0" w:rsidP="00532F7E">
      <w:pPr>
        <w:spacing w:before="120" w:after="0"/>
        <w:ind w:firstLine="0"/>
        <w:rPr>
          <w:rFonts w:cs="Times New Roman"/>
          <w:szCs w:val="24"/>
        </w:rPr>
      </w:pPr>
      <w:r w:rsidRPr="00EB557C">
        <w:rPr>
          <w:rFonts w:cs="Times New Roman"/>
          <w:szCs w:val="24"/>
        </w:rPr>
        <w:t xml:space="preserve">W </w:t>
      </w:r>
      <w:r w:rsidR="1AEEB9B6" w:rsidRPr="00EB557C">
        <w:rPr>
          <w:rFonts w:cs="Times New Roman"/>
          <w:szCs w:val="24"/>
        </w:rPr>
        <w:t xml:space="preserve">projekcie </w:t>
      </w:r>
      <w:r w:rsidR="3CF88D48" w:rsidRPr="00EB557C">
        <w:rPr>
          <w:rFonts w:cs="Times New Roman"/>
          <w:szCs w:val="24"/>
        </w:rPr>
        <w:t>ustawy</w:t>
      </w:r>
      <w:r w:rsidRPr="00EB557C">
        <w:rPr>
          <w:rFonts w:cs="Times New Roman"/>
          <w:szCs w:val="24"/>
        </w:rPr>
        <w:t xml:space="preserve"> przewidziano także sytuację, gdy </w:t>
      </w:r>
      <w:r w:rsidR="000A42F2" w:rsidRPr="00EB557C">
        <w:rPr>
          <w:rFonts w:cs="Times New Roman"/>
          <w:szCs w:val="24"/>
        </w:rPr>
        <w:t xml:space="preserve">już po złożeniu deklaracji, wytwórca energii elektrycznej w instalacji OZE zmieni </w:t>
      </w:r>
      <w:r w:rsidR="00CA0C38" w:rsidRPr="00EB557C">
        <w:rPr>
          <w:rFonts w:cs="Times New Roman"/>
          <w:szCs w:val="24"/>
        </w:rPr>
        <w:t xml:space="preserve">dostawcę biogazu </w:t>
      </w:r>
      <w:r w:rsidR="5C0F10E9" w:rsidRPr="00EB557C">
        <w:rPr>
          <w:rFonts w:cs="Times New Roman"/>
          <w:szCs w:val="24"/>
        </w:rPr>
        <w:t>albo</w:t>
      </w:r>
      <w:r w:rsidR="00CA0C38" w:rsidRPr="00EB557C">
        <w:rPr>
          <w:rFonts w:cs="Times New Roman"/>
          <w:szCs w:val="24"/>
        </w:rPr>
        <w:t xml:space="preserve"> biogazu rolniczego, który uzyskał </w:t>
      </w:r>
      <w:r w:rsidR="00DD7D9F" w:rsidRPr="00EB557C">
        <w:rPr>
          <w:rFonts w:cs="Times New Roman"/>
          <w:szCs w:val="24"/>
        </w:rPr>
        <w:t xml:space="preserve">nową </w:t>
      </w:r>
      <w:r w:rsidR="00CA0C38" w:rsidRPr="00EB557C">
        <w:rPr>
          <w:rFonts w:cs="Times New Roman"/>
          <w:szCs w:val="24"/>
        </w:rPr>
        <w:t xml:space="preserve">pomoc inwestycyjną </w:t>
      </w:r>
      <w:r w:rsidR="00DD7D9F" w:rsidRPr="00EB557C">
        <w:rPr>
          <w:rFonts w:cs="Times New Roman"/>
          <w:szCs w:val="24"/>
        </w:rPr>
        <w:t xml:space="preserve">lub w </w:t>
      </w:r>
      <w:r w:rsidR="00CA0C38" w:rsidRPr="00EB557C">
        <w:rPr>
          <w:rFonts w:cs="Times New Roman"/>
          <w:szCs w:val="24"/>
        </w:rPr>
        <w:t xml:space="preserve">wysokości </w:t>
      </w:r>
      <w:r w:rsidR="008E5678" w:rsidRPr="00EB557C">
        <w:rPr>
          <w:rFonts w:cs="Times New Roman"/>
          <w:szCs w:val="24"/>
        </w:rPr>
        <w:t xml:space="preserve">większej </w:t>
      </w:r>
      <w:r w:rsidR="00CA0C38" w:rsidRPr="00EB557C">
        <w:rPr>
          <w:rFonts w:cs="Times New Roman"/>
          <w:szCs w:val="24"/>
        </w:rPr>
        <w:t>niż wcześniej deklarowanej. W takiej sytuacji</w:t>
      </w:r>
      <w:r w:rsidR="00E36748" w:rsidRPr="00EB557C">
        <w:rPr>
          <w:rFonts w:cs="Times New Roman"/>
          <w:szCs w:val="24"/>
        </w:rPr>
        <w:t>,</w:t>
      </w:r>
      <w:r w:rsidR="00CA0C38" w:rsidRPr="00EB557C">
        <w:rPr>
          <w:rFonts w:cs="Times New Roman"/>
          <w:szCs w:val="24"/>
        </w:rPr>
        <w:t xml:space="preserve"> na mocy nowododawanych </w:t>
      </w:r>
      <w:r w:rsidR="0047045A" w:rsidRPr="00EB557C">
        <w:rPr>
          <w:rFonts w:cs="Times New Roman"/>
          <w:szCs w:val="24"/>
        </w:rPr>
        <w:t>do art. 39a ust. 11 i 12</w:t>
      </w:r>
      <w:r w:rsidR="5C0F10E9" w:rsidRPr="00EB557C">
        <w:rPr>
          <w:rFonts w:cs="Times New Roman"/>
          <w:szCs w:val="24"/>
        </w:rPr>
        <w:t xml:space="preserve"> ustawy o OZE</w:t>
      </w:r>
      <w:r w:rsidR="0047045A" w:rsidRPr="00EB557C">
        <w:rPr>
          <w:rFonts w:cs="Times New Roman"/>
          <w:szCs w:val="24"/>
        </w:rPr>
        <w:t xml:space="preserve">, dokonuje się przeliczenia ceny skorygowanej zgodnie ze wskazanym w przepisach algorytmem, </w:t>
      </w:r>
      <w:r w:rsidR="00D565A2" w:rsidRPr="00EB557C">
        <w:rPr>
          <w:rFonts w:cs="Times New Roman"/>
          <w:szCs w:val="24"/>
        </w:rPr>
        <w:t xml:space="preserve">przy uwzględnieniu </w:t>
      </w:r>
      <w:r w:rsidR="006A54B8" w:rsidRPr="00EB557C">
        <w:rPr>
          <w:rFonts w:cs="Times New Roman"/>
          <w:szCs w:val="24"/>
        </w:rPr>
        <w:t>zasad określony</w:t>
      </w:r>
      <w:r w:rsidR="00D565A2" w:rsidRPr="00EB557C">
        <w:rPr>
          <w:rFonts w:cs="Times New Roman"/>
          <w:szCs w:val="24"/>
        </w:rPr>
        <w:t xml:space="preserve">ch </w:t>
      </w:r>
      <w:r w:rsidR="006A54B8" w:rsidRPr="00EB557C">
        <w:rPr>
          <w:rFonts w:cs="Times New Roman"/>
          <w:szCs w:val="24"/>
        </w:rPr>
        <w:t>w ust. 7</w:t>
      </w:r>
      <w:r w:rsidR="005B5640" w:rsidRPr="00EB557C">
        <w:rPr>
          <w:rFonts w:cs="Times New Roman"/>
          <w:szCs w:val="24"/>
        </w:rPr>
        <w:t>, tj. poprzez wyliczenie różnicy pomiędzy tymi cenami</w:t>
      </w:r>
      <w:r w:rsidR="00D565A2" w:rsidRPr="00EB557C">
        <w:rPr>
          <w:rFonts w:cs="Times New Roman"/>
          <w:szCs w:val="24"/>
        </w:rPr>
        <w:t>.</w:t>
      </w:r>
      <w:r w:rsidR="005848F3" w:rsidRPr="00EB557C">
        <w:rPr>
          <w:rFonts w:cs="Times New Roman"/>
          <w:szCs w:val="24"/>
        </w:rPr>
        <w:t xml:space="preserve"> </w:t>
      </w:r>
    </w:p>
    <w:p w14:paraId="4242C4AF" w14:textId="0CA13C15" w:rsidR="00C40AF3" w:rsidRPr="00EB557C" w:rsidRDefault="4C7C21E3" w:rsidP="00532F7E">
      <w:pPr>
        <w:spacing w:before="120" w:after="0"/>
        <w:ind w:firstLine="0"/>
        <w:rPr>
          <w:rFonts w:cs="Times New Roman"/>
          <w:szCs w:val="24"/>
        </w:rPr>
      </w:pPr>
      <w:r w:rsidRPr="00EB557C">
        <w:rPr>
          <w:rFonts w:cs="Times New Roman"/>
          <w:szCs w:val="24"/>
        </w:rPr>
        <w:t xml:space="preserve">W przepisach przejściowych </w:t>
      </w:r>
      <w:r w:rsidR="00906FF0" w:rsidRPr="00EB557C">
        <w:rPr>
          <w:rFonts w:cs="Times New Roman"/>
          <w:szCs w:val="24"/>
        </w:rPr>
        <w:t xml:space="preserve">w art. 22, </w:t>
      </w:r>
      <w:r w:rsidR="00C40AF3" w:rsidRPr="00EB557C">
        <w:rPr>
          <w:rFonts w:cs="Times New Roman"/>
          <w:szCs w:val="24"/>
        </w:rPr>
        <w:t xml:space="preserve">w odniesieniu do deklaracji złożonych i nierozpatrzonych przed dniem wejścia w życie projektowanych przepisów </w:t>
      </w:r>
      <w:r w:rsidR="00E36748" w:rsidRPr="00EB557C">
        <w:rPr>
          <w:rFonts w:cs="Times New Roman"/>
          <w:szCs w:val="24"/>
        </w:rPr>
        <w:t>określono</w:t>
      </w:r>
      <w:r w:rsidR="00C40AF3" w:rsidRPr="00EB557C">
        <w:rPr>
          <w:rFonts w:cs="Times New Roman"/>
          <w:szCs w:val="24"/>
        </w:rPr>
        <w:t>, że Prezes URE, wzywa wytwórcę do jej uzupełnienia o wskazane oświadczenia i dopiero w sytuacji braku tego uzupełnienia, pozostawia ją bez rozpatrzenia. Powyższe przepisy mają na celu ochronę wytwórców przed koniecznością zwrotu nienależnie pobranej pomocy publicznej wynikającej z jej kumulacji.</w:t>
      </w:r>
    </w:p>
    <w:p w14:paraId="2159A475" w14:textId="0EE102DB" w:rsidR="00741B02" w:rsidRPr="00EB557C" w:rsidRDefault="00AF589D" w:rsidP="00532F7E">
      <w:pPr>
        <w:spacing w:before="120" w:after="0"/>
        <w:ind w:firstLine="0"/>
        <w:rPr>
          <w:rFonts w:cs="Times New Roman"/>
          <w:szCs w:val="24"/>
        </w:rPr>
      </w:pPr>
      <w:r w:rsidRPr="00EB557C">
        <w:rPr>
          <w:rFonts w:cs="Times New Roman"/>
          <w:szCs w:val="24"/>
        </w:rPr>
        <w:t>Z</w:t>
      </w:r>
      <w:r w:rsidR="4C7C21E3" w:rsidRPr="00EB557C">
        <w:rPr>
          <w:rFonts w:cs="Times New Roman"/>
          <w:szCs w:val="24"/>
        </w:rPr>
        <w:t xml:space="preserve">apewniono </w:t>
      </w:r>
      <w:r w:rsidRPr="00EB557C">
        <w:rPr>
          <w:rFonts w:cs="Times New Roman"/>
          <w:szCs w:val="24"/>
        </w:rPr>
        <w:t xml:space="preserve">ponadto </w:t>
      </w:r>
      <w:r w:rsidR="4C7C21E3" w:rsidRPr="00EB557C">
        <w:rPr>
          <w:rFonts w:cs="Times New Roman"/>
          <w:szCs w:val="24"/>
        </w:rPr>
        <w:t>zachowanie praw nabytych</w:t>
      </w:r>
      <w:r w:rsidR="5C0F10E9" w:rsidRPr="00EB557C">
        <w:rPr>
          <w:rFonts w:cs="Times New Roman"/>
          <w:szCs w:val="24"/>
        </w:rPr>
        <w:t xml:space="preserve"> przez</w:t>
      </w:r>
      <w:r w:rsidR="4C7C21E3" w:rsidRPr="00EB557C">
        <w:rPr>
          <w:rFonts w:cs="Times New Roman"/>
          <w:szCs w:val="24"/>
        </w:rPr>
        <w:t xml:space="preserve"> wytwórców, którzy otrzymali wsparcie przed wejściem w życie projektowanej ustawy, poprzez </w:t>
      </w:r>
      <w:r w:rsidRPr="00EB557C">
        <w:rPr>
          <w:rFonts w:cs="Times New Roman"/>
          <w:szCs w:val="24"/>
        </w:rPr>
        <w:t xml:space="preserve">wskazanie </w:t>
      </w:r>
      <w:r w:rsidR="00F665E9" w:rsidRPr="00EB557C">
        <w:rPr>
          <w:rFonts w:cs="Times New Roman"/>
          <w:szCs w:val="24"/>
        </w:rPr>
        <w:t>w a</w:t>
      </w:r>
      <w:r w:rsidR="00CA4D20" w:rsidRPr="00EB557C">
        <w:rPr>
          <w:rFonts w:cs="Times New Roman"/>
          <w:szCs w:val="24"/>
        </w:rPr>
        <w:t>r</w:t>
      </w:r>
      <w:r w:rsidR="00F665E9" w:rsidRPr="00EB557C">
        <w:rPr>
          <w:rFonts w:cs="Times New Roman"/>
          <w:szCs w:val="24"/>
        </w:rPr>
        <w:t>t. 23</w:t>
      </w:r>
      <w:r w:rsidR="4C7C21E3" w:rsidRPr="00EB557C">
        <w:rPr>
          <w:rFonts w:cs="Times New Roman"/>
          <w:szCs w:val="24"/>
        </w:rPr>
        <w:t>, że</w:t>
      </w:r>
      <w:r w:rsidR="002E6D27" w:rsidRPr="00EB557C">
        <w:rPr>
          <w:rFonts w:cs="Times New Roman"/>
          <w:szCs w:val="24"/>
        </w:rPr>
        <w:t> </w:t>
      </w:r>
      <w:r w:rsidR="4C7C21E3" w:rsidRPr="00EB557C">
        <w:rPr>
          <w:rFonts w:cs="Times New Roman"/>
          <w:szCs w:val="24"/>
        </w:rPr>
        <w:t xml:space="preserve">pomoc już uzyskana przez wytwórcę nie podlega powyższym regulacjom. </w:t>
      </w:r>
    </w:p>
    <w:p w14:paraId="01F7C44B" w14:textId="26976408" w:rsidR="00ED11C6" w:rsidRPr="00EB557C" w:rsidRDefault="00ED11C6" w:rsidP="00532F7E">
      <w:pPr>
        <w:spacing w:before="120" w:after="0"/>
        <w:ind w:firstLine="0"/>
        <w:rPr>
          <w:rFonts w:cs="Times New Roman"/>
          <w:szCs w:val="24"/>
        </w:rPr>
      </w:pPr>
      <w:r w:rsidRPr="00EB557C">
        <w:rPr>
          <w:rFonts w:cs="Times New Roman"/>
          <w:szCs w:val="24"/>
        </w:rPr>
        <w:lastRenderedPageBreak/>
        <w:t xml:space="preserve">Analogiczne </w:t>
      </w:r>
      <w:r w:rsidR="00030805" w:rsidRPr="00EB557C">
        <w:rPr>
          <w:rFonts w:cs="Times New Roman"/>
          <w:szCs w:val="24"/>
        </w:rPr>
        <w:t xml:space="preserve">zasady kumulacji pomocy publicznej i wyliczania ceny skorygowanej o pomoc inwestycyjną dotyczą wytwarzania </w:t>
      </w:r>
      <w:r w:rsidR="00EF7DC4" w:rsidRPr="00EB557C">
        <w:rPr>
          <w:rFonts w:cs="Times New Roman"/>
          <w:szCs w:val="24"/>
        </w:rPr>
        <w:t xml:space="preserve">w instalacji OZE </w:t>
      </w:r>
      <w:r w:rsidR="00030805" w:rsidRPr="00EB557C">
        <w:rPr>
          <w:rFonts w:cs="Times New Roman"/>
          <w:szCs w:val="24"/>
        </w:rPr>
        <w:t xml:space="preserve">biometanu z biogazu </w:t>
      </w:r>
      <w:r w:rsidR="5C0F10E9" w:rsidRPr="00EB557C">
        <w:rPr>
          <w:rFonts w:cs="Times New Roman"/>
          <w:szCs w:val="24"/>
        </w:rPr>
        <w:t>albo</w:t>
      </w:r>
      <w:r w:rsidR="00030805" w:rsidRPr="00EB557C">
        <w:rPr>
          <w:rFonts w:cs="Times New Roman"/>
          <w:szCs w:val="24"/>
        </w:rPr>
        <w:t xml:space="preserve"> biogazu rolniczego</w:t>
      </w:r>
      <w:r w:rsidR="00EF7DC4" w:rsidRPr="00EB557C">
        <w:rPr>
          <w:rFonts w:cs="Times New Roman"/>
          <w:szCs w:val="24"/>
        </w:rPr>
        <w:t xml:space="preserve"> pochodzących z instalacji OZE</w:t>
      </w:r>
      <w:r w:rsidR="00E36748" w:rsidRPr="00EB557C">
        <w:rPr>
          <w:rFonts w:cs="Times New Roman"/>
          <w:szCs w:val="24"/>
        </w:rPr>
        <w:t>,</w:t>
      </w:r>
      <w:r w:rsidR="00EF7DC4" w:rsidRPr="00EB557C">
        <w:rPr>
          <w:rFonts w:cs="Times New Roman"/>
          <w:szCs w:val="24"/>
        </w:rPr>
        <w:t xml:space="preserve"> niezależnie od własności tej instalacji</w:t>
      </w:r>
      <w:r w:rsidR="00C22A24" w:rsidRPr="00EB557C">
        <w:rPr>
          <w:rFonts w:cs="Times New Roman"/>
          <w:szCs w:val="24"/>
        </w:rPr>
        <w:t>, które zostały uwzględnione w przepisach art. 83m</w:t>
      </w:r>
      <w:r w:rsidR="00CD4846">
        <w:rPr>
          <w:rFonts w:cs="Times New Roman"/>
          <w:szCs w:val="24"/>
        </w:rPr>
        <w:t>–</w:t>
      </w:r>
      <w:r w:rsidR="00C22A24" w:rsidRPr="00EB557C">
        <w:rPr>
          <w:rFonts w:cs="Times New Roman"/>
          <w:szCs w:val="24"/>
        </w:rPr>
        <w:t>83q</w:t>
      </w:r>
      <w:r w:rsidR="007D15F4" w:rsidRPr="00EB557C">
        <w:rPr>
          <w:rFonts w:cs="Times New Roman"/>
          <w:szCs w:val="24"/>
        </w:rPr>
        <w:t xml:space="preserve"> ustawy o OZE.</w:t>
      </w:r>
    </w:p>
    <w:p w14:paraId="6EC3E49B" w14:textId="6CE674C3" w:rsidR="7C87C572" w:rsidRPr="00EB557C" w:rsidRDefault="4A3FCF36" w:rsidP="00532F7E">
      <w:pPr>
        <w:spacing w:before="120" w:after="0"/>
        <w:ind w:firstLine="0"/>
        <w:rPr>
          <w:rFonts w:cs="Times New Roman"/>
          <w:szCs w:val="24"/>
        </w:rPr>
      </w:pPr>
      <w:r w:rsidRPr="00EB557C">
        <w:rPr>
          <w:rFonts w:cs="Times New Roman"/>
          <w:szCs w:val="24"/>
        </w:rPr>
        <w:t>W</w:t>
      </w:r>
      <w:r w:rsidR="30D1BE95" w:rsidRPr="00EB557C">
        <w:rPr>
          <w:rFonts w:cs="Times New Roman"/>
          <w:szCs w:val="24"/>
        </w:rPr>
        <w:t xml:space="preserve"> art. 2</w:t>
      </w:r>
      <w:r w:rsidR="007D15F4" w:rsidRPr="00EB557C">
        <w:rPr>
          <w:rFonts w:cs="Times New Roman"/>
          <w:szCs w:val="24"/>
        </w:rPr>
        <w:t>4</w:t>
      </w:r>
      <w:r w:rsidR="30D1BE95" w:rsidRPr="00EB557C">
        <w:rPr>
          <w:rFonts w:cs="Times New Roman"/>
          <w:szCs w:val="24"/>
        </w:rPr>
        <w:t xml:space="preserve"> </w:t>
      </w:r>
      <w:r w:rsidR="7D74AD14" w:rsidRPr="00EB557C">
        <w:rPr>
          <w:rFonts w:cs="Times New Roman"/>
          <w:szCs w:val="24"/>
        </w:rPr>
        <w:t>projektu</w:t>
      </w:r>
      <w:r w:rsidR="00E21201" w:rsidRPr="00EB557C">
        <w:rPr>
          <w:rFonts w:cs="Times New Roman"/>
          <w:szCs w:val="24"/>
        </w:rPr>
        <w:t xml:space="preserve"> uregulowano</w:t>
      </w:r>
      <w:r w:rsidR="00E553E7" w:rsidRPr="00EB557C">
        <w:rPr>
          <w:rFonts w:cs="Times New Roman"/>
          <w:szCs w:val="24"/>
        </w:rPr>
        <w:t xml:space="preserve"> sytuację przejściową poprzez</w:t>
      </w:r>
      <w:r w:rsidR="7D74AD14" w:rsidRPr="00EB557C">
        <w:rPr>
          <w:rFonts w:cs="Times New Roman"/>
          <w:szCs w:val="24"/>
        </w:rPr>
        <w:t xml:space="preserve"> </w:t>
      </w:r>
      <w:r w:rsidR="30D1BE95" w:rsidRPr="00EB557C">
        <w:rPr>
          <w:rFonts w:cs="Times New Roman"/>
          <w:szCs w:val="24"/>
        </w:rPr>
        <w:t>wskazan</w:t>
      </w:r>
      <w:r w:rsidR="00E553E7" w:rsidRPr="00EB557C">
        <w:rPr>
          <w:rFonts w:cs="Times New Roman"/>
          <w:szCs w:val="24"/>
        </w:rPr>
        <w:t>ie</w:t>
      </w:r>
      <w:r w:rsidR="30D1BE95" w:rsidRPr="00EB557C">
        <w:rPr>
          <w:rFonts w:cs="Times New Roman"/>
          <w:szCs w:val="24"/>
        </w:rPr>
        <w:t>, że deklaracje wytwórców biometanu o zamiarze jego sprzedaży złożone i nierozpatrzone przed dniem wejścia projektowanej ustawy w życie:</w:t>
      </w:r>
    </w:p>
    <w:p w14:paraId="03F3E0AB" w14:textId="0927CEA2" w:rsidR="7C87C572" w:rsidRPr="00EB557C" w:rsidRDefault="3CEC858B" w:rsidP="00532F7E">
      <w:pPr>
        <w:pStyle w:val="Akapitzlist"/>
        <w:numPr>
          <w:ilvl w:val="0"/>
          <w:numId w:val="5"/>
        </w:numPr>
        <w:spacing w:before="120" w:after="0"/>
        <w:ind w:left="284" w:hanging="284"/>
        <w:rPr>
          <w:rFonts w:eastAsia="Times New Roman" w:cs="Times New Roman"/>
          <w:szCs w:val="24"/>
        </w:rPr>
      </w:pPr>
      <w:r w:rsidRPr="00EB557C">
        <w:rPr>
          <w:rFonts w:eastAsia="Times New Roman" w:cs="Times New Roman"/>
          <w:szCs w:val="24"/>
        </w:rPr>
        <w:t>należy uzupełnić o oświadczenie dotyczące kryteriów zrównoważonego rozwoju (art. 83m ust. 3 pkt 5 ustawy OZE), oraz</w:t>
      </w:r>
    </w:p>
    <w:p w14:paraId="4C14A0F6" w14:textId="01BD6B4A" w:rsidR="7C87C572" w:rsidRPr="00EB557C" w:rsidRDefault="30D1BE95" w:rsidP="00532F7E">
      <w:pPr>
        <w:pStyle w:val="Akapitzlist"/>
        <w:numPr>
          <w:ilvl w:val="0"/>
          <w:numId w:val="5"/>
        </w:numPr>
        <w:spacing w:before="120" w:after="0"/>
        <w:ind w:left="284" w:hanging="284"/>
        <w:rPr>
          <w:rFonts w:eastAsia="Times New Roman" w:cs="Times New Roman"/>
          <w:szCs w:val="24"/>
        </w:rPr>
      </w:pPr>
      <w:r w:rsidRPr="00EB557C">
        <w:rPr>
          <w:rFonts w:eastAsia="Times New Roman" w:cs="Times New Roman"/>
          <w:szCs w:val="24"/>
        </w:rPr>
        <w:t>należy uzupełnić o dodatkowe informacje</w:t>
      </w:r>
      <w:r w:rsidR="00316F40" w:rsidRPr="00EB557C">
        <w:rPr>
          <w:rFonts w:eastAsia="Times New Roman" w:cs="Times New Roman"/>
          <w:szCs w:val="24"/>
        </w:rPr>
        <w:t xml:space="preserve"> i oświadczeni</w:t>
      </w:r>
      <w:r w:rsidR="000456E3" w:rsidRPr="00EB557C">
        <w:rPr>
          <w:rFonts w:eastAsia="Times New Roman" w:cs="Times New Roman"/>
          <w:szCs w:val="24"/>
        </w:rPr>
        <w:t>e</w:t>
      </w:r>
      <w:r w:rsidRPr="00EB557C">
        <w:rPr>
          <w:rFonts w:eastAsia="Times New Roman" w:cs="Times New Roman"/>
          <w:szCs w:val="24"/>
        </w:rPr>
        <w:t>, o których mowa w art. 83m ust. 4 pkt 7</w:t>
      </w:r>
      <w:r w:rsidR="05D69152" w:rsidRPr="00EB557C">
        <w:rPr>
          <w:rFonts w:eastAsia="Times New Roman" w:cs="Times New Roman"/>
          <w:szCs w:val="24"/>
        </w:rPr>
        <w:t xml:space="preserve"> ustawy OZE</w:t>
      </w:r>
      <w:r w:rsidRPr="00EB557C">
        <w:rPr>
          <w:rFonts w:eastAsia="Times New Roman" w:cs="Times New Roman"/>
          <w:szCs w:val="24"/>
        </w:rPr>
        <w:t xml:space="preserve">, </w:t>
      </w:r>
      <w:r w:rsidR="000456E3" w:rsidRPr="00EB557C">
        <w:rPr>
          <w:rFonts w:eastAsia="Times New Roman" w:cs="Times New Roman"/>
          <w:szCs w:val="24"/>
        </w:rPr>
        <w:t xml:space="preserve">wskazujące </w:t>
      </w:r>
      <w:r w:rsidR="00DA57EF" w:rsidRPr="00EB557C">
        <w:rPr>
          <w:rFonts w:eastAsia="Times New Roman" w:cs="Times New Roman"/>
          <w:szCs w:val="24"/>
        </w:rPr>
        <w:t xml:space="preserve">źródło pochodzenia </w:t>
      </w:r>
      <w:r w:rsidR="00920C49" w:rsidRPr="00EB557C">
        <w:rPr>
          <w:rFonts w:eastAsia="Times New Roman" w:cs="Times New Roman"/>
          <w:szCs w:val="24"/>
        </w:rPr>
        <w:t>biogaz</w:t>
      </w:r>
      <w:r w:rsidR="00DA57EF" w:rsidRPr="00EB557C">
        <w:rPr>
          <w:rFonts w:eastAsia="Times New Roman" w:cs="Times New Roman"/>
          <w:szCs w:val="24"/>
        </w:rPr>
        <w:t>u</w:t>
      </w:r>
      <w:r w:rsidR="00920C49" w:rsidRPr="00EB557C">
        <w:rPr>
          <w:rFonts w:eastAsia="Times New Roman" w:cs="Times New Roman"/>
          <w:szCs w:val="24"/>
        </w:rPr>
        <w:t xml:space="preserve"> lub biogazu rolnicz</w:t>
      </w:r>
      <w:r w:rsidR="00DA57EF" w:rsidRPr="00EB557C">
        <w:rPr>
          <w:rFonts w:eastAsia="Times New Roman" w:cs="Times New Roman"/>
          <w:szCs w:val="24"/>
        </w:rPr>
        <w:t xml:space="preserve">ego </w:t>
      </w:r>
      <w:r w:rsidR="00920C49" w:rsidRPr="00EB557C">
        <w:rPr>
          <w:rFonts w:eastAsia="Times New Roman" w:cs="Times New Roman"/>
          <w:szCs w:val="24"/>
        </w:rPr>
        <w:t>wykorzystywan</w:t>
      </w:r>
      <w:r w:rsidR="00DA57EF" w:rsidRPr="00EB557C">
        <w:rPr>
          <w:rFonts w:eastAsia="Times New Roman" w:cs="Times New Roman"/>
          <w:szCs w:val="24"/>
        </w:rPr>
        <w:t>ego</w:t>
      </w:r>
      <w:r w:rsidR="00920C49" w:rsidRPr="00EB557C">
        <w:rPr>
          <w:rFonts w:eastAsia="Times New Roman" w:cs="Times New Roman"/>
          <w:szCs w:val="24"/>
        </w:rPr>
        <w:t xml:space="preserve"> do </w:t>
      </w:r>
      <w:r w:rsidRPr="00EB557C">
        <w:rPr>
          <w:rFonts w:eastAsia="Times New Roman" w:cs="Times New Roman"/>
          <w:szCs w:val="24"/>
        </w:rPr>
        <w:t xml:space="preserve">wytworzenia biometanu </w:t>
      </w:r>
      <w:r w:rsidR="00920C49" w:rsidRPr="00EB557C">
        <w:rPr>
          <w:rFonts w:eastAsia="Times New Roman" w:cs="Times New Roman"/>
          <w:szCs w:val="24"/>
        </w:rPr>
        <w:t xml:space="preserve">(tj. czy jest on </w:t>
      </w:r>
      <w:r w:rsidRPr="00EB557C">
        <w:rPr>
          <w:rFonts w:eastAsia="Times New Roman" w:cs="Times New Roman"/>
          <w:szCs w:val="24"/>
        </w:rPr>
        <w:t>wytworzony</w:t>
      </w:r>
      <w:r w:rsidRPr="00EB557C">
        <w:rPr>
          <w:rFonts w:eastAsia="Times New Roman" w:cs="Times New Roman"/>
          <w:b/>
          <w:bCs/>
          <w:szCs w:val="24"/>
        </w:rPr>
        <w:t xml:space="preserve"> </w:t>
      </w:r>
      <w:r w:rsidRPr="00EB557C">
        <w:rPr>
          <w:rFonts w:eastAsia="Times New Roman" w:cs="Times New Roman"/>
          <w:szCs w:val="24"/>
        </w:rPr>
        <w:t>w instalacji odnawialnego źródła energii</w:t>
      </w:r>
      <w:r w:rsidRPr="00EB557C">
        <w:rPr>
          <w:rFonts w:eastAsia="Times New Roman" w:cs="Times New Roman"/>
          <w:b/>
          <w:bCs/>
          <w:szCs w:val="24"/>
        </w:rPr>
        <w:t xml:space="preserve"> </w:t>
      </w:r>
      <w:r w:rsidR="006B15D8" w:rsidRPr="00EB557C">
        <w:rPr>
          <w:rFonts w:eastAsia="Times New Roman" w:cs="Times New Roman"/>
          <w:szCs w:val="24"/>
        </w:rPr>
        <w:t xml:space="preserve">innej niż </w:t>
      </w:r>
      <w:r w:rsidRPr="00EB557C">
        <w:rPr>
          <w:rFonts w:eastAsia="Times New Roman" w:cs="Times New Roman"/>
          <w:szCs w:val="24"/>
        </w:rPr>
        <w:t>instalacj</w:t>
      </w:r>
      <w:r w:rsidR="006B15D8" w:rsidRPr="00EB557C">
        <w:rPr>
          <w:rFonts w:eastAsia="Times New Roman" w:cs="Times New Roman"/>
          <w:szCs w:val="24"/>
        </w:rPr>
        <w:t>a</w:t>
      </w:r>
      <w:r w:rsidRPr="00EB557C">
        <w:rPr>
          <w:rFonts w:eastAsia="Times New Roman" w:cs="Times New Roman"/>
          <w:szCs w:val="24"/>
        </w:rPr>
        <w:t xml:space="preserve">, w której wytwórca </w:t>
      </w:r>
      <w:r w:rsidR="006B15D8" w:rsidRPr="00EB557C">
        <w:rPr>
          <w:rFonts w:eastAsia="Times New Roman" w:cs="Times New Roman"/>
          <w:szCs w:val="24"/>
        </w:rPr>
        <w:t xml:space="preserve">wnioskujący o wsparcie </w:t>
      </w:r>
      <w:r w:rsidRPr="00EB557C">
        <w:rPr>
          <w:rFonts w:eastAsia="Times New Roman" w:cs="Times New Roman"/>
          <w:szCs w:val="24"/>
        </w:rPr>
        <w:t>wytwarza biometan</w:t>
      </w:r>
      <w:r w:rsidR="00B664E0" w:rsidRPr="00EB557C">
        <w:rPr>
          <w:rFonts w:eastAsia="Times New Roman" w:cs="Times New Roman"/>
          <w:szCs w:val="24"/>
        </w:rPr>
        <w:t>)</w:t>
      </w:r>
      <w:r w:rsidRPr="00EB557C">
        <w:rPr>
          <w:rFonts w:eastAsia="Times New Roman" w:cs="Times New Roman"/>
          <w:szCs w:val="24"/>
        </w:rPr>
        <w:t xml:space="preserve">, </w:t>
      </w:r>
    </w:p>
    <w:p w14:paraId="205CAADC" w14:textId="05F73A27" w:rsidR="00AD19D1" w:rsidRPr="00EB557C" w:rsidRDefault="3CEC858B" w:rsidP="00532F7E">
      <w:pPr>
        <w:pStyle w:val="Akapitzlist"/>
        <w:numPr>
          <w:ilvl w:val="0"/>
          <w:numId w:val="5"/>
        </w:numPr>
        <w:spacing w:before="120" w:after="0"/>
        <w:ind w:left="284" w:hanging="284"/>
        <w:rPr>
          <w:rFonts w:eastAsia="Times New Roman" w:cs="Times New Roman"/>
          <w:szCs w:val="24"/>
        </w:rPr>
      </w:pPr>
      <w:r w:rsidRPr="00EB557C">
        <w:rPr>
          <w:rFonts w:eastAsia="Times New Roman" w:cs="Times New Roman"/>
          <w:szCs w:val="24"/>
        </w:rPr>
        <w:t>pozostają bez rozpatrzenia, jeżeli nie dołączono do deklaracji dokumentów dot. pozwolenia na budowę i warunków przyłączenia do sieci elektroenergetycznej (art. 83m ust. 12a ustawy OZE)</w:t>
      </w:r>
      <w:r w:rsidR="00AD19D1" w:rsidRPr="00EB557C">
        <w:rPr>
          <w:rFonts w:eastAsia="Times New Roman" w:cs="Times New Roman"/>
          <w:szCs w:val="24"/>
        </w:rPr>
        <w:t>,</w:t>
      </w:r>
    </w:p>
    <w:p w14:paraId="7BF26E8C" w14:textId="2A6A4C06" w:rsidR="00AD19D1" w:rsidRPr="00EB557C" w:rsidRDefault="3CEC858B" w:rsidP="00532F7E">
      <w:pPr>
        <w:pStyle w:val="Akapitzlist"/>
        <w:numPr>
          <w:ilvl w:val="0"/>
          <w:numId w:val="5"/>
        </w:numPr>
        <w:spacing w:before="120" w:after="0"/>
        <w:ind w:left="284" w:hanging="284"/>
        <w:rPr>
          <w:rFonts w:eastAsia="Times New Roman" w:cs="Times New Roman"/>
          <w:szCs w:val="24"/>
        </w:rPr>
      </w:pPr>
      <w:r w:rsidRPr="00EB557C">
        <w:rPr>
          <w:rFonts w:eastAsia="Times New Roman" w:cs="Times New Roman"/>
          <w:szCs w:val="24"/>
        </w:rPr>
        <w:t xml:space="preserve">stosuje się zasady dotyczące kumulacji pomocy i uwzględniania pomocy inwestycyjnej w cenie skorygowanej zakupu biometanu wskazane w ustawie. </w:t>
      </w:r>
    </w:p>
    <w:p w14:paraId="4A3850B5" w14:textId="583F16F5" w:rsidR="003D3478" w:rsidRPr="00EB557C" w:rsidRDefault="3A134619" w:rsidP="00532F7E">
      <w:pPr>
        <w:spacing w:before="120" w:after="0"/>
        <w:ind w:firstLine="0"/>
        <w:rPr>
          <w:rFonts w:cs="Times New Roman"/>
          <w:b/>
          <w:bCs/>
          <w:szCs w:val="24"/>
          <w:u w:val="single"/>
        </w:rPr>
      </w:pPr>
      <w:r w:rsidRPr="00EB557C">
        <w:rPr>
          <w:rFonts w:cs="Times New Roman"/>
          <w:szCs w:val="24"/>
        </w:rPr>
        <w:t>Natomiast deklaracje wytwórców biometanu o zamiarze jego sprzedaży złożone i nierozpatrzone przed dniem wejścia projektowanej ustawy w życie</w:t>
      </w:r>
      <w:r w:rsidR="5D2CCD65" w:rsidRPr="00EB557C">
        <w:rPr>
          <w:rFonts w:cs="Times New Roman"/>
          <w:szCs w:val="24"/>
        </w:rPr>
        <w:t>,</w:t>
      </w:r>
      <w:r w:rsidRPr="00EB557C">
        <w:rPr>
          <w:rFonts w:cs="Times New Roman"/>
          <w:szCs w:val="24"/>
        </w:rPr>
        <w:t xml:space="preserve"> w zakresie </w:t>
      </w:r>
      <w:r w:rsidR="6677208E" w:rsidRPr="00EB557C">
        <w:rPr>
          <w:rFonts w:cs="Times New Roman"/>
          <w:szCs w:val="24"/>
        </w:rPr>
        <w:t xml:space="preserve">oświadczenia o </w:t>
      </w:r>
      <w:r w:rsidRPr="00EB557C">
        <w:rPr>
          <w:rFonts w:cs="Times New Roman"/>
          <w:szCs w:val="24"/>
        </w:rPr>
        <w:t>braku wytworzenia biometanu w tej instalacji do dnia złożenia deklaracji</w:t>
      </w:r>
      <w:r w:rsidR="00652968" w:rsidRPr="00EB557C">
        <w:rPr>
          <w:rFonts w:cs="Times New Roman"/>
          <w:szCs w:val="24"/>
        </w:rPr>
        <w:t xml:space="preserve">, podlegają rozpatrzeniu </w:t>
      </w:r>
      <w:r w:rsidR="00881C98" w:rsidRPr="00EB557C">
        <w:rPr>
          <w:rFonts w:cs="Times New Roman"/>
          <w:szCs w:val="24"/>
        </w:rPr>
        <w:t xml:space="preserve">po ich stosownym uzupełnieniu na wezwanie </w:t>
      </w:r>
      <w:r w:rsidR="00EF6ECD" w:rsidRPr="00EB557C">
        <w:rPr>
          <w:rFonts w:cs="Times New Roman"/>
          <w:szCs w:val="24"/>
        </w:rPr>
        <w:t xml:space="preserve">Prezesa </w:t>
      </w:r>
      <w:r w:rsidR="00991BCF" w:rsidRPr="00EB557C">
        <w:rPr>
          <w:rFonts w:cs="Times New Roman"/>
          <w:szCs w:val="24"/>
        </w:rPr>
        <w:t xml:space="preserve">URE </w:t>
      </w:r>
      <w:r w:rsidR="003876C3" w:rsidRPr="00EB557C">
        <w:rPr>
          <w:rFonts w:cs="Times New Roman"/>
          <w:szCs w:val="24"/>
        </w:rPr>
        <w:t>w określonym przepisami terminie</w:t>
      </w:r>
      <w:r w:rsidR="00652968" w:rsidRPr="00EB557C">
        <w:rPr>
          <w:rFonts w:cs="Times New Roman"/>
          <w:szCs w:val="24"/>
        </w:rPr>
        <w:t>.</w:t>
      </w:r>
      <w:r w:rsidR="3AA97561" w:rsidRPr="00EB557C">
        <w:rPr>
          <w:rFonts w:cs="Times New Roman"/>
          <w:szCs w:val="24"/>
        </w:rPr>
        <w:t xml:space="preserve"> </w:t>
      </w:r>
      <w:r w:rsidR="003876C3" w:rsidRPr="00EB557C">
        <w:rPr>
          <w:rFonts w:cs="Times New Roman"/>
          <w:szCs w:val="24"/>
        </w:rPr>
        <w:t>W przypadku niedopełnienia powyższego deklaracje te pozostawia się bez rozpatrzenia.</w:t>
      </w:r>
    </w:p>
    <w:p w14:paraId="7DF18ED1" w14:textId="16E18E6F" w:rsidR="3A134619" w:rsidRPr="00EB557C" w:rsidRDefault="30D1BE95" w:rsidP="00532F7E">
      <w:pPr>
        <w:spacing w:before="120" w:after="0"/>
        <w:ind w:firstLine="0"/>
        <w:rPr>
          <w:rFonts w:eastAsia="Times New Roman" w:cs="Times New Roman"/>
          <w:b/>
          <w:bCs/>
          <w:szCs w:val="24"/>
          <w:u w:val="single"/>
        </w:rPr>
      </w:pPr>
      <w:r w:rsidRPr="00EB557C">
        <w:rPr>
          <w:rFonts w:eastAsia="Times New Roman" w:cs="Times New Roman"/>
          <w:b/>
          <w:bCs/>
          <w:szCs w:val="24"/>
        </w:rPr>
        <w:t>Monitorowanie poziomu przyznawanego wsparcia</w:t>
      </w:r>
    </w:p>
    <w:p w14:paraId="6259141A" w14:textId="689AA919" w:rsidR="003C58A9" w:rsidRPr="00EB557C" w:rsidRDefault="2B9D24F5" w:rsidP="00532F7E">
      <w:pPr>
        <w:spacing w:before="120" w:after="0"/>
        <w:ind w:firstLine="0"/>
        <w:rPr>
          <w:rFonts w:cs="Times New Roman"/>
          <w:szCs w:val="24"/>
        </w:rPr>
      </w:pPr>
      <w:r w:rsidRPr="00EB557C">
        <w:rPr>
          <w:rFonts w:cs="Times New Roman"/>
          <w:szCs w:val="24"/>
        </w:rPr>
        <w:t>Z</w:t>
      </w:r>
      <w:r w:rsidR="491446F7" w:rsidRPr="00EB557C">
        <w:rPr>
          <w:rFonts w:cs="Times New Roman"/>
          <w:szCs w:val="24"/>
        </w:rPr>
        <w:t>godnie z art. 4 ust. 1 lit. v rozporządzenia GBER, pomoc operacyjna na</w:t>
      </w:r>
      <w:r w:rsidR="36B1A8AE" w:rsidRPr="00EB557C">
        <w:rPr>
          <w:rFonts w:cs="Times New Roman"/>
          <w:szCs w:val="24"/>
        </w:rPr>
        <w:t xml:space="preserve"> </w:t>
      </w:r>
      <w:r w:rsidR="491446F7" w:rsidRPr="00EB557C">
        <w:rPr>
          <w:rFonts w:cs="Times New Roman"/>
          <w:szCs w:val="24"/>
        </w:rPr>
        <w:t>propagowanie energii elektrycznej ze źródeł odnawialnych nie może wynosić więcej niż 30 mln EUR na przedsiębiorstwo</w:t>
      </w:r>
      <w:r w:rsidR="3353C038" w:rsidRPr="00EB557C">
        <w:rPr>
          <w:rFonts w:cs="Times New Roman"/>
          <w:szCs w:val="24"/>
        </w:rPr>
        <w:t xml:space="preserve"> </w:t>
      </w:r>
      <w:r w:rsidR="491446F7" w:rsidRPr="00EB557C">
        <w:rPr>
          <w:rFonts w:cs="Times New Roman"/>
          <w:szCs w:val="24"/>
        </w:rPr>
        <w:t xml:space="preserve">na projekt. </w:t>
      </w:r>
      <w:r w:rsidR="2389DFFB" w:rsidRPr="00EB557C">
        <w:rPr>
          <w:rFonts w:cs="Times New Roman"/>
          <w:szCs w:val="24"/>
        </w:rPr>
        <w:t xml:space="preserve">Zaś </w:t>
      </w:r>
      <w:r w:rsidR="491446F7" w:rsidRPr="00EB557C">
        <w:rPr>
          <w:rFonts w:cs="Times New Roman"/>
          <w:szCs w:val="24"/>
        </w:rPr>
        <w:t>suma budżetów wszystkich programów objętych art.</w:t>
      </w:r>
      <w:r w:rsidR="6B1EEFA9" w:rsidRPr="00EB557C">
        <w:rPr>
          <w:rFonts w:cs="Times New Roman"/>
          <w:szCs w:val="24"/>
        </w:rPr>
        <w:t> </w:t>
      </w:r>
      <w:r w:rsidR="491446F7" w:rsidRPr="00EB557C">
        <w:rPr>
          <w:rFonts w:cs="Times New Roman"/>
          <w:szCs w:val="24"/>
        </w:rPr>
        <w:t xml:space="preserve">42 </w:t>
      </w:r>
      <w:r w:rsidR="2389DFFB" w:rsidRPr="00EB557C">
        <w:rPr>
          <w:rFonts w:cs="Times New Roman"/>
          <w:szCs w:val="24"/>
        </w:rPr>
        <w:t xml:space="preserve">rozporządzenia </w:t>
      </w:r>
      <w:r w:rsidR="491446F7" w:rsidRPr="00EB557C">
        <w:rPr>
          <w:rFonts w:cs="Times New Roman"/>
          <w:szCs w:val="24"/>
        </w:rPr>
        <w:t>GBER i suma budżetów wszystkich programów objętych art. 43 GBER nie może przekraczać odpowiednio 300 mln EUR rocznie</w:t>
      </w:r>
      <w:r w:rsidR="016EBC6B" w:rsidRPr="00EB557C">
        <w:rPr>
          <w:rFonts w:cs="Times New Roman"/>
          <w:szCs w:val="24"/>
        </w:rPr>
        <w:t xml:space="preserve"> oraz wysokości środków przeznaczonych na dany system wsparcia zgłoszony </w:t>
      </w:r>
      <w:r w:rsidR="110C5275" w:rsidRPr="00EB557C">
        <w:rPr>
          <w:rFonts w:cs="Times New Roman"/>
          <w:szCs w:val="24"/>
        </w:rPr>
        <w:t xml:space="preserve">KE </w:t>
      </w:r>
      <w:r w:rsidR="016EBC6B" w:rsidRPr="00EB557C">
        <w:rPr>
          <w:rFonts w:cs="Times New Roman"/>
          <w:szCs w:val="24"/>
        </w:rPr>
        <w:t>przez Polskę</w:t>
      </w:r>
      <w:r w:rsidR="491446F7" w:rsidRPr="00EB557C">
        <w:rPr>
          <w:rFonts w:cs="Times New Roman"/>
          <w:szCs w:val="24"/>
        </w:rPr>
        <w:t>.</w:t>
      </w:r>
      <w:r w:rsidR="2389DFFB" w:rsidRPr="00EB557C">
        <w:rPr>
          <w:rFonts w:cs="Times New Roman"/>
          <w:szCs w:val="24"/>
        </w:rPr>
        <w:t xml:space="preserve"> </w:t>
      </w:r>
    </w:p>
    <w:p w14:paraId="468DD7D6" w14:textId="7E26DBE8" w:rsidR="00556507" w:rsidRPr="00EB557C" w:rsidRDefault="3A134619" w:rsidP="00532F7E">
      <w:pPr>
        <w:spacing w:before="120" w:after="0"/>
        <w:ind w:firstLine="0"/>
        <w:rPr>
          <w:rFonts w:cs="Times New Roman"/>
          <w:szCs w:val="24"/>
        </w:rPr>
      </w:pPr>
      <w:r w:rsidRPr="00EB557C">
        <w:rPr>
          <w:rFonts w:cs="Times New Roman"/>
          <w:szCs w:val="24"/>
        </w:rPr>
        <w:lastRenderedPageBreak/>
        <w:t>W związku z powyższym, w dodawanym art. 70fa ustawy o OZE i poprzez dodanie nowych ustępów w art. 83r</w:t>
      </w:r>
      <w:r w:rsidR="30D1BE95" w:rsidRPr="00EB557C">
        <w:rPr>
          <w:rFonts w:cs="Times New Roman"/>
          <w:szCs w:val="24"/>
        </w:rPr>
        <w:t xml:space="preserve"> </w:t>
      </w:r>
      <w:r w:rsidR="4ECDF5EE" w:rsidRPr="00EB557C">
        <w:rPr>
          <w:rFonts w:cs="Times New Roman"/>
          <w:szCs w:val="24"/>
        </w:rPr>
        <w:t>tej</w:t>
      </w:r>
      <w:r w:rsidRPr="00EB557C">
        <w:rPr>
          <w:rFonts w:cs="Times New Roman"/>
          <w:szCs w:val="24"/>
        </w:rPr>
        <w:t xml:space="preserve"> ustawy, utworzono mechanizm monitorowania limitu pomocy operacyjnej udzielanej ww. projektom w ramach systemów FiT i FiP tak dla energii elektrycznej z OZE jak i dla biometanu oraz monitorowania całości przydzielonego wsparcia operacyjnego dla instalacji OZE i wytwórców biometanu. Będzie on realizowany przez Prezesa URE. Wybór organu monitorującego podyktowany jest faktem, że to Prezes URE wydaje zaświadczenia umożliwiające wytwórcom OZE uczestnictwo w systemach wsparcia i posiada najlepszą wiedzę i dane umożliwiające kontrolowanie wartości przyznanej pomocy w całym okresie jej trwania w sposób bieżący.</w:t>
      </w:r>
    </w:p>
    <w:p w14:paraId="401B3A37" w14:textId="0241B796" w:rsidR="00FE2CF5" w:rsidRPr="00EB557C" w:rsidRDefault="3CEC858B" w:rsidP="00532F7E">
      <w:pPr>
        <w:spacing w:before="120" w:after="0"/>
        <w:ind w:firstLine="0"/>
        <w:rPr>
          <w:rFonts w:cs="Times New Roman"/>
          <w:szCs w:val="24"/>
        </w:rPr>
      </w:pPr>
      <w:r w:rsidRPr="00EB557C">
        <w:rPr>
          <w:rFonts w:cs="Times New Roman"/>
          <w:szCs w:val="24"/>
        </w:rPr>
        <w:t>Zgodnie z art. 70fa i art. 83r ustawy o OZE, Prezes URE będzie monitorował poziom przyznanego wsparcia określając szacowaną wartość przyznanego wsparcia określaną na dzień jego udzielenia, wykorzystując do tego celu algorytm uwzględniający:</w:t>
      </w:r>
    </w:p>
    <w:p w14:paraId="7525E89F" w14:textId="7F67A0E7" w:rsidR="00DE3399" w:rsidRPr="00EB557C" w:rsidRDefault="3A134619" w:rsidP="00532F7E">
      <w:pPr>
        <w:pStyle w:val="Akapitzlist"/>
        <w:numPr>
          <w:ilvl w:val="0"/>
          <w:numId w:val="7"/>
        </w:numPr>
        <w:spacing w:before="120" w:after="0"/>
        <w:ind w:left="284" w:hanging="284"/>
        <w:rPr>
          <w:rFonts w:cs="Times New Roman"/>
          <w:szCs w:val="24"/>
        </w:rPr>
      </w:pPr>
      <w:r w:rsidRPr="00EB557C">
        <w:rPr>
          <w:rFonts w:cs="Times New Roman"/>
          <w:szCs w:val="24"/>
        </w:rPr>
        <w:t>łączną ilość energii elektrycznej lub biometanu określonych przez wytwórcę w deklaracji przypadającą proporcjonalnie na poszczególne lata udzielonego wsparcia;</w:t>
      </w:r>
    </w:p>
    <w:p w14:paraId="03D721EC" w14:textId="18E547DF" w:rsidR="00E65E37" w:rsidRPr="00EB557C" w:rsidRDefault="032EE11F" w:rsidP="00532F7E">
      <w:pPr>
        <w:pStyle w:val="Akapitzlist"/>
        <w:numPr>
          <w:ilvl w:val="0"/>
          <w:numId w:val="7"/>
        </w:numPr>
        <w:spacing w:before="120" w:after="0"/>
        <w:ind w:left="284" w:hanging="284"/>
        <w:rPr>
          <w:rFonts w:eastAsia="Times New Roman" w:cs="Times New Roman"/>
          <w:szCs w:val="24"/>
        </w:rPr>
      </w:pPr>
      <w:r w:rsidRPr="00EB557C">
        <w:rPr>
          <w:rFonts w:cs="Times New Roman"/>
          <w:szCs w:val="24"/>
        </w:rPr>
        <w:t>średnią miesięczną ce</w:t>
      </w:r>
      <w:r w:rsidRPr="00EB557C">
        <w:rPr>
          <w:rFonts w:eastAsia="Times New Roman" w:cs="Times New Roman"/>
          <w:szCs w:val="24"/>
        </w:rPr>
        <w:t>nę energii elektrycznej lub gazu ziemnego w okresie pełnych 60 miesięcy poprzedzających miesiąc złożenia deklaracji, z wyłączeniem lat 2021</w:t>
      </w:r>
      <w:r w:rsidR="00CD4846">
        <w:rPr>
          <w:rFonts w:eastAsia="Times New Roman" w:cs="Times New Roman"/>
          <w:szCs w:val="24"/>
        </w:rPr>
        <w:t>–</w:t>
      </w:r>
      <w:r w:rsidRPr="00EB557C">
        <w:rPr>
          <w:rFonts w:eastAsia="Times New Roman" w:cs="Times New Roman"/>
          <w:szCs w:val="24"/>
        </w:rPr>
        <w:t>2023, stanowiąca średnią arytmetyczną z 60 wartości miesięcznych cen energii elektrycznej średnioważonych wolumenem obrotu (indeks TGeBASEm) lub gazu ziemnego wysokometanowego;</w:t>
      </w:r>
    </w:p>
    <w:p w14:paraId="3E10866A" w14:textId="02778CC0" w:rsidR="00DE3399" w:rsidRPr="00EB557C" w:rsidRDefault="30D1BE95" w:rsidP="00532F7E">
      <w:pPr>
        <w:pStyle w:val="Akapitzlist"/>
        <w:numPr>
          <w:ilvl w:val="0"/>
          <w:numId w:val="7"/>
        </w:numPr>
        <w:spacing w:before="120" w:after="0"/>
        <w:ind w:left="284" w:hanging="284"/>
        <w:rPr>
          <w:rFonts w:cs="Times New Roman"/>
          <w:szCs w:val="24"/>
        </w:rPr>
      </w:pPr>
      <w:r w:rsidRPr="00EB557C">
        <w:rPr>
          <w:rFonts w:cs="Times New Roman"/>
          <w:szCs w:val="24"/>
        </w:rPr>
        <w:t>stałą cenę zakupu, o której mowa w art. 70e ust. 1 pkt 2</w:t>
      </w:r>
      <w:r w:rsidR="28595788" w:rsidRPr="00EB557C">
        <w:rPr>
          <w:rFonts w:cs="Times New Roman"/>
          <w:szCs w:val="24"/>
        </w:rPr>
        <w:t xml:space="preserve"> ustawy o OZE</w:t>
      </w:r>
      <w:r w:rsidRPr="00EB557C">
        <w:rPr>
          <w:rFonts w:cs="Times New Roman"/>
          <w:szCs w:val="24"/>
        </w:rPr>
        <w:t>, lub stałą cenę biometanu, o której mowa w art. 83n ust. 1</w:t>
      </w:r>
      <w:r w:rsidR="2665F9AA" w:rsidRPr="00EB557C">
        <w:rPr>
          <w:rFonts w:cs="Times New Roman"/>
          <w:szCs w:val="24"/>
        </w:rPr>
        <w:t xml:space="preserve"> ustawy o OZE</w:t>
      </w:r>
      <w:r w:rsidRPr="00EB557C">
        <w:rPr>
          <w:rFonts w:cs="Times New Roman"/>
          <w:szCs w:val="24"/>
        </w:rPr>
        <w:t xml:space="preserve"> obowiązującą w dniu złożenia deklaracji wytwórcy zwaloryzowaną na dzień wydania zaświadczenia o przyznaniu wsparcia;</w:t>
      </w:r>
    </w:p>
    <w:p w14:paraId="07155EB5" w14:textId="46E7F70B" w:rsidR="00E65E37" w:rsidRPr="00EB557C" w:rsidRDefault="3A134619" w:rsidP="00532F7E">
      <w:pPr>
        <w:pStyle w:val="Akapitzlist"/>
        <w:numPr>
          <w:ilvl w:val="0"/>
          <w:numId w:val="7"/>
        </w:numPr>
        <w:spacing w:before="120" w:after="0"/>
        <w:ind w:left="284" w:hanging="284"/>
        <w:rPr>
          <w:rFonts w:cs="Times New Roman"/>
          <w:szCs w:val="24"/>
        </w:rPr>
      </w:pPr>
      <w:r w:rsidRPr="00EB557C">
        <w:rPr>
          <w:rFonts w:cs="Times New Roman"/>
          <w:szCs w:val="24"/>
        </w:rPr>
        <w:t>poziom inflacji w całym okresie udzielonego wsparcia stanowiący średnią wartość inflacji dla tego okresu, obliczoną z wykorzystaniem krótkoterminowej projekcji inflacji oraz celu inflacyjnego publikowanych przez Narodowy Bank Polski;</w:t>
      </w:r>
    </w:p>
    <w:p w14:paraId="66E2611E" w14:textId="50A54E3A" w:rsidR="3A134619" w:rsidRPr="00EB557C" w:rsidRDefault="3A134619" w:rsidP="00532F7E">
      <w:pPr>
        <w:pStyle w:val="Akapitzlist"/>
        <w:numPr>
          <w:ilvl w:val="0"/>
          <w:numId w:val="7"/>
        </w:numPr>
        <w:spacing w:before="120" w:after="0"/>
        <w:ind w:left="284" w:hanging="284"/>
        <w:rPr>
          <w:rFonts w:cs="Times New Roman"/>
          <w:szCs w:val="24"/>
        </w:rPr>
      </w:pPr>
      <w:r w:rsidRPr="00EB557C">
        <w:rPr>
          <w:rFonts w:cs="Times New Roman"/>
          <w:szCs w:val="24"/>
        </w:rPr>
        <w:t>okres, na jaki udzielone zostało wsparcie wytwórcy energii elektrycznej z OZE lub biometanu oraz wysokość stopy dyskonta.</w:t>
      </w:r>
    </w:p>
    <w:p w14:paraId="33214EDA" w14:textId="208A3224" w:rsidR="006A2CA8" w:rsidRPr="00EB557C" w:rsidRDefault="04DBBE76" w:rsidP="00532F7E">
      <w:pPr>
        <w:spacing w:before="120" w:after="0"/>
        <w:ind w:firstLine="0"/>
        <w:rPr>
          <w:rFonts w:cs="Times New Roman"/>
          <w:szCs w:val="24"/>
        </w:rPr>
      </w:pPr>
      <w:r w:rsidRPr="00EB557C">
        <w:rPr>
          <w:rFonts w:cs="Times New Roman"/>
          <w:szCs w:val="24"/>
        </w:rPr>
        <w:t xml:space="preserve">Należy przy tym wyjaśnić, że w zakresie średniej ceny w okresie 60 miesięcy poprzedzających miesiąc złożenia deklaracji zgodnie z roboczą interpretacją Komisji Europejskiej przekazaną poprzez dedykowany portal Estate Aid Wiki, wymóg związany z progiem pomocy z art. 4 rozporządzenia GBER, poniżej którego program pomocowy wyłączony jest z obowiązku notyfikacji uznaje się za spełniony, w momencie kiedy przeprowadzona kalkulacja </w:t>
      </w:r>
      <w:r w:rsidRPr="00EB557C">
        <w:rPr>
          <w:rFonts w:cs="Times New Roman"/>
          <w:i/>
          <w:iCs/>
          <w:szCs w:val="24"/>
        </w:rPr>
        <w:t>ex ante</w:t>
      </w:r>
      <w:r w:rsidRPr="00EB557C">
        <w:rPr>
          <w:rFonts w:cs="Times New Roman"/>
          <w:szCs w:val="24"/>
        </w:rPr>
        <w:t xml:space="preserve"> jako </w:t>
      </w:r>
      <w:r w:rsidRPr="00EB557C">
        <w:rPr>
          <w:rFonts w:cs="Times New Roman"/>
          <w:szCs w:val="24"/>
        </w:rPr>
        <w:lastRenderedPageBreak/>
        <w:t>cenę odniesienia bierze pod uwagę minimalne średnie ceny energii z ostatnich 5 lat przed wejściem w życie programu pomocowego, z wyłączeniem jednak lat 2021</w:t>
      </w:r>
      <w:r w:rsidR="00CD4846">
        <w:rPr>
          <w:rFonts w:cs="Times New Roman"/>
          <w:szCs w:val="24"/>
        </w:rPr>
        <w:t>–</w:t>
      </w:r>
      <w:r w:rsidRPr="00EB557C">
        <w:rPr>
          <w:rFonts w:cs="Times New Roman"/>
          <w:szCs w:val="24"/>
        </w:rPr>
        <w:t xml:space="preserve">2023. Projektodawca wskazał explicite średnią arytmetyczną z 60 wartości miesięcznych średnioważonych </w:t>
      </w:r>
      <w:r w:rsidR="002C3BEF" w:rsidRPr="00EB557C">
        <w:rPr>
          <w:rFonts w:cs="Times New Roman"/>
          <w:szCs w:val="24"/>
        </w:rPr>
        <w:t xml:space="preserve">wolumenem obrotu </w:t>
      </w:r>
      <w:r w:rsidRPr="00EB557C">
        <w:rPr>
          <w:rFonts w:cs="Times New Roman"/>
          <w:szCs w:val="24"/>
        </w:rPr>
        <w:t>cen energii lub gazu poprzedzających miesiąc złożenia deklaracji. Oznacza to, że pominięcie lat 2021</w:t>
      </w:r>
      <w:r w:rsidR="00CD4846">
        <w:rPr>
          <w:rFonts w:cs="Times New Roman"/>
          <w:szCs w:val="24"/>
        </w:rPr>
        <w:t>–</w:t>
      </w:r>
      <w:r w:rsidRPr="00EB557C">
        <w:rPr>
          <w:rFonts w:cs="Times New Roman"/>
          <w:szCs w:val="24"/>
        </w:rPr>
        <w:t xml:space="preserve">2023 nie skraca okresu branego pod uwagę, przy wyznaczaniu tej wartości. </w:t>
      </w:r>
    </w:p>
    <w:p w14:paraId="43A0A9CB" w14:textId="044DD521" w:rsidR="006A2CA8" w:rsidRPr="00EB557C" w:rsidRDefault="04DBBE76" w:rsidP="00532F7E">
      <w:pPr>
        <w:spacing w:before="120" w:after="0"/>
        <w:ind w:firstLine="0"/>
        <w:rPr>
          <w:rFonts w:cs="Times New Roman"/>
          <w:szCs w:val="24"/>
        </w:rPr>
      </w:pPr>
      <w:r w:rsidRPr="00EB557C">
        <w:rPr>
          <w:rFonts w:cs="Times New Roman"/>
          <w:szCs w:val="24"/>
        </w:rPr>
        <w:t>W związku z tym</w:t>
      </w:r>
      <w:r w:rsidR="00652968" w:rsidRPr="00EB557C">
        <w:rPr>
          <w:rFonts w:cs="Times New Roman"/>
          <w:szCs w:val="24"/>
        </w:rPr>
        <w:t>,</w:t>
      </w:r>
      <w:r w:rsidRPr="00EB557C">
        <w:rPr>
          <w:rFonts w:cs="Times New Roman"/>
          <w:szCs w:val="24"/>
        </w:rPr>
        <w:t xml:space="preserve"> w przypadku złożenia przez wytwórcę deklaracji w styczniu 2025 r. organ właściwy do wyliczenia limitu winien wziąć pod uwagę 12 miesięcy roku 2024 oraz lata 2017</w:t>
      </w:r>
      <w:r w:rsidR="00CD4846">
        <w:rPr>
          <w:rFonts w:cs="Times New Roman"/>
          <w:szCs w:val="24"/>
        </w:rPr>
        <w:t>–</w:t>
      </w:r>
      <w:r w:rsidRPr="00EB557C">
        <w:rPr>
          <w:rFonts w:cs="Times New Roman"/>
          <w:szCs w:val="24"/>
        </w:rPr>
        <w:t>2020, a więc łącznie 60 miesięcy z wyłączeniem lat 2021</w:t>
      </w:r>
      <w:r w:rsidR="00CD4846">
        <w:rPr>
          <w:rFonts w:cs="Times New Roman"/>
          <w:szCs w:val="24"/>
        </w:rPr>
        <w:t>–</w:t>
      </w:r>
      <w:r w:rsidRPr="00EB557C">
        <w:rPr>
          <w:rFonts w:cs="Times New Roman"/>
          <w:szCs w:val="24"/>
        </w:rPr>
        <w:t>2023. Ponadto</w:t>
      </w:r>
      <w:r w:rsidR="00652968" w:rsidRPr="00EB557C">
        <w:rPr>
          <w:rFonts w:cs="Times New Roman"/>
          <w:szCs w:val="24"/>
        </w:rPr>
        <w:t>,</w:t>
      </w:r>
      <w:r w:rsidRPr="00EB557C">
        <w:rPr>
          <w:rFonts w:cs="Times New Roman"/>
          <w:szCs w:val="24"/>
        </w:rPr>
        <w:t xml:space="preserve"> wyjaśnienia wymaga, że Prezes URE monitoruje szacunkową wartość wsparcia na dzień jego przyznania. Podejście takie wynika z wymogów przepisów unijnych, które nakazuje monitoring udzielnej pomocy publicznej w całym okresie jej obowiązywania. W związku z tym, że wsparcie w opisywanych systemach obowiązuje wytwórców w okresie nawet 15 lat, monitoring oparty jest o wartości estymowane na przyszłość w długim okresie czasu.</w:t>
      </w:r>
    </w:p>
    <w:p w14:paraId="735501BD" w14:textId="38F604F7" w:rsidR="004B3A70" w:rsidRPr="00EB557C" w:rsidRDefault="7C87C572" w:rsidP="00532F7E">
      <w:pPr>
        <w:tabs>
          <w:tab w:val="left" w:pos="426"/>
        </w:tabs>
        <w:spacing w:before="120" w:after="0"/>
        <w:ind w:firstLine="0"/>
        <w:rPr>
          <w:rFonts w:cs="Times New Roman"/>
          <w:b/>
          <w:bCs/>
          <w:szCs w:val="24"/>
          <w:u w:val="single"/>
        </w:rPr>
      </w:pPr>
      <w:bookmarkStart w:id="3" w:name="_Hlk148611645"/>
      <w:r w:rsidRPr="00EB557C">
        <w:rPr>
          <w:rFonts w:cs="Times New Roman"/>
          <w:b/>
          <w:bCs/>
          <w:szCs w:val="24"/>
        </w:rPr>
        <w:t>3.</w:t>
      </w:r>
      <w:r w:rsidR="00EB557C">
        <w:rPr>
          <w:rFonts w:cs="Times New Roman"/>
          <w:b/>
          <w:bCs/>
          <w:szCs w:val="24"/>
          <w:u w:val="single"/>
        </w:rPr>
        <w:tab/>
      </w:r>
      <w:r w:rsidRPr="00EB557C">
        <w:rPr>
          <w:rFonts w:cs="Times New Roman"/>
          <w:b/>
          <w:bCs/>
          <w:szCs w:val="24"/>
          <w:u w:val="single"/>
        </w:rPr>
        <w:t>Przyspieszenie wydawania zezwoleń w obszarze OZE</w:t>
      </w:r>
    </w:p>
    <w:bookmarkEnd w:id="3"/>
    <w:p w14:paraId="5D6C2494" w14:textId="2F402770" w:rsidR="00EB280E" w:rsidRPr="00EB557C" w:rsidRDefault="3A134619" w:rsidP="00532F7E">
      <w:pPr>
        <w:spacing w:before="120" w:after="0"/>
        <w:ind w:firstLine="0"/>
        <w:rPr>
          <w:rFonts w:cs="Times New Roman"/>
          <w:b/>
          <w:bCs/>
          <w:szCs w:val="24"/>
        </w:rPr>
      </w:pPr>
      <w:r w:rsidRPr="00EB557C">
        <w:rPr>
          <w:rFonts w:cs="Times New Roman"/>
          <w:b/>
          <w:bCs/>
          <w:szCs w:val="24"/>
        </w:rPr>
        <w:t>Cel i potrzeba wprowadzenia przepisów krajowych w zakresie przyśpieszenia wydawania zezwoleń w obszarze OZE</w:t>
      </w:r>
    </w:p>
    <w:p w14:paraId="7EBEEF26" w14:textId="63606AA6" w:rsidR="0007459E" w:rsidRPr="00EB557C" w:rsidRDefault="3CEC858B" w:rsidP="00532F7E">
      <w:pPr>
        <w:spacing w:before="120" w:after="0"/>
        <w:ind w:firstLine="0"/>
        <w:rPr>
          <w:rFonts w:cs="Times New Roman"/>
          <w:szCs w:val="24"/>
        </w:rPr>
      </w:pPr>
      <w:r w:rsidRPr="00EB557C">
        <w:rPr>
          <w:rFonts w:cs="Times New Roman"/>
          <w:szCs w:val="24"/>
        </w:rPr>
        <w:t xml:space="preserve">Konieczność dynamizacji rozwoju OZE, stanowiącej jeden ze sposobów wzmocnienia bezpieczeństwa energetycznego, jest szczególnie istotna zarówno dla prawodawcy unijnego jak i krajowego. Wagę tego zadania potwierdził choćby kryzys energetyczny wywołany agresją Rosji na Ukrainę. Jednym z kluczowych aspektów przyspieszenia rozwoju odnawialnych źródeł energii jest przyspieszenie realizacji procesu inwestycyjnego, co jest możliwe do zrealizowania poprzez skrócenie terminów wydawania zezwoleń i innych decyzji niezbędnych w tym procesie.  </w:t>
      </w:r>
    </w:p>
    <w:p w14:paraId="385E4DD4" w14:textId="643EC75C" w:rsidR="0007459E" w:rsidRPr="00EB557C" w:rsidRDefault="3A134619" w:rsidP="00532F7E">
      <w:pPr>
        <w:spacing w:before="120" w:after="0"/>
        <w:ind w:firstLine="0"/>
        <w:rPr>
          <w:rFonts w:cs="Times New Roman"/>
          <w:szCs w:val="24"/>
        </w:rPr>
      </w:pPr>
      <w:r w:rsidRPr="00EB557C">
        <w:rPr>
          <w:rFonts w:cs="Times New Roman"/>
          <w:szCs w:val="24"/>
        </w:rPr>
        <w:t xml:space="preserve">W dniu 30 grudnia 2022 r. weszło w życie </w:t>
      </w:r>
      <w:bookmarkStart w:id="4" w:name="_Hlk134690585"/>
      <w:r w:rsidRPr="00EB557C">
        <w:rPr>
          <w:rFonts w:cs="Times New Roman"/>
          <w:szCs w:val="24"/>
        </w:rPr>
        <w:t>rozporządzenie Rady (UE) 2022/2577 z dnia 22 grudnia 2022 r. ustanawiające ramy służące przyspieszeniu wdrażania rozwiązań w zakresie energii odnawialnej</w:t>
      </w:r>
      <w:bookmarkEnd w:id="4"/>
      <w:r w:rsidRPr="00EB557C">
        <w:rPr>
          <w:rFonts w:cs="Times New Roman"/>
          <w:szCs w:val="24"/>
        </w:rPr>
        <w:t>, dalej: „rozporządzenie Rady (UE) 2022/2577</w:t>
      </w:r>
      <w:r w:rsidR="014D3F36" w:rsidRPr="00EB557C">
        <w:rPr>
          <w:rFonts w:cs="Times New Roman"/>
          <w:szCs w:val="24"/>
        </w:rPr>
        <w:t>”</w:t>
      </w:r>
      <w:r w:rsidR="5083D879" w:rsidRPr="00EB557C">
        <w:rPr>
          <w:rFonts w:cs="Times New Roman"/>
          <w:szCs w:val="24"/>
        </w:rPr>
        <w:t xml:space="preserve"> lub </w:t>
      </w:r>
      <w:r w:rsidR="00EF232C" w:rsidRPr="00EB557C">
        <w:rPr>
          <w:rFonts w:cs="Times New Roman"/>
          <w:szCs w:val="24"/>
        </w:rPr>
        <w:t>„</w:t>
      </w:r>
      <w:r w:rsidR="5083D879" w:rsidRPr="00EB557C">
        <w:rPr>
          <w:rFonts w:cs="Times New Roman"/>
          <w:szCs w:val="24"/>
        </w:rPr>
        <w:t>rozporządzenie 2022/2577”, znowelizowane przez rozporządzenie Rady (UE) 2024/223 z dnia 22 grudnia 2023 r. w sprawie zmiany rozporządzenia (UE) 2022/2577 ustanawiającego ramy służące przyspieszeniu wdrażania rozwiązań w zakresie energii odnawialnej (Dz. Urz. UE L 2024/223 z 10.01.2024)</w:t>
      </w:r>
      <w:r w:rsidR="221C8D80" w:rsidRPr="00EB557C">
        <w:rPr>
          <w:rFonts w:cs="Times New Roman"/>
          <w:szCs w:val="24"/>
        </w:rPr>
        <w:t xml:space="preserve">. </w:t>
      </w:r>
    </w:p>
    <w:p w14:paraId="6A0BB70A" w14:textId="5BB0976D" w:rsidR="0007459E" w:rsidRPr="00EB557C" w:rsidRDefault="221C8D80" w:rsidP="00532F7E">
      <w:pPr>
        <w:spacing w:before="120" w:after="0"/>
        <w:ind w:firstLine="0"/>
        <w:rPr>
          <w:rFonts w:cs="Times New Roman"/>
          <w:szCs w:val="24"/>
        </w:rPr>
      </w:pPr>
      <w:r w:rsidRPr="00EB557C">
        <w:rPr>
          <w:rFonts w:cs="Times New Roman"/>
          <w:szCs w:val="24"/>
        </w:rPr>
        <w:lastRenderedPageBreak/>
        <w:t>U</w:t>
      </w:r>
      <w:r w:rsidR="3A134619" w:rsidRPr="00EB557C">
        <w:rPr>
          <w:rFonts w:cs="Times New Roman"/>
          <w:szCs w:val="24"/>
        </w:rPr>
        <w:t>stanawiało</w:t>
      </w:r>
      <w:r w:rsidR="014D3F36" w:rsidRPr="00EB557C">
        <w:rPr>
          <w:rFonts w:cs="Times New Roman"/>
          <w:szCs w:val="24"/>
        </w:rPr>
        <w:t xml:space="preserve"> </w:t>
      </w:r>
      <w:r w:rsidR="4CA8BF2A" w:rsidRPr="00EB557C">
        <w:rPr>
          <w:rFonts w:cs="Times New Roman"/>
          <w:szCs w:val="24"/>
        </w:rPr>
        <w:t>ono</w:t>
      </w:r>
      <w:r w:rsidR="3A134619" w:rsidRPr="00EB557C">
        <w:rPr>
          <w:rFonts w:cs="Times New Roman"/>
          <w:szCs w:val="24"/>
        </w:rPr>
        <w:t xml:space="preserve"> tymczasowe (na okres 18 miesięcy od wejścia w życie) rozwiązania o charakterze nadzwyczajnym, służące przyspieszeniu procedur wydawania zezwoleń dla wybranych źródeł wytwarzania energii odnawialnej</w:t>
      </w:r>
      <w:r w:rsidR="4693C0CB" w:rsidRPr="00EB557C">
        <w:rPr>
          <w:rFonts w:cs="Times New Roman"/>
          <w:szCs w:val="24"/>
        </w:rPr>
        <w:t>.</w:t>
      </w:r>
      <w:r w:rsidR="3A134619" w:rsidRPr="00EB557C">
        <w:rPr>
          <w:rFonts w:cs="Times New Roman"/>
          <w:szCs w:val="24"/>
        </w:rPr>
        <w:t xml:space="preserve"> </w:t>
      </w:r>
      <w:r w:rsidR="74BBD338" w:rsidRPr="00EB557C">
        <w:rPr>
          <w:rFonts w:cs="Times New Roman"/>
          <w:szCs w:val="24"/>
        </w:rPr>
        <w:t>S</w:t>
      </w:r>
      <w:r w:rsidR="014D3F36" w:rsidRPr="00EB557C">
        <w:rPr>
          <w:rFonts w:cs="Times New Roman"/>
          <w:szCs w:val="24"/>
        </w:rPr>
        <w:t>zczegól</w:t>
      </w:r>
      <w:r w:rsidR="3324A974" w:rsidRPr="00EB557C">
        <w:rPr>
          <w:rFonts w:cs="Times New Roman"/>
          <w:szCs w:val="24"/>
        </w:rPr>
        <w:t>nie</w:t>
      </w:r>
      <w:r w:rsidR="014D3F36" w:rsidRPr="00EB557C">
        <w:rPr>
          <w:rFonts w:cs="Times New Roman"/>
          <w:szCs w:val="24"/>
        </w:rPr>
        <w:t xml:space="preserve"> uwzględni</w:t>
      </w:r>
      <w:r w:rsidR="41419B14" w:rsidRPr="00EB557C">
        <w:rPr>
          <w:rFonts w:cs="Times New Roman"/>
          <w:szCs w:val="24"/>
        </w:rPr>
        <w:t>ono</w:t>
      </w:r>
      <w:r w:rsidR="014D3F36" w:rsidRPr="00EB557C">
        <w:rPr>
          <w:rFonts w:cs="Times New Roman"/>
          <w:szCs w:val="24"/>
        </w:rPr>
        <w:t xml:space="preserve"> technologi</w:t>
      </w:r>
      <w:r w:rsidR="1327D93B" w:rsidRPr="00EB557C">
        <w:rPr>
          <w:rFonts w:cs="Times New Roman"/>
          <w:szCs w:val="24"/>
        </w:rPr>
        <w:t>e</w:t>
      </w:r>
      <w:r w:rsidR="3A134619" w:rsidRPr="00EB557C">
        <w:rPr>
          <w:rFonts w:cs="Times New Roman"/>
          <w:szCs w:val="24"/>
        </w:rPr>
        <w:t xml:space="preserve"> lub </w:t>
      </w:r>
      <w:r w:rsidR="014D3F36" w:rsidRPr="00EB557C">
        <w:rPr>
          <w:rFonts w:cs="Times New Roman"/>
          <w:szCs w:val="24"/>
        </w:rPr>
        <w:t>projekt</w:t>
      </w:r>
      <w:r w:rsidR="00ED1DCF" w:rsidRPr="00EB557C">
        <w:rPr>
          <w:rFonts w:cs="Times New Roman"/>
          <w:szCs w:val="24"/>
        </w:rPr>
        <w:t>y</w:t>
      </w:r>
      <w:r w:rsidR="3A134619" w:rsidRPr="00EB557C">
        <w:rPr>
          <w:rFonts w:cs="Times New Roman"/>
          <w:szCs w:val="24"/>
        </w:rPr>
        <w:t>, które w szybki sposób mają wpłynąć na rozwój OZE</w:t>
      </w:r>
      <w:r w:rsidR="48532A82" w:rsidRPr="00EB557C">
        <w:rPr>
          <w:rFonts w:cs="Times New Roman"/>
          <w:szCs w:val="24"/>
        </w:rPr>
        <w:t>.</w:t>
      </w:r>
      <w:r w:rsidR="3A134619" w:rsidRPr="00EB557C">
        <w:rPr>
          <w:rFonts w:cs="Times New Roman"/>
          <w:szCs w:val="24"/>
        </w:rPr>
        <w:t xml:space="preserve"> </w:t>
      </w:r>
    </w:p>
    <w:p w14:paraId="6728453D" w14:textId="31AE10E2" w:rsidR="3A134619" w:rsidRPr="00EB557C" w:rsidRDefault="30D1BE95" w:rsidP="00532F7E">
      <w:pPr>
        <w:spacing w:before="120" w:after="0"/>
        <w:ind w:firstLine="0"/>
        <w:rPr>
          <w:rFonts w:cs="Times New Roman"/>
          <w:szCs w:val="24"/>
          <w:highlight w:val="yellow"/>
        </w:rPr>
      </w:pPr>
      <w:r w:rsidRPr="00EB557C">
        <w:rPr>
          <w:rFonts w:cs="Times New Roman"/>
          <w:szCs w:val="24"/>
        </w:rPr>
        <w:t xml:space="preserve">Wydanie ww. rozporządzenia jasno wskazało kierunek możliwych działań krajowych w celu przyspieszenia rozwoju OZE. </w:t>
      </w:r>
      <w:r w:rsidR="2C432BB7" w:rsidRPr="00EB557C">
        <w:rPr>
          <w:rFonts w:cs="Times New Roman"/>
          <w:szCs w:val="24"/>
        </w:rPr>
        <w:t>Mimo, że wskazane rozporządzenie ma charakter czasowy, zainicjowany nim kierunek zmian powinien być kontynuowany. W związku z tym, konieczne jest wprowadzenie na stałe do krajowego porządku prawnego rozwiązań polegających na skróceniu terminów na wydawanie niektórych decyzji w procesie inwestycyjnym, bowiem p</w:t>
      </w:r>
      <w:r w:rsidRPr="00EB557C">
        <w:rPr>
          <w:rFonts w:cs="Times New Roman"/>
          <w:szCs w:val="24"/>
        </w:rPr>
        <w:t xml:space="preserve">rojektowane przepisy krajowe w części w opinii projektodawcy powinny korzystać z rozwiązań i dobrych praktyk, które zostały </w:t>
      </w:r>
      <w:r w:rsidR="4082A2CB" w:rsidRPr="00EB557C">
        <w:rPr>
          <w:rFonts w:cs="Times New Roman"/>
          <w:szCs w:val="24"/>
        </w:rPr>
        <w:t>ujęte</w:t>
      </w:r>
      <w:r w:rsidRPr="00EB557C">
        <w:rPr>
          <w:rFonts w:cs="Times New Roman"/>
          <w:szCs w:val="24"/>
        </w:rPr>
        <w:t xml:space="preserve"> </w:t>
      </w:r>
      <w:r w:rsidR="14F08DA7" w:rsidRPr="00EB557C">
        <w:rPr>
          <w:rFonts w:cs="Times New Roman"/>
          <w:szCs w:val="24"/>
        </w:rPr>
        <w:t xml:space="preserve">przepisach </w:t>
      </w:r>
      <w:r w:rsidRPr="00EB557C">
        <w:rPr>
          <w:rFonts w:cs="Times New Roman"/>
          <w:szCs w:val="24"/>
        </w:rPr>
        <w:t>w rozporządzeni</w:t>
      </w:r>
      <w:r w:rsidR="6B956B6A" w:rsidRPr="00EB557C">
        <w:rPr>
          <w:rFonts w:cs="Times New Roman"/>
          <w:szCs w:val="24"/>
        </w:rPr>
        <w:t>a</w:t>
      </w:r>
      <w:r w:rsidRPr="00EB557C">
        <w:rPr>
          <w:rFonts w:cs="Times New Roman"/>
          <w:szCs w:val="24"/>
        </w:rPr>
        <w:t xml:space="preserve"> 2022/2577.</w:t>
      </w:r>
    </w:p>
    <w:p w14:paraId="47497EE5" w14:textId="242745AB" w:rsidR="002844A9" w:rsidRPr="00EB557C" w:rsidRDefault="3A134619" w:rsidP="00532F7E">
      <w:pPr>
        <w:spacing w:before="120" w:after="0"/>
        <w:ind w:firstLine="0"/>
        <w:rPr>
          <w:rFonts w:cs="Times New Roman"/>
          <w:szCs w:val="24"/>
        </w:rPr>
      </w:pPr>
      <w:r w:rsidRPr="00EB557C">
        <w:rPr>
          <w:rFonts w:cs="Times New Roman"/>
          <w:szCs w:val="24"/>
        </w:rPr>
        <w:t>Jednocześnie, w ocenie projektodawcy</w:t>
      </w:r>
      <w:r w:rsidR="00101E2A">
        <w:rPr>
          <w:rFonts w:cs="Times New Roman"/>
          <w:szCs w:val="24"/>
        </w:rPr>
        <w:t>,</w:t>
      </w:r>
      <w:r w:rsidRPr="00EB557C">
        <w:rPr>
          <w:rFonts w:cs="Times New Roman"/>
          <w:szCs w:val="24"/>
        </w:rPr>
        <w:t xml:space="preserve"> obecnie obowiązujące krajowe przepisy zapewniają możliwość stosowania rozporządzenia, tj. przewidziane w obowiązującym stanie prawnym okresy trwania kolejnych postępowań w procedurze inwestycyjnej, bez wliczania czasu na uzupełnienia czy odwołania, dają szansę na realizację inwestycji w instalacje OZE w wymaganym przez rozporządzenie terminie. Celem rozporządzenia Rady (UE) 2022/2577 jest, aby czas trwania tej procedury został, w konkretnych przypadkach, skrócony do okresów określonych w przepisach tego aktu. W krajowym stanie prawnym decyzję, która uzyskuje status ostateczności, wydaje organ pierwszej instancji. Ponadto, postępowanie przed organem drugiej instancji co do zasady nie jest obligatoryjne – ma miejsce dopiero w sytuacji, kiedy strona nieusatysfakcjonowana rozstrzygnięciem organu pierwszej instancji zdecyduje się na skorzystanie ze środka odwoławczego. Decydując się na wniesienie odwołania jest ona przy tym świadoma, że całość postepowania wydłuży się. Zatem, weryfikując czy postępowania krajowe spełniają wymagania rozporządzenia należy odnieść się do czasu, jaki jest niezbędny do uzyskania decyzji ostatecznej w pierwszej instancji, gdyż takie postępowanie zostanie przeprowadzone zawsze oraz doliczyć do tego czasu czas na wniesienie odwołania od decyzji, gdyż po jego upływie, decyzja staje się ostateczna. </w:t>
      </w:r>
    </w:p>
    <w:p w14:paraId="07E3E57B" w14:textId="4E270FDE" w:rsidR="00364C58" w:rsidRPr="00EB557C" w:rsidRDefault="624FF54E" w:rsidP="00532F7E">
      <w:pPr>
        <w:spacing w:before="120" w:after="0"/>
        <w:ind w:firstLine="0"/>
        <w:rPr>
          <w:rFonts w:cs="Times New Roman"/>
          <w:bCs/>
          <w:szCs w:val="24"/>
        </w:rPr>
      </w:pPr>
      <w:bookmarkStart w:id="5" w:name="_Hlk134692098"/>
      <w:r w:rsidRPr="00EB557C">
        <w:rPr>
          <w:rFonts w:cs="Times New Roman"/>
          <w:szCs w:val="24"/>
        </w:rPr>
        <w:t>Z</w:t>
      </w:r>
      <w:r w:rsidR="3A134619" w:rsidRPr="00EB557C">
        <w:rPr>
          <w:rFonts w:cs="Times New Roman"/>
          <w:szCs w:val="24"/>
        </w:rPr>
        <w:t> uwagi</w:t>
      </w:r>
      <w:r w:rsidR="00EF232C" w:rsidRPr="00EB557C">
        <w:rPr>
          <w:rFonts w:cs="Times New Roman"/>
          <w:szCs w:val="24"/>
        </w:rPr>
        <w:t xml:space="preserve"> </w:t>
      </w:r>
      <w:r w:rsidR="3A134619" w:rsidRPr="00EB557C">
        <w:rPr>
          <w:rFonts w:cs="Times New Roman"/>
          <w:szCs w:val="24"/>
        </w:rPr>
        <w:t xml:space="preserve">na potrzebę dynamizacji procesu transformacji energetycznej kraju </w:t>
      </w:r>
      <w:r w:rsidR="359A97C9" w:rsidRPr="00EB557C">
        <w:rPr>
          <w:rFonts w:cs="Times New Roman"/>
          <w:szCs w:val="24"/>
        </w:rPr>
        <w:t xml:space="preserve">postanowiono o </w:t>
      </w:r>
      <w:r w:rsidR="014D3F36" w:rsidRPr="00EB557C">
        <w:rPr>
          <w:rFonts w:cs="Times New Roman"/>
          <w:szCs w:val="24"/>
        </w:rPr>
        <w:t>dodatkow</w:t>
      </w:r>
      <w:r w:rsidR="002B18B7" w:rsidRPr="00EB557C">
        <w:rPr>
          <w:rFonts w:cs="Times New Roman"/>
          <w:szCs w:val="24"/>
        </w:rPr>
        <w:t>ym</w:t>
      </w:r>
      <w:r w:rsidR="014D3F36" w:rsidRPr="00EB557C">
        <w:rPr>
          <w:rFonts w:cs="Times New Roman"/>
          <w:szCs w:val="24"/>
        </w:rPr>
        <w:t xml:space="preserve"> uproszczeni</w:t>
      </w:r>
      <w:r w:rsidR="1AE4DAE6" w:rsidRPr="00EB557C">
        <w:rPr>
          <w:rFonts w:cs="Times New Roman"/>
          <w:szCs w:val="24"/>
        </w:rPr>
        <w:t>u</w:t>
      </w:r>
      <w:r w:rsidR="3A134619" w:rsidRPr="00EB557C">
        <w:rPr>
          <w:rFonts w:cs="Times New Roman"/>
          <w:szCs w:val="24"/>
        </w:rPr>
        <w:t xml:space="preserve"> zasad postępowania w procesie inwestycyjnym OZE i </w:t>
      </w:r>
      <w:r w:rsidR="014D3F36" w:rsidRPr="00EB557C">
        <w:rPr>
          <w:rFonts w:cs="Times New Roman"/>
          <w:szCs w:val="24"/>
        </w:rPr>
        <w:t>przyjęci</w:t>
      </w:r>
      <w:r w:rsidR="7F238F4C" w:rsidRPr="00EB557C">
        <w:rPr>
          <w:rFonts w:cs="Times New Roman"/>
          <w:szCs w:val="24"/>
        </w:rPr>
        <w:t>u</w:t>
      </w:r>
      <w:r w:rsidR="3A134619" w:rsidRPr="00EB557C">
        <w:rPr>
          <w:rFonts w:cs="Times New Roman"/>
          <w:szCs w:val="24"/>
        </w:rPr>
        <w:t xml:space="preserve"> w tym celu dodatkowych rozwiązań. </w:t>
      </w:r>
      <w:r w:rsidR="7612D519" w:rsidRPr="00EB557C">
        <w:rPr>
          <w:rFonts w:cs="Times New Roman"/>
          <w:szCs w:val="24"/>
        </w:rPr>
        <w:t>Rozwiązania</w:t>
      </w:r>
      <w:r w:rsidR="3A134619" w:rsidRPr="00EB557C">
        <w:rPr>
          <w:rFonts w:cs="Times New Roman"/>
          <w:szCs w:val="24"/>
        </w:rPr>
        <w:t xml:space="preserve"> w projekcie ustawy dotyczą instalowanych na budynkach instalacji odnawialnego źródła energii wykorzystujących do wytwarzania energii energię promieniowania słonecznego </w:t>
      </w:r>
      <w:bookmarkStart w:id="6" w:name="_Hlk174364608"/>
      <w:r w:rsidR="3A134619" w:rsidRPr="00EB557C">
        <w:rPr>
          <w:rFonts w:eastAsia="Times New Roman" w:cs="Times New Roman"/>
          <w:szCs w:val="24"/>
        </w:rPr>
        <w:t>oraz wchodzących w ich skład magazynów energii elektrycznej, w rozumieniu art. 3 pkt 10k ustawy z dnia 10 kwietnia 1997</w:t>
      </w:r>
      <w:r w:rsidR="00EF232C" w:rsidRPr="00EB557C">
        <w:rPr>
          <w:rFonts w:eastAsia="Times New Roman" w:cs="Times New Roman"/>
          <w:szCs w:val="24"/>
        </w:rPr>
        <w:t> </w:t>
      </w:r>
      <w:r w:rsidR="3A134619" w:rsidRPr="00EB557C">
        <w:rPr>
          <w:rFonts w:eastAsia="Times New Roman" w:cs="Times New Roman"/>
          <w:szCs w:val="24"/>
        </w:rPr>
        <w:t xml:space="preserve">r. – Prawo </w:t>
      </w:r>
      <w:r w:rsidR="3A134619" w:rsidRPr="00EB557C">
        <w:rPr>
          <w:rFonts w:eastAsia="Times New Roman" w:cs="Times New Roman"/>
          <w:szCs w:val="24"/>
        </w:rPr>
        <w:lastRenderedPageBreak/>
        <w:t>energetyczne</w:t>
      </w:r>
      <w:bookmarkEnd w:id="6"/>
      <w:r w:rsidR="3A134619" w:rsidRPr="00EB557C">
        <w:rPr>
          <w:rFonts w:cs="Times New Roman"/>
          <w:szCs w:val="24"/>
        </w:rPr>
        <w:t>, pomp ciepła, urządzeń i instalacji niezbędnych do przyłączenia do sieci danej instalacji OZE oraz nadbudowy, rozbudowy, przebudowy lub remontu instalacji OZE.</w:t>
      </w:r>
    </w:p>
    <w:p w14:paraId="1CFCEEA7" w14:textId="53E210A2" w:rsidR="002844A9" w:rsidRPr="00EB557C" w:rsidRDefault="00364C58" w:rsidP="00532F7E">
      <w:pPr>
        <w:spacing w:before="120" w:after="0"/>
        <w:ind w:firstLine="0"/>
        <w:rPr>
          <w:rFonts w:cs="Times New Roman"/>
          <w:bCs/>
          <w:szCs w:val="24"/>
        </w:rPr>
      </w:pPr>
      <w:r w:rsidRPr="00EB557C">
        <w:rPr>
          <w:rFonts w:cs="Times New Roman"/>
          <w:bCs/>
          <w:szCs w:val="24"/>
        </w:rPr>
        <w:t xml:space="preserve">W tym miejscu należy wyjaśnić, że w przypadku instalacji </w:t>
      </w:r>
      <w:r w:rsidR="002844A9" w:rsidRPr="00EB557C">
        <w:rPr>
          <w:rFonts w:cs="Times New Roman"/>
          <w:bCs/>
          <w:szCs w:val="24"/>
        </w:rPr>
        <w:t xml:space="preserve">OZE </w:t>
      </w:r>
      <w:r w:rsidR="005117E7" w:rsidRPr="00EB557C">
        <w:rPr>
          <w:rFonts w:cs="Times New Roman"/>
          <w:bCs/>
          <w:szCs w:val="24"/>
        </w:rPr>
        <w:t>wykorzystujących do wytwarzania energii energię promieniowania słonecznego</w:t>
      </w:r>
      <w:r w:rsidR="002055A7" w:rsidRPr="00EB557C">
        <w:rPr>
          <w:rFonts w:cs="Times New Roman"/>
          <w:bCs/>
          <w:szCs w:val="24"/>
        </w:rPr>
        <w:t>,</w:t>
      </w:r>
      <w:r w:rsidR="005117E7" w:rsidRPr="00EB557C">
        <w:rPr>
          <w:rFonts w:cs="Times New Roman"/>
          <w:bCs/>
          <w:szCs w:val="24"/>
        </w:rPr>
        <w:t xml:space="preserve"> </w:t>
      </w:r>
      <w:r w:rsidRPr="00EB557C">
        <w:rPr>
          <w:rFonts w:cs="Times New Roman"/>
          <w:bCs/>
          <w:szCs w:val="24"/>
        </w:rPr>
        <w:t xml:space="preserve">zostały one ograniczone do </w:t>
      </w:r>
      <w:r w:rsidR="005117E7" w:rsidRPr="00EB557C">
        <w:rPr>
          <w:rFonts w:cs="Times New Roman"/>
          <w:bCs/>
          <w:szCs w:val="24"/>
        </w:rPr>
        <w:t xml:space="preserve">instalacji </w:t>
      </w:r>
      <w:r w:rsidR="0067626D" w:rsidRPr="00EB557C">
        <w:rPr>
          <w:rFonts w:cs="Times New Roman"/>
          <w:bCs/>
          <w:szCs w:val="24"/>
        </w:rPr>
        <w:t xml:space="preserve">instalowanych </w:t>
      </w:r>
      <w:r w:rsidR="005117E7" w:rsidRPr="00EB557C">
        <w:rPr>
          <w:rFonts w:cs="Times New Roman"/>
          <w:bCs/>
          <w:szCs w:val="24"/>
        </w:rPr>
        <w:t>na budynkach</w:t>
      </w:r>
      <w:r w:rsidR="6EFA1496" w:rsidRPr="00EB557C">
        <w:rPr>
          <w:rFonts w:cs="Times New Roman"/>
          <w:szCs w:val="24"/>
        </w:rPr>
        <w:t>,</w:t>
      </w:r>
      <w:r w:rsidRPr="00EB557C">
        <w:rPr>
          <w:rFonts w:cs="Times New Roman"/>
          <w:bCs/>
          <w:szCs w:val="24"/>
        </w:rPr>
        <w:t xml:space="preserve"> </w:t>
      </w:r>
      <w:r w:rsidR="085203FC" w:rsidRPr="00EB557C">
        <w:rPr>
          <w:rFonts w:cs="Times New Roman"/>
          <w:szCs w:val="24"/>
        </w:rPr>
        <w:t xml:space="preserve">co jest kontynuacją celu </w:t>
      </w:r>
      <w:r w:rsidR="772F640E" w:rsidRPr="00EB557C">
        <w:rPr>
          <w:rFonts w:cs="Times New Roman"/>
          <w:szCs w:val="24"/>
        </w:rPr>
        <w:t>wyrażon</w:t>
      </w:r>
      <w:r w:rsidR="6A7E3000" w:rsidRPr="00EB557C">
        <w:rPr>
          <w:rFonts w:cs="Times New Roman"/>
          <w:szCs w:val="24"/>
        </w:rPr>
        <w:t>ego</w:t>
      </w:r>
      <w:r w:rsidRPr="00EB557C">
        <w:rPr>
          <w:rFonts w:cs="Times New Roman"/>
          <w:bCs/>
          <w:szCs w:val="24"/>
        </w:rPr>
        <w:t xml:space="preserve"> w rozporządzeniu</w:t>
      </w:r>
      <w:r w:rsidR="005117E7" w:rsidRPr="00EB557C">
        <w:rPr>
          <w:rFonts w:cs="Times New Roman"/>
          <w:bCs/>
          <w:szCs w:val="24"/>
        </w:rPr>
        <w:t xml:space="preserve"> Rady (UE) 2022/2577</w:t>
      </w:r>
      <w:r w:rsidRPr="00EB557C">
        <w:rPr>
          <w:rFonts w:cs="Times New Roman"/>
          <w:bCs/>
          <w:szCs w:val="24"/>
        </w:rPr>
        <w:t>, w którym to wskazuje się m.in., że przyjęte rozwiązania powinny „zapewnić znacznie szybsze procedury wydawania zezwoleń w celu znacznego przyspieszenia tempa instalacji urządzeń wykorzystujących energię słoneczną na sztucznych konstrukcjach, które są na ogół mniej złożone niż instalacje na gruncie</w:t>
      </w:r>
      <w:r w:rsidR="0045596B" w:rsidRPr="00EB557C">
        <w:rPr>
          <w:rFonts w:cs="Times New Roman"/>
          <w:bCs/>
          <w:szCs w:val="24"/>
        </w:rPr>
        <w:t>”</w:t>
      </w:r>
      <w:r w:rsidRPr="00EB557C">
        <w:rPr>
          <w:rFonts w:cs="Times New Roman"/>
          <w:bCs/>
          <w:szCs w:val="24"/>
        </w:rPr>
        <w:t xml:space="preserve"> (</w:t>
      </w:r>
      <w:r w:rsidR="002844A9" w:rsidRPr="00EB557C">
        <w:rPr>
          <w:rFonts w:cs="Times New Roman"/>
          <w:bCs/>
          <w:szCs w:val="24"/>
        </w:rPr>
        <w:t xml:space="preserve">pkt </w:t>
      </w:r>
      <w:r w:rsidRPr="00EB557C">
        <w:rPr>
          <w:rFonts w:cs="Times New Roman"/>
          <w:bCs/>
          <w:szCs w:val="24"/>
        </w:rPr>
        <w:t>10) oraz w art. 4 ust. 2</w:t>
      </w:r>
      <w:r w:rsidR="005117E7" w:rsidRPr="00EB557C">
        <w:rPr>
          <w:rFonts w:cs="Times New Roman"/>
          <w:bCs/>
          <w:szCs w:val="24"/>
        </w:rPr>
        <w:t>, który</w:t>
      </w:r>
      <w:r w:rsidRPr="00EB557C">
        <w:rPr>
          <w:rFonts w:cs="Times New Roman"/>
          <w:bCs/>
          <w:szCs w:val="24"/>
        </w:rPr>
        <w:t xml:space="preserve"> wskazuje, że „państwa członkowskie mogą wyłączyć niektóre obszary lub konstrukcje z zakresu stosowania przepisów ust. 1 ze względu na ochronę dziedzictwa kulturowego lub historycznego lub z przyczyn związanych z interesami obrony narodowej lub ze względów bezpieczeństwa”.</w:t>
      </w:r>
    </w:p>
    <w:bookmarkEnd w:id="5"/>
    <w:p w14:paraId="6FC95216" w14:textId="400E3CDC" w:rsidR="002844A9" w:rsidRPr="00EB557C" w:rsidRDefault="00364C58" w:rsidP="00532F7E">
      <w:pPr>
        <w:spacing w:before="120" w:after="0"/>
        <w:ind w:firstLine="0"/>
        <w:rPr>
          <w:rFonts w:cs="Times New Roman"/>
          <w:bCs/>
          <w:szCs w:val="24"/>
        </w:rPr>
      </w:pPr>
      <w:r w:rsidRPr="00EB557C">
        <w:rPr>
          <w:rFonts w:cs="Times New Roman"/>
          <w:bCs/>
          <w:szCs w:val="24"/>
        </w:rPr>
        <w:t xml:space="preserve">Z </w:t>
      </w:r>
      <w:r w:rsidR="001129DC" w:rsidRPr="00EB557C">
        <w:rPr>
          <w:rFonts w:cs="Times New Roman"/>
          <w:bCs/>
          <w:szCs w:val="24"/>
        </w:rPr>
        <w:t xml:space="preserve">powyższych </w:t>
      </w:r>
      <w:r w:rsidRPr="00EB557C">
        <w:rPr>
          <w:rFonts w:cs="Times New Roman"/>
          <w:bCs/>
          <w:szCs w:val="24"/>
        </w:rPr>
        <w:t>względów</w:t>
      </w:r>
      <w:r w:rsidR="001129DC" w:rsidRPr="00EB557C">
        <w:rPr>
          <w:rFonts w:cs="Times New Roman"/>
          <w:bCs/>
          <w:szCs w:val="24"/>
        </w:rPr>
        <w:t>, w przypadku wyżej wymienionych rodzajów instalacji,</w:t>
      </w:r>
      <w:r w:rsidRPr="00EB557C">
        <w:rPr>
          <w:rFonts w:cs="Times New Roman"/>
          <w:bCs/>
          <w:szCs w:val="24"/>
        </w:rPr>
        <w:t xml:space="preserve"> projektodawca zdecydował </w:t>
      </w:r>
      <w:r w:rsidR="00942605" w:rsidRPr="00EB557C">
        <w:rPr>
          <w:rFonts w:cs="Times New Roman"/>
          <w:bCs/>
          <w:szCs w:val="24"/>
        </w:rPr>
        <w:t>o skróceniu</w:t>
      </w:r>
      <w:r w:rsidRPr="00EB557C">
        <w:rPr>
          <w:rFonts w:cs="Times New Roman"/>
          <w:bCs/>
          <w:szCs w:val="24"/>
        </w:rPr>
        <w:t xml:space="preserve"> obowiązujących maksymalnych terminów postępowań dotyczących: </w:t>
      </w:r>
    </w:p>
    <w:p w14:paraId="122083A3" w14:textId="1B5A1031" w:rsidR="002844A9" w:rsidRPr="00EB557C" w:rsidRDefault="3A134619" w:rsidP="00532F7E">
      <w:pPr>
        <w:pStyle w:val="Akapitzlist"/>
        <w:numPr>
          <w:ilvl w:val="0"/>
          <w:numId w:val="3"/>
        </w:numPr>
        <w:spacing w:before="120" w:after="0"/>
        <w:ind w:left="284" w:hanging="284"/>
        <w:rPr>
          <w:rFonts w:cs="Times New Roman"/>
          <w:szCs w:val="24"/>
        </w:rPr>
      </w:pPr>
      <w:r w:rsidRPr="00EB557C">
        <w:rPr>
          <w:rFonts w:cs="Times New Roman"/>
          <w:szCs w:val="24"/>
        </w:rPr>
        <w:t>wydania warunków przyłączenia do sieci elektroenergetycznej (termin wydania</w:t>
      </w:r>
      <w:r w:rsidR="252F456E" w:rsidRPr="00EB557C">
        <w:rPr>
          <w:rFonts w:cs="Times New Roman"/>
          <w:szCs w:val="24"/>
        </w:rPr>
        <w:t xml:space="preserve"> skrócono ze 120 lub 150 dn</w:t>
      </w:r>
      <w:r w:rsidR="288B01C1" w:rsidRPr="00EB557C">
        <w:rPr>
          <w:rFonts w:cs="Times New Roman"/>
          <w:szCs w:val="24"/>
        </w:rPr>
        <w:t>i (w zależności od grupy przyłączeniowej)</w:t>
      </w:r>
      <w:r w:rsidR="252F456E" w:rsidRPr="00EB557C">
        <w:rPr>
          <w:rFonts w:cs="Times New Roman"/>
          <w:szCs w:val="24"/>
        </w:rPr>
        <w:t xml:space="preserve"> i</w:t>
      </w:r>
      <w:r w:rsidRPr="00EB557C">
        <w:rPr>
          <w:rFonts w:cs="Times New Roman"/>
          <w:szCs w:val="24"/>
        </w:rPr>
        <w:t xml:space="preserve"> określono na 45 dni),</w:t>
      </w:r>
    </w:p>
    <w:p w14:paraId="7B02D171" w14:textId="192E98AB" w:rsidR="002844A9" w:rsidRPr="00EB557C" w:rsidRDefault="3A134619" w:rsidP="00532F7E">
      <w:pPr>
        <w:pStyle w:val="Akapitzlist"/>
        <w:numPr>
          <w:ilvl w:val="0"/>
          <w:numId w:val="3"/>
        </w:numPr>
        <w:spacing w:before="120" w:after="0"/>
        <w:ind w:left="284" w:hanging="284"/>
        <w:rPr>
          <w:rFonts w:cs="Times New Roman"/>
          <w:szCs w:val="24"/>
        </w:rPr>
      </w:pPr>
      <w:r w:rsidRPr="00EB557C">
        <w:rPr>
          <w:rFonts w:cs="Times New Roman"/>
          <w:szCs w:val="24"/>
        </w:rPr>
        <w:t xml:space="preserve">wydania warunków przyłączenia instalacji do sieci ciepłowniczej (termin wydania </w:t>
      </w:r>
      <w:r w:rsidR="402598E2" w:rsidRPr="00EB557C">
        <w:rPr>
          <w:rFonts w:cs="Times New Roman"/>
          <w:szCs w:val="24"/>
        </w:rPr>
        <w:t xml:space="preserve">skrócono ze 120 dni i </w:t>
      </w:r>
      <w:r w:rsidRPr="00EB557C">
        <w:rPr>
          <w:rFonts w:cs="Times New Roman"/>
          <w:szCs w:val="24"/>
        </w:rPr>
        <w:t>określono na 30 dni),</w:t>
      </w:r>
    </w:p>
    <w:p w14:paraId="665CAC14" w14:textId="46563179" w:rsidR="002844A9" w:rsidRPr="00EB557C" w:rsidRDefault="3A134619" w:rsidP="00532F7E">
      <w:pPr>
        <w:pStyle w:val="Akapitzlist"/>
        <w:numPr>
          <w:ilvl w:val="0"/>
          <w:numId w:val="3"/>
        </w:numPr>
        <w:spacing w:before="120" w:after="0"/>
        <w:ind w:left="284" w:hanging="284"/>
        <w:rPr>
          <w:rFonts w:cs="Times New Roman"/>
          <w:szCs w:val="24"/>
        </w:rPr>
      </w:pPr>
      <w:r w:rsidRPr="00EB557C">
        <w:rPr>
          <w:rFonts w:cs="Times New Roman"/>
          <w:szCs w:val="24"/>
        </w:rPr>
        <w:t xml:space="preserve">wydania decyzji o pozwoleniu na budowę (termin wydania </w:t>
      </w:r>
      <w:r w:rsidR="786858DF" w:rsidRPr="00EB557C">
        <w:rPr>
          <w:rFonts w:cs="Times New Roman"/>
          <w:szCs w:val="24"/>
        </w:rPr>
        <w:t xml:space="preserve">skrócono z 65 dni i </w:t>
      </w:r>
      <w:r w:rsidRPr="00EB557C">
        <w:rPr>
          <w:rFonts w:cs="Times New Roman"/>
          <w:szCs w:val="24"/>
        </w:rPr>
        <w:t>określono na 30 dni),</w:t>
      </w:r>
    </w:p>
    <w:p w14:paraId="110F0BC9" w14:textId="30B2E8BE" w:rsidR="002844A9" w:rsidRPr="00EB557C" w:rsidRDefault="3A134619" w:rsidP="00532F7E">
      <w:pPr>
        <w:pStyle w:val="Akapitzlist"/>
        <w:numPr>
          <w:ilvl w:val="0"/>
          <w:numId w:val="3"/>
        </w:numPr>
        <w:spacing w:before="120" w:after="0"/>
        <w:ind w:left="284" w:hanging="284"/>
        <w:rPr>
          <w:rFonts w:cs="Times New Roman"/>
          <w:szCs w:val="24"/>
        </w:rPr>
      </w:pPr>
      <w:r w:rsidRPr="00EB557C">
        <w:rPr>
          <w:rFonts w:cs="Times New Roman"/>
          <w:szCs w:val="24"/>
        </w:rPr>
        <w:t xml:space="preserve">dokonania wpisu do rejestru wytwórców wykonujących działalność gospodarczą w małej instalacji (termin wpisania </w:t>
      </w:r>
      <w:r w:rsidR="381C2840" w:rsidRPr="00EB557C">
        <w:rPr>
          <w:rFonts w:cs="Times New Roman"/>
          <w:szCs w:val="24"/>
        </w:rPr>
        <w:t xml:space="preserve">skrócono z 21 dni i </w:t>
      </w:r>
      <w:r w:rsidRPr="00EB557C">
        <w:rPr>
          <w:rFonts w:cs="Times New Roman"/>
          <w:szCs w:val="24"/>
        </w:rPr>
        <w:t>określono na 14 dni),</w:t>
      </w:r>
    </w:p>
    <w:p w14:paraId="603D6B46" w14:textId="4B98A378" w:rsidR="00364C58" w:rsidRPr="00EB557C" w:rsidRDefault="3A134619" w:rsidP="00532F7E">
      <w:pPr>
        <w:pStyle w:val="Akapitzlist"/>
        <w:numPr>
          <w:ilvl w:val="0"/>
          <w:numId w:val="3"/>
        </w:numPr>
        <w:spacing w:before="120" w:after="0"/>
        <w:ind w:left="284" w:hanging="284"/>
        <w:rPr>
          <w:rFonts w:cs="Times New Roman"/>
          <w:szCs w:val="24"/>
        </w:rPr>
      </w:pPr>
      <w:r w:rsidRPr="00EB557C">
        <w:rPr>
          <w:rFonts w:cs="Times New Roman"/>
          <w:szCs w:val="24"/>
        </w:rPr>
        <w:t xml:space="preserve">wydania koncesji na wytwarzanie energii elektrycznej lub koncesji na wytwarzanie ciepła lub koncesji na magazynowanie energii elektrycznej (termin wydania </w:t>
      </w:r>
      <w:r w:rsidR="6734F4FD" w:rsidRPr="00EB557C">
        <w:rPr>
          <w:rFonts w:cs="Times New Roman"/>
          <w:szCs w:val="24"/>
        </w:rPr>
        <w:t>skrócono z 30</w:t>
      </w:r>
      <w:r w:rsidR="00CD4846">
        <w:rPr>
          <w:rFonts w:cs="Times New Roman"/>
          <w:szCs w:val="24"/>
        </w:rPr>
        <w:t>–</w:t>
      </w:r>
      <w:r w:rsidR="6734F4FD" w:rsidRPr="00EB557C">
        <w:rPr>
          <w:rFonts w:cs="Times New Roman"/>
          <w:szCs w:val="24"/>
        </w:rPr>
        <w:t xml:space="preserve">60 dni i </w:t>
      </w:r>
      <w:r w:rsidRPr="00EB557C">
        <w:rPr>
          <w:rFonts w:cs="Times New Roman"/>
          <w:szCs w:val="24"/>
        </w:rPr>
        <w:t>określono na 30 dni).</w:t>
      </w:r>
    </w:p>
    <w:p w14:paraId="399A1C2E" w14:textId="20B21BC3" w:rsidR="3A134619" w:rsidRPr="00EB557C" w:rsidRDefault="3A134619" w:rsidP="00532F7E">
      <w:pPr>
        <w:spacing w:before="120" w:after="0"/>
        <w:ind w:firstLine="0"/>
        <w:rPr>
          <w:rFonts w:cs="Times New Roman"/>
          <w:b/>
          <w:bCs/>
          <w:szCs w:val="24"/>
        </w:rPr>
      </w:pPr>
      <w:r w:rsidRPr="00EB557C">
        <w:rPr>
          <w:rFonts w:cs="Times New Roman"/>
          <w:b/>
          <w:bCs/>
          <w:szCs w:val="24"/>
        </w:rPr>
        <w:t>Warunki przyłączenia</w:t>
      </w:r>
    </w:p>
    <w:p w14:paraId="13ED9817" w14:textId="3A1B9331" w:rsidR="00364C58" w:rsidRPr="00EB557C" w:rsidRDefault="3A134619" w:rsidP="00532F7E">
      <w:pPr>
        <w:spacing w:before="120" w:after="0"/>
        <w:ind w:firstLine="0"/>
        <w:rPr>
          <w:rFonts w:cs="Times New Roman"/>
          <w:szCs w:val="24"/>
        </w:rPr>
      </w:pPr>
      <w:r w:rsidRPr="00EB557C">
        <w:rPr>
          <w:rFonts w:cs="Times New Roman"/>
          <w:szCs w:val="24"/>
        </w:rPr>
        <w:t xml:space="preserve">W tym miejscu należy dodatkowo wyjaśnić, że z zakresu przepisu dotyczącego skrócenia terminu na wydanie warunków przyłączenia dla instalowanych na budynku instalacji wykorzystujących do wytwarzania energii energię promieniowania słonecznego, wyposażonych albo niewyposażonych w magazyn energii elektrycznej, wyłączono te </w:t>
      </w:r>
      <w:r w:rsidRPr="00EB557C">
        <w:rPr>
          <w:rFonts w:cs="Times New Roman"/>
          <w:szCs w:val="24"/>
        </w:rPr>
        <w:lastRenderedPageBreak/>
        <w:t xml:space="preserve">instalacje, dla których obowiązujące przepisy prawa przewidują jeszcze krótsze terminy na wydanie tych warunków (tj. należące do V i VI grupy przyłączeniowej) lub gdy termin jest równorzędny (tj. należące do IV grupy przyłączeniowej). </w:t>
      </w:r>
    </w:p>
    <w:p w14:paraId="2F4944A8" w14:textId="39C41B0B" w:rsidR="00364C58" w:rsidRPr="00EB557C" w:rsidRDefault="3A134619" w:rsidP="00532F7E">
      <w:pPr>
        <w:spacing w:before="120" w:after="0"/>
        <w:ind w:firstLine="0"/>
        <w:rPr>
          <w:rFonts w:cs="Times New Roman"/>
          <w:szCs w:val="24"/>
        </w:rPr>
      </w:pPr>
      <w:r w:rsidRPr="00EB557C">
        <w:rPr>
          <w:rFonts w:cs="Times New Roman"/>
          <w:szCs w:val="24"/>
        </w:rPr>
        <w:t>Założeniem</w:t>
      </w:r>
      <w:r w:rsidR="00EF232C" w:rsidRPr="00EB557C">
        <w:rPr>
          <w:rFonts w:cs="Times New Roman"/>
          <w:szCs w:val="24"/>
        </w:rPr>
        <w:t xml:space="preserve"> wprowadzonego w projekcie</w:t>
      </w:r>
      <w:r w:rsidRPr="00EB557C">
        <w:rPr>
          <w:rFonts w:cs="Times New Roman"/>
          <w:szCs w:val="24"/>
        </w:rPr>
        <w:t xml:space="preserve"> przepisu dot. wydawania warunków przyłączenia do sieci elektroenergetycznej jest skrócenie terminu na wydanie warunków przyłączenia dla instalacji fotowoltaicznych instalowanych na budynkach. Ze względu na ograniczoną powierzchnię budynków projektodawca zakłada, że nie będą to źródła o bardzo dużych mocach, przez co będą przyłączane do sieci dystrybucyjnej. Z tego względu</w:t>
      </w:r>
      <w:r w:rsidR="00EF232C" w:rsidRPr="00EB557C">
        <w:rPr>
          <w:rFonts w:cs="Times New Roman"/>
          <w:szCs w:val="24"/>
        </w:rPr>
        <w:t>,</w:t>
      </w:r>
      <w:r w:rsidRPr="00EB557C">
        <w:rPr>
          <w:rFonts w:cs="Times New Roman"/>
          <w:szCs w:val="24"/>
        </w:rPr>
        <w:t xml:space="preserve"> zaproponowano doprecyzowanie przepisu tak, żeby wyraźnie zaznaczyć, że dotyczy on instalacji przyłączanych wyłącznie do sieci dystrybucyjnej. Jednocześnie</w:t>
      </w:r>
      <w:r w:rsidR="00EF232C" w:rsidRPr="00EB557C">
        <w:rPr>
          <w:rFonts w:cs="Times New Roman"/>
          <w:szCs w:val="24"/>
        </w:rPr>
        <w:t>,</w:t>
      </w:r>
      <w:r w:rsidRPr="00EB557C">
        <w:rPr>
          <w:rFonts w:cs="Times New Roman"/>
          <w:szCs w:val="24"/>
        </w:rPr>
        <w:t xml:space="preserve"> w związku z czasochłonnym procesem związanym z wykonaniem ekspertyzy wpływu przyłączenia źródła na system elektroenergetyczny, zgodnie z art. 7 ust. 8e ustawy</w:t>
      </w:r>
      <w:r w:rsidR="00EF232C" w:rsidRPr="00EB557C">
        <w:rPr>
          <w:rFonts w:cs="Times New Roman"/>
          <w:szCs w:val="24"/>
        </w:rPr>
        <w:t xml:space="preserve"> </w:t>
      </w:r>
      <w:r w:rsidR="00CD4846">
        <w:rPr>
          <w:rFonts w:cs="Times New Roman"/>
          <w:szCs w:val="24"/>
        </w:rPr>
        <w:t>–</w:t>
      </w:r>
      <w:r w:rsidRPr="00EB557C">
        <w:rPr>
          <w:rFonts w:cs="Times New Roman"/>
          <w:szCs w:val="24"/>
        </w:rPr>
        <w:t xml:space="preserve"> Prawo energetyczne, dla instalacji o łącznej mocy zainstalowanej większej niż 2 MW, proponuje się wskazanie, że ze skróconego terminu na uzyskanie warunków przyłączenia będą mogły skorzystać wyłącznie instalacje których łączna moc zainstalowana jest nie większa niż 2 MW.</w:t>
      </w:r>
    </w:p>
    <w:p w14:paraId="6A2EB8A3" w14:textId="1C927C12" w:rsidR="3A134619" w:rsidRPr="00EB557C" w:rsidRDefault="7CB8C1B2" w:rsidP="00532F7E">
      <w:pPr>
        <w:spacing w:before="120" w:after="0"/>
        <w:ind w:firstLine="0"/>
        <w:rPr>
          <w:rFonts w:eastAsia="Times New Roman" w:cs="Times New Roman"/>
          <w:szCs w:val="24"/>
        </w:rPr>
      </w:pPr>
      <w:r w:rsidRPr="00EB557C">
        <w:rPr>
          <w:rFonts w:eastAsia="Times New Roman" w:cs="Times New Roman"/>
          <w:szCs w:val="24"/>
        </w:rPr>
        <w:t>W</w:t>
      </w:r>
      <w:r w:rsidR="3A134619" w:rsidRPr="00EB557C">
        <w:rPr>
          <w:rFonts w:eastAsia="Times New Roman" w:cs="Times New Roman"/>
          <w:szCs w:val="24"/>
        </w:rPr>
        <w:t xml:space="preserve"> przypadku wnioskowania o przyłączenie do sieci elektroenergetycznej dla jednej instalacji PV, która jest zlokalizowana na różnych powierzchniach (na dachu i na gruncie) lub dla kilku instalacji, wykorzystujących różne technologie OZE (np. fotowoltaika i instalacja wiatrowa), w celu uniknięcia sytuacji nadużywania tego trybu, doprecyzowano, że</w:t>
      </w:r>
      <w:r w:rsidR="3A134619" w:rsidRPr="00EB557C">
        <w:rPr>
          <w:rFonts w:eastAsia="Times New Roman" w:cs="Times New Roman"/>
          <w:b/>
          <w:szCs w:val="24"/>
        </w:rPr>
        <w:t xml:space="preserve"> </w:t>
      </w:r>
      <w:r w:rsidR="3A134619" w:rsidRPr="00EB557C">
        <w:rPr>
          <w:rFonts w:eastAsia="Times New Roman" w:cs="Times New Roman"/>
          <w:szCs w:val="24"/>
        </w:rPr>
        <w:t>przepis ten stosuje się wyłącznie w odniesieniu do nadachowych instalacji PV.</w:t>
      </w:r>
    </w:p>
    <w:p w14:paraId="183F8AFD" w14:textId="1D40CF23" w:rsidR="3A134619" w:rsidRPr="00EB557C" w:rsidRDefault="3A134619" w:rsidP="00532F7E">
      <w:pPr>
        <w:spacing w:before="120" w:after="0"/>
        <w:ind w:firstLine="0"/>
        <w:rPr>
          <w:rFonts w:cs="Times New Roman"/>
          <w:b/>
          <w:bCs/>
          <w:szCs w:val="24"/>
        </w:rPr>
      </w:pPr>
      <w:r w:rsidRPr="00EB557C">
        <w:rPr>
          <w:rFonts w:cs="Times New Roman"/>
          <w:b/>
          <w:bCs/>
          <w:szCs w:val="24"/>
        </w:rPr>
        <w:t>Termin na uzyskanie koncesji</w:t>
      </w:r>
    </w:p>
    <w:p w14:paraId="35768BA4" w14:textId="6837C2F8" w:rsidR="00022510" w:rsidRPr="00EB557C" w:rsidRDefault="3A134619" w:rsidP="00532F7E">
      <w:pPr>
        <w:spacing w:before="120" w:after="0"/>
        <w:ind w:firstLine="0"/>
        <w:rPr>
          <w:rFonts w:cs="Times New Roman"/>
          <w:szCs w:val="24"/>
        </w:rPr>
      </w:pPr>
      <w:r w:rsidRPr="00EB557C">
        <w:rPr>
          <w:rFonts w:cs="Times New Roman"/>
          <w:szCs w:val="24"/>
        </w:rPr>
        <w:t xml:space="preserve">Z kolei w zakresie koncesji na wytwarzanie energii elektrycznej lub koncesji na wytwarzanie ciepła lub koncesji na magazynowanie energii elektrycznej, projektodawca określił 30 dniowy termin na jej wydanie dla: instalowanych na budynku instalacji OZE wykorzystujących do wytwarzania energii energię promieniowania słonecznego o mocy zainstalowanej elektrycznej większej niż 1 MW </w:t>
      </w:r>
      <w:r w:rsidRPr="00EB557C">
        <w:rPr>
          <w:rFonts w:eastAsia="Times New Roman" w:cs="Times New Roman"/>
          <w:szCs w:val="24"/>
        </w:rPr>
        <w:t xml:space="preserve">lub wchodzących w ich skład magazynów energii elektrycznej, w rozumieniu art. 3 pkt 10k ustawy z dnia 10 kwietnia 1997 r. – Prawo </w:t>
      </w:r>
      <w:r w:rsidR="753B5136" w:rsidRPr="00EB557C">
        <w:rPr>
          <w:rFonts w:cs="Times New Roman"/>
          <w:szCs w:val="24"/>
        </w:rPr>
        <w:t xml:space="preserve">energetyczne </w:t>
      </w:r>
      <w:r w:rsidRPr="00EB557C">
        <w:rPr>
          <w:rFonts w:cs="Times New Roman"/>
          <w:szCs w:val="24"/>
        </w:rPr>
        <w:t>o łącznej mocy zainstalowanej elektrycznej większej niż 10 MW oraz dla pomp ciepła o mocy zainstalowanej większej niż 5 MW i nie większej niż 50 MW.</w:t>
      </w:r>
    </w:p>
    <w:p w14:paraId="2DFC80EB" w14:textId="08E477DF" w:rsidR="00BC5438" w:rsidRPr="00EB557C" w:rsidRDefault="3A134619" w:rsidP="00532F7E">
      <w:pPr>
        <w:spacing w:before="120" w:after="0"/>
        <w:ind w:firstLine="0"/>
        <w:rPr>
          <w:rFonts w:cs="Times New Roman"/>
          <w:bCs/>
          <w:szCs w:val="24"/>
        </w:rPr>
      </w:pPr>
      <w:r w:rsidRPr="00EB557C">
        <w:rPr>
          <w:rFonts w:cs="Times New Roman"/>
          <w:szCs w:val="24"/>
        </w:rPr>
        <w:t xml:space="preserve">Nadto należy podkreślić, że określone przez ustawodawcę działania polegające na budowie lub modernizacji instalacji OZE oraz urządzeń i instalacji niezbędnych do przyłączenia do sieci </w:t>
      </w:r>
      <w:r w:rsidRPr="00EB557C">
        <w:rPr>
          <w:rFonts w:cs="Times New Roman"/>
          <w:szCs w:val="24"/>
        </w:rPr>
        <w:lastRenderedPageBreak/>
        <w:t xml:space="preserve">danej instalacji OZE, stanowią realizację nadrzędnego interesu publicznego oraz są uznawane za służące zdrowiu i bezpieczeństwu publicznemu. </w:t>
      </w:r>
    </w:p>
    <w:p w14:paraId="1F0F3324" w14:textId="1EB56EE0" w:rsidR="3A134619" w:rsidRPr="00EB557C" w:rsidRDefault="3A134619" w:rsidP="00532F7E">
      <w:pPr>
        <w:spacing w:before="120" w:after="0"/>
        <w:ind w:firstLine="0"/>
        <w:rPr>
          <w:rFonts w:cs="Times New Roman"/>
          <w:b/>
          <w:bCs/>
          <w:szCs w:val="24"/>
        </w:rPr>
      </w:pPr>
      <w:r w:rsidRPr="00EB557C">
        <w:rPr>
          <w:rFonts w:cs="Times New Roman"/>
          <w:b/>
          <w:bCs/>
          <w:szCs w:val="24"/>
        </w:rPr>
        <w:t>Nadrzędy interes publiczny</w:t>
      </w:r>
    </w:p>
    <w:p w14:paraId="5FF6DE9C" w14:textId="140FDFC8" w:rsidR="00B30035" w:rsidRPr="00EB557C" w:rsidRDefault="3A134619" w:rsidP="00532F7E">
      <w:pPr>
        <w:spacing w:before="120" w:after="0"/>
        <w:ind w:firstLine="0"/>
        <w:rPr>
          <w:rFonts w:cs="Times New Roman"/>
          <w:szCs w:val="24"/>
        </w:rPr>
      </w:pPr>
      <w:r w:rsidRPr="00EB557C">
        <w:rPr>
          <w:rFonts w:cs="Times New Roman"/>
          <w:szCs w:val="24"/>
        </w:rPr>
        <w:t xml:space="preserve">Należy również wyjaśnić, że </w:t>
      </w:r>
      <w:r w:rsidR="4FAB4957" w:rsidRPr="00EB557C">
        <w:rPr>
          <w:rFonts w:cs="Times New Roman"/>
          <w:szCs w:val="24"/>
        </w:rPr>
        <w:t xml:space="preserve">zgodnie z </w:t>
      </w:r>
      <w:r w:rsidRPr="00EB557C">
        <w:rPr>
          <w:rFonts w:cs="Times New Roman"/>
          <w:szCs w:val="24"/>
        </w:rPr>
        <w:t>projektowany</w:t>
      </w:r>
      <w:r w:rsidR="7EB9C722" w:rsidRPr="00EB557C">
        <w:rPr>
          <w:rFonts w:cs="Times New Roman"/>
          <w:szCs w:val="24"/>
        </w:rPr>
        <w:t>m</w:t>
      </w:r>
      <w:r w:rsidRPr="00EB557C">
        <w:rPr>
          <w:rFonts w:cs="Times New Roman"/>
          <w:szCs w:val="24"/>
        </w:rPr>
        <w:t xml:space="preserve"> art. 3b ustawy o OZE działania dotyczące OZE stanowią realizację nadrzędnego interesu publicznego, co ma służyć stosowaniu wymienionych przepisów ustawy z dnia z dnia 16 kwietnia 2004 r. o ochronie przyrody oraz ustawy z dnia 17 lipca 2017 roku – Prawo wodne. Przykładowo, przy wydawaniu decyzji o środowiskowych uwarunkowaniach w związku z art. 81 ust. 2 ustawy z dnia 3 października 2008 r. o udostępnianiu informacji o środowisku i jego ochronie, udziale społeczeństwa w ochronie środowiska oraz o ocenach oddziaływania na środowisko, jeżeli z oceny oddziaływania przedsięwzięcia na środowisko wynika, że przedsięwzięcie może znacząco negatywnie oddziaływać na obszar Natura 2000, to warunkiem wydania pozytywnego rozstrzygnięcia jest m.in. potwierdzenie, że zgodnie z art. 34 ustawy z dnia 16 kwietnia 2004 r. o ochronie przyrody przedsięwzięcie spełnia wymogi nadrzędnego interesu publicznego. Zwykle ta przesłanka musi być indywidualnie badana. W przypadku OZE nadrzędny interes publiczny będzie wynikał z mocy prawa, o czym przesądzi projektowany przepis.  </w:t>
      </w:r>
    </w:p>
    <w:p w14:paraId="5F9F3D2C" w14:textId="690E1A77" w:rsidR="00B30035" w:rsidRPr="00EB557C" w:rsidRDefault="00EF232C" w:rsidP="00532F7E">
      <w:pPr>
        <w:spacing w:before="120" w:after="0"/>
        <w:ind w:firstLine="0"/>
        <w:rPr>
          <w:rFonts w:cs="Times New Roman"/>
          <w:szCs w:val="24"/>
        </w:rPr>
      </w:pPr>
      <w:r w:rsidRPr="00EB557C">
        <w:rPr>
          <w:rFonts w:cs="Times New Roman"/>
          <w:szCs w:val="24"/>
        </w:rPr>
        <w:t>Podkreślenia wymaga</w:t>
      </w:r>
      <w:r w:rsidR="3A134619" w:rsidRPr="00EB557C">
        <w:rPr>
          <w:rFonts w:cs="Times New Roman"/>
          <w:szCs w:val="24"/>
        </w:rPr>
        <w:t>, że pojęcie to nie powinno być mylone z pojęciem inwestycji celu publicznego, o której mowa w ustawie z dnia 27 marca 2003 r. o planowaniu i zagospodarowaniu przestrzennym oraz celami publicznymi z ustawy z dnia 21 sierpnia 1997 r. o gospodarce nieruchomościami, ponieważ te pojęcia stosuje się w innych przypadkach.</w:t>
      </w:r>
    </w:p>
    <w:p w14:paraId="0BB0E6E1" w14:textId="261EB1BE" w:rsidR="00364C58" w:rsidRPr="00EB557C" w:rsidRDefault="3CEC858B" w:rsidP="00532F7E">
      <w:pPr>
        <w:spacing w:before="120" w:after="0"/>
        <w:ind w:firstLine="0"/>
        <w:rPr>
          <w:rFonts w:cs="Times New Roman"/>
          <w:szCs w:val="24"/>
        </w:rPr>
      </w:pPr>
      <w:bookmarkStart w:id="7" w:name="_Hlk134693423"/>
      <w:r w:rsidRPr="00EB557C">
        <w:rPr>
          <w:rFonts w:cs="Times New Roman"/>
          <w:szCs w:val="24"/>
        </w:rPr>
        <w:t>W związku z tym, że ww. zmiany dotyczą przepisów proceduralnych z różnych ustaw, projektodawca przewidział przepis przejściowy, zgodnie z którym, w odniesieniu do modyfikowanych niniejszą ustawa postępowań w toku będzie się stosować przepisy dotychczasowe.</w:t>
      </w:r>
      <w:bookmarkEnd w:id="7"/>
    </w:p>
    <w:p w14:paraId="19B6A6F1" w14:textId="1953F286" w:rsidR="00EE5968" w:rsidRPr="00EB557C" w:rsidRDefault="3A134619" w:rsidP="00532F7E">
      <w:pPr>
        <w:tabs>
          <w:tab w:val="left" w:pos="426"/>
        </w:tabs>
        <w:spacing w:before="120" w:after="0"/>
        <w:ind w:firstLine="0"/>
        <w:rPr>
          <w:rFonts w:cs="Times New Roman"/>
          <w:b/>
          <w:bCs/>
          <w:szCs w:val="24"/>
          <w:u w:val="single"/>
        </w:rPr>
      </w:pPr>
      <w:r w:rsidRPr="00532F7E">
        <w:rPr>
          <w:rFonts w:cs="Times New Roman"/>
          <w:b/>
          <w:bCs/>
          <w:szCs w:val="24"/>
        </w:rPr>
        <w:t>4.</w:t>
      </w:r>
      <w:r w:rsidR="00EB557C" w:rsidRPr="00532F7E">
        <w:rPr>
          <w:rFonts w:cs="Times New Roman"/>
          <w:b/>
          <w:bCs/>
          <w:szCs w:val="24"/>
        </w:rPr>
        <w:tab/>
      </w:r>
      <w:r w:rsidRPr="00EB557C">
        <w:rPr>
          <w:rFonts w:cs="Times New Roman"/>
          <w:b/>
          <w:bCs/>
          <w:szCs w:val="24"/>
          <w:u w:val="single"/>
        </w:rPr>
        <w:t>Zmiany w systemie rozliczeń net-billin</w:t>
      </w:r>
      <w:r w:rsidRPr="00EB557C">
        <w:rPr>
          <w:rFonts w:cs="Times New Roman"/>
          <w:b/>
          <w:bCs/>
          <w:szCs w:val="24"/>
        </w:rPr>
        <w:t>g</w:t>
      </w:r>
    </w:p>
    <w:p w14:paraId="6AEEEC07" w14:textId="2B622EAD" w:rsidR="00A529E6" w:rsidRPr="00EB557C" w:rsidRDefault="3A134619" w:rsidP="00532F7E">
      <w:pPr>
        <w:spacing w:before="120" w:after="0"/>
        <w:ind w:firstLine="0"/>
        <w:rPr>
          <w:rFonts w:cs="Times New Roman"/>
          <w:szCs w:val="24"/>
        </w:rPr>
      </w:pPr>
      <w:r w:rsidRPr="00EB557C">
        <w:rPr>
          <w:rFonts w:cs="Times New Roman"/>
          <w:szCs w:val="24"/>
        </w:rPr>
        <w:t xml:space="preserve">Zgodnie z obecnie obowiązującymi przepisami (art. 4b ust. 1 ustawy o OZE), do dnia 30 czerwca 2024 r., wyliczenie wartości energii elektrycznej wprowadzonej do sieci elektroenergetycznej przez prosumenta energii odnawialnej i prosumenta zbiorowego energii odnawialnej, zapisanej na depozycie prosumenckim, odbywało się według tzw. rynkowej miesięcznej ceny energii elektrycznej (RCEm). Natomiast od dnia 1 lipca 2024 r. wartość tej energii jest wyliczana w oparciu o rynkową cenę energii elektrycznej (RCE). </w:t>
      </w:r>
    </w:p>
    <w:p w14:paraId="301960EC" w14:textId="448BCD34" w:rsidR="002055A7" w:rsidRPr="00EB557C" w:rsidRDefault="3A134619" w:rsidP="00532F7E">
      <w:pPr>
        <w:spacing w:before="120" w:after="0"/>
        <w:ind w:firstLine="0"/>
        <w:rPr>
          <w:rFonts w:cs="Times New Roman"/>
          <w:szCs w:val="24"/>
        </w:rPr>
      </w:pPr>
      <w:r w:rsidRPr="00EB557C">
        <w:rPr>
          <w:rFonts w:cs="Times New Roman"/>
          <w:szCs w:val="24"/>
        </w:rPr>
        <w:lastRenderedPageBreak/>
        <w:t>W celu zwiększenia opłacalności rozliczeń prosumentów w systemie net-billing proponuje się modyfikację ww. przepisów w ustawie o OZE, polegającą na możliwości dalszego rozliczania w oparciu o RCEm prosumentów, którzy byli w ten sposób rozliczani do dnia 30 czerwca 2024</w:t>
      </w:r>
      <w:r w:rsidR="00101E2A">
        <w:rPr>
          <w:rFonts w:cs="Times New Roman"/>
          <w:szCs w:val="24"/>
        </w:rPr>
        <w:t> </w:t>
      </w:r>
      <w:r w:rsidRPr="00EB557C">
        <w:rPr>
          <w:rFonts w:cs="Times New Roman"/>
          <w:szCs w:val="24"/>
        </w:rPr>
        <w:t xml:space="preserve">r. Prosumenci będą jednak mogli, składając oświadczenie sprzedawcy, zmienić sposób rozliczeń na rozliczenie w oparciu o rynkową cenę energii elektrycznej obowiązującą w okresach rozliczenia niezbilansowania. </w:t>
      </w:r>
    </w:p>
    <w:p w14:paraId="69AEEFD3" w14:textId="654A5DAD" w:rsidR="00A529E6" w:rsidRPr="00EB557C" w:rsidRDefault="3A134619" w:rsidP="00532F7E">
      <w:pPr>
        <w:spacing w:before="120" w:after="0"/>
        <w:ind w:firstLine="0"/>
        <w:rPr>
          <w:rFonts w:cs="Times New Roman"/>
          <w:szCs w:val="24"/>
        </w:rPr>
      </w:pPr>
      <w:r w:rsidRPr="00EB557C">
        <w:rPr>
          <w:rFonts w:cs="Times New Roman"/>
          <w:szCs w:val="24"/>
        </w:rPr>
        <w:t xml:space="preserve">Zachętą do zmiany systemu rozliczenia będzie możliwość zwiększenia wartości zwrotu niewykorzystanych przez prosumenta środków za wprowadzoną do sieci energię elektryczną w okresie kolejnych 12 miesięcy (tzw. nadpłaty) do 30%. </w:t>
      </w:r>
    </w:p>
    <w:p w14:paraId="45CD785E" w14:textId="0AFE692C" w:rsidR="00EF232C" w:rsidRPr="00EB557C" w:rsidRDefault="3A134619" w:rsidP="00532F7E">
      <w:pPr>
        <w:spacing w:before="120" w:after="0"/>
        <w:ind w:firstLine="0"/>
        <w:rPr>
          <w:rFonts w:cs="Times New Roman"/>
          <w:szCs w:val="24"/>
        </w:rPr>
      </w:pPr>
      <w:r w:rsidRPr="00EB557C">
        <w:rPr>
          <w:rFonts w:cs="Times New Roman"/>
          <w:szCs w:val="24"/>
        </w:rPr>
        <w:t>Jeżeli natomiast dany prosument zdecyduje się nadal stosować dotychczasowy sposób rozliczeń, wysokość zwrotu jego nadpłaty nie ulegnie podwyższeniu i jak dotychczas będzie wynosić do 20% wartości energii elektrycznej wprowadzonej do sieci w miesiącu kalendarzowym, którego dotyczy zwrot nadpłaty</w:t>
      </w:r>
      <w:r w:rsidR="00C65440" w:rsidRPr="00EB557C">
        <w:rPr>
          <w:rFonts w:cs="Times New Roman"/>
          <w:szCs w:val="24"/>
        </w:rPr>
        <w:t>.</w:t>
      </w:r>
    </w:p>
    <w:p w14:paraId="71F7EECB" w14:textId="424C2B84" w:rsidR="3A134619" w:rsidRPr="00EB557C" w:rsidRDefault="3A134619" w:rsidP="00532F7E">
      <w:pPr>
        <w:spacing w:before="120" w:after="0"/>
        <w:ind w:firstLine="0"/>
        <w:rPr>
          <w:rFonts w:cs="Times New Roman"/>
          <w:b/>
          <w:bCs/>
          <w:szCs w:val="24"/>
        </w:rPr>
      </w:pPr>
      <w:r w:rsidRPr="00EB557C">
        <w:rPr>
          <w:rFonts w:cs="Times New Roman"/>
          <w:b/>
          <w:bCs/>
          <w:szCs w:val="24"/>
        </w:rPr>
        <w:t>Etapy wdrażania systemu rozliczeń wg nowelizacji ustawy – wg daty pierwszego wprowadzenia energii do sieci</w:t>
      </w:r>
    </w:p>
    <w:p w14:paraId="1C3B1849" w14:textId="25002157" w:rsidR="001574A0" w:rsidRPr="00EB557C" w:rsidRDefault="3A134619" w:rsidP="00532F7E">
      <w:pPr>
        <w:numPr>
          <w:ilvl w:val="0"/>
          <w:numId w:val="26"/>
        </w:numPr>
        <w:spacing w:before="120" w:after="0"/>
        <w:ind w:left="426" w:hanging="426"/>
        <w:rPr>
          <w:rFonts w:cs="Times New Roman"/>
          <w:szCs w:val="24"/>
          <w:u w:val="single"/>
        </w:rPr>
      </w:pPr>
      <w:r w:rsidRPr="00EB557C">
        <w:rPr>
          <w:rFonts w:cs="Times New Roman"/>
          <w:szCs w:val="24"/>
          <w:u w:val="single"/>
        </w:rPr>
        <w:t>Przed dniem 1 lipca 2024 r.</w:t>
      </w:r>
    </w:p>
    <w:p w14:paraId="221F587A" w14:textId="2DAC0F95" w:rsidR="001574A0" w:rsidRPr="00EB557C" w:rsidRDefault="3A134619" w:rsidP="00532F7E">
      <w:pPr>
        <w:numPr>
          <w:ilvl w:val="1"/>
          <w:numId w:val="42"/>
        </w:numPr>
        <w:spacing w:before="120" w:after="0"/>
        <w:ind w:hanging="286"/>
        <w:rPr>
          <w:rFonts w:cs="Times New Roman"/>
          <w:szCs w:val="24"/>
        </w:rPr>
      </w:pPr>
      <w:r w:rsidRPr="00EB557C">
        <w:rPr>
          <w:rFonts w:cs="Times New Roman"/>
          <w:szCs w:val="24"/>
        </w:rPr>
        <w:t>Rozliczanie prosumentów, którzy po raz pierwszy wprowadzili energię do sieci do 30</w:t>
      </w:r>
      <w:r w:rsidR="00101E2A">
        <w:rPr>
          <w:rFonts w:cs="Times New Roman"/>
          <w:szCs w:val="24"/>
        </w:rPr>
        <w:t> </w:t>
      </w:r>
      <w:r w:rsidRPr="00EB557C">
        <w:rPr>
          <w:rFonts w:cs="Times New Roman"/>
          <w:szCs w:val="24"/>
        </w:rPr>
        <w:t>czerwca 2024 r. wg rynkowej miesięcznej ceny energii elektrycznej (RCEm).</w:t>
      </w:r>
    </w:p>
    <w:p w14:paraId="2791FD64" w14:textId="77777777" w:rsidR="001574A0" w:rsidRPr="00EB557C" w:rsidRDefault="7C87C572" w:rsidP="00532F7E">
      <w:pPr>
        <w:numPr>
          <w:ilvl w:val="1"/>
          <w:numId w:val="42"/>
        </w:numPr>
        <w:spacing w:before="120" w:after="0"/>
        <w:ind w:hanging="286"/>
        <w:rPr>
          <w:rFonts w:cs="Times New Roman"/>
          <w:szCs w:val="24"/>
        </w:rPr>
      </w:pPr>
      <w:r w:rsidRPr="00EB557C">
        <w:rPr>
          <w:rFonts w:cs="Times New Roman"/>
          <w:szCs w:val="24"/>
        </w:rPr>
        <w:t>Wysokość zwracanej nadpłaty z depozytu do 20%.</w:t>
      </w:r>
    </w:p>
    <w:p w14:paraId="26B29A3B" w14:textId="068FE01A" w:rsidR="001574A0" w:rsidRPr="00EB557C" w:rsidRDefault="3A134619" w:rsidP="00532F7E">
      <w:pPr>
        <w:numPr>
          <w:ilvl w:val="0"/>
          <w:numId w:val="26"/>
        </w:numPr>
        <w:spacing w:before="120" w:after="0"/>
        <w:ind w:left="426" w:hanging="426"/>
        <w:rPr>
          <w:rFonts w:cs="Times New Roman"/>
          <w:b/>
          <w:bCs/>
          <w:szCs w:val="24"/>
          <w:u w:val="single"/>
        </w:rPr>
      </w:pPr>
      <w:r w:rsidRPr="00EB557C">
        <w:rPr>
          <w:rFonts w:cs="Times New Roman"/>
          <w:szCs w:val="24"/>
          <w:u w:val="single"/>
        </w:rPr>
        <w:t>Od 1 lipca 2024 r. do dnia wejścia w życie nowelizacji ustawy (okres przejściowy</w:t>
      </w:r>
      <w:r w:rsidRPr="00EB557C">
        <w:rPr>
          <w:rFonts w:cs="Times New Roman"/>
          <w:b/>
          <w:bCs/>
          <w:szCs w:val="24"/>
          <w:u w:val="single"/>
        </w:rPr>
        <w:t>)</w:t>
      </w:r>
    </w:p>
    <w:p w14:paraId="7056ED54" w14:textId="71BC3A8E" w:rsidR="001574A0" w:rsidRPr="00EB557C" w:rsidRDefault="3A134619" w:rsidP="00532F7E">
      <w:pPr>
        <w:numPr>
          <w:ilvl w:val="1"/>
          <w:numId w:val="42"/>
        </w:numPr>
        <w:spacing w:before="120" w:after="0"/>
        <w:ind w:hanging="286"/>
        <w:rPr>
          <w:rFonts w:cs="Times New Roman"/>
          <w:szCs w:val="24"/>
        </w:rPr>
      </w:pPr>
      <w:r w:rsidRPr="00EB557C">
        <w:rPr>
          <w:rFonts w:cs="Times New Roman"/>
          <w:szCs w:val="24"/>
        </w:rPr>
        <w:t xml:space="preserve">Zgodnie z obowiązującymi regulacjami ustawy o OZE, prosumenci są rozliczani wg Rynkowej ceny energii elektrycznej (RCE). </w:t>
      </w:r>
    </w:p>
    <w:p w14:paraId="2CD3860D" w14:textId="1CB9EF3D" w:rsidR="001574A0" w:rsidRPr="00EB557C" w:rsidRDefault="3A134619" w:rsidP="00532F7E">
      <w:pPr>
        <w:numPr>
          <w:ilvl w:val="1"/>
          <w:numId w:val="42"/>
        </w:numPr>
        <w:spacing w:before="120" w:after="0"/>
        <w:ind w:hanging="286"/>
        <w:rPr>
          <w:rFonts w:cs="Times New Roman"/>
          <w:szCs w:val="24"/>
        </w:rPr>
      </w:pPr>
      <w:r w:rsidRPr="00EB557C">
        <w:rPr>
          <w:rFonts w:cs="Times New Roman"/>
          <w:szCs w:val="24"/>
        </w:rPr>
        <w:t>Wysokość zwracanej nadpłaty z depozytu do 20%.</w:t>
      </w:r>
    </w:p>
    <w:p w14:paraId="49CA788A" w14:textId="589506EE" w:rsidR="001574A0" w:rsidRPr="00EB557C" w:rsidRDefault="3A134619" w:rsidP="00532F7E">
      <w:pPr>
        <w:numPr>
          <w:ilvl w:val="0"/>
          <w:numId w:val="26"/>
        </w:numPr>
        <w:spacing w:before="120" w:after="0"/>
        <w:ind w:left="426" w:hanging="426"/>
        <w:rPr>
          <w:rFonts w:cs="Times New Roman"/>
          <w:szCs w:val="24"/>
          <w:u w:val="single"/>
        </w:rPr>
      </w:pPr>
      <w:r w:rsidRPr="00EB557C">
        <w:rPr>
          <w:rFonts w:cs="Times New Roman"/>
          <w:szCs w:val="24"/>
          <w:u w:val="single"/>
        </w:rPr>
        <w:t>Od dnia wejścia w życie nowelizacji ustawy</w:t>
      </w:r>
    </w:p>
    <w:p w14:paraId="3E371530" w14:textId="401593BA" w:rsidR="001574A0" w:rsidRPr="00EB557C" w:rsidRDefault="3A134619" w:rsidP="00532F7E">
      <w:pPr>
        <w:numPr>
          <w:ilvl w:val="1"/>
          <w:numId w:val="42"/>
        </w:numPr>
        <w:spacing w:before="120" w:after="0"/>
        <w:ind w:hanging="286"/>
        <w:rPr>
          <w:rFonts w:cs="Times New Roman"/>
          <w:szCs w:val="24"/>
        </w:rPr>
      </w:pPr>
      <w:r w:rsidRPr="00EB557C">
        <w:rPr>
          <w:rFonts w:cs="Times New Roman"/>
          <w:szCs w:val="24"/>
        </w:rPr>
        <w:t xml:space="preserve">Prosumenci, którzy wprowadzili po raz pierwszy energię do sieci do dnia 30 czerwca 2024 r.: </w:t>
      </w:r>
    </w:p>
    <w:p w14:paraId="1EEAC82A" w14:textId="16D10E21" w:rsidR="001574A0" w:rsidRPr="00EB557C" w:rsidRDefault="3A134619" w:rsidP="00532F7E">
      <w:pPr>
        <w:numPr>
          <w:ilvl w:val="2"/>
          <w:numId w:val="26"/>
        </w:numPr>
        <w:spacing w:before="120" w:after="0"/>
        <w:ind w:left="1176" w:hanging="325"/>
        <w:rPr>
          <w:rFonts w:cs="Times New Roman"/>
          <w:szCs w:val="24"/>
        </w:rPr>
      </w:pPr>
      <w:r w:rsidRPr="00EB557C">
        <w:rPr>
          <w:rFonts w:cs="Times New Roman"/>
          <w:szCs w:val="24"/>
        </w:rPr>
        <w:t xml:space="preserve">Rozliczani będą wg RCEm, wraz z uwzględnieniem zwiększenia wartości depozytu za dany miesiąc o współczynnik 1,23. </w:t>
      </w:r>
    </w:p>
    <w:p w14:paraId="680919E2" w14:textId="6DC33E0D" w:rsidR="001574A0" w:rsidRPr="00EB557C" w:rsidRDefault="3A134619" w:rsidP="00532F7E">
      <w:pPr>
        <w:numPr>
          <w:ilvl w:val="2"/>
          <w:numId w:val="26"/>
        </w:numPr>
        <w:spacing w:before="120" w:after="0"/>
        <w:ind w:left="1190" w:hanging="294"/>
        <w:rPr>
          <w:rFonts w:cs="Times New Roman"/>
          <w:szCs w:val="24"/>
        </w:rPr>
      </w:pPr>
      <w:r w:rsidRPr="00EB557C">
        <w:rPr>
          <w:rFonts w:cs="Times New Roman"/>
          <w:szCs w:val="24"/>
        </w:rPr>
        <w:t xml:space="preserve">Wysokość zwracanej nadpłaty z depozytu do 20%. </w:t>
      </w:r>
    </w:p>
    <w:p w14:paraId="777F1B79" w14:textId="7AF56C02" w:rsidR="001574A0" w:rsidRPr="00EB557C" w:rsidRDefault="3A134619" w:rsidP="00532F7E">
      <w:pPr>
        <w:numPr>
          <w:ilvl w:val="2"/>
          <w:numId w:val="26"/>
        </w:numPr>
        <w:spacing w:before="120" w:after="0"/>
        <w:ind w:left="1204" w:hanging="238"/>
        <w:rPr>
          <w:rFonts w:cs="Times New Roman"/>
          <w:szCs w:val="24"/>
        </w:rPr>
      </w:pPr>
      <w:r w:rsidRPr="00EB557C">
        <w:rPr>
          <w:rFonts w:cs="Times New Roman"/>
          <w:szCs w:val="24"/>
        </w:rPr>
        <w:lastRenderedPageBreak/>
        <w:t>Prosumenci ci będą mogli złożyć oświadczenie umożliwiające zmianę sposobu rozliczeń na rozliczenie wg RCE. Wtedy maksymalna wysokość zwracanej nadpłaty z depozytu zwiększy się do 30%.</w:t>
      </w:r>
    </w:p>
    <w:p w14:paraId="6650477B" w14:textId="0DB1C784" w:rsidR="001574A0" w:rsidRPr="00EB557C" w:rsidRDefault="3A134619" w:rsidP="00532F7E">
      <w:pPr>
        <w:numPr>
          <w:ilvl w:val="1"/>
          <w:numId w:val="42"/>
        </w:numPr>
        <w:spacing w:before="120" w:after="0"/>
        <w:ind w:hanging="286"/>
        <w:rPr>
          <w:rFonts w:cs="Times New Roman"/>
          <w:szCs w:val="24"/>
        </w:rPr>
      </w:pPr>
      <w:r w:rsidRPr="00EB557C">
        <w:rPr>
          <w:rFonts w:cs="Times New Roman"/>
          <w:szCs w:val="24"/>
        </w:rPr>
        <w:t>Prosumenci, którzy wprowadzili po raz pierwszy energię do sieci od dnia 1 lipca 202</w:t>
      </w:r>
      <w:r w:rsidR="001921FA" w:rsidRPr="00EB557C">
        <w:rPr>
          <w:rFonts w:cs="Times New Roman"/>
          <w:szCs w:val="24"/>
        </w:rPr>
        <w:t>4</w:t>
      </w:r>
      <w:r w:rsidR="00C65440" w:rsidRPr="00EB557C">
        <w:rPr>
          <w:rFonts w:cs="Times New Roman"/>
          <w:szCs w:val="24"/>
        </w:rPr>
        <w:t> </w:t>
      </w:r>
      <w:r w:rsidRPr="00EB557C">
        <w:rPr>
          <w:rFonts w:cs="Times New Roman"/>
          <w:szCs w:val="24"/>
        </w:rPr>
        <w:t xml:space="preserve">r. </w:t>
      </w:r>
    </w:p>
    <w:p w14:paraId="2A8E39FB" w14:textId="6D224438" w:rsidR="001574A0" w:rsidRPr="00EB557C" w:rsidRDefault="001921FA" w:rsidP="00532F7E">
      <w:pPr>
        <w:spacing w:before="120" w:after="0"/>
        <w:ind w:left="1190" w:hanging="476"/>
        <w:rPr>
          <w:rFonts w:cs="Times New Roman"/>
          <w:szCs w:val="24"/>
        </w:rPr>
      </w:pPr>
      <w:r w:rsidRPr="00EB557C">
        <w:rPr>
          <w:rFonts w:cs="Times New Roman"/>
          <w:szCs w:val="24"/>
        </w:rPr>
        <w:t>i.</w:t>
      </w:r>
      <w:r w:rsidRPr="00EB557C">
        <w:rPr>
          <w:rFonts w:cs="Times New Roman"/>
          <w:szCs w:val="24"/>
        </w:rPr>
        <w:tab/>
      </w:r>
      <w:r w:rsidR="3A134619" w:rsidRPr="00EB557C">
        <w:rPr>
          <w:rFonts w:cs="Times New Roman"/>
          <w:szCs w:val="24"/>
        </w:rPr>
        <w:t xml:space="preserve">Rozliczani wg RCE z uwzględnieniem zwiększenia wartości depozytu za dany miesiąc o współczynnik 1,23. </w:t>
      </w:r>
    </w:p>
    <w:p w14:paraId="624DECE3" w14:textId="60548375" w:rsidR="001574A0" w:rsidRPr="00EB557C" w:rsidRDefault="001921FA" w:rsidP="00532F7E">
      <w:pPr>
        <w:spacing w:before="120" w:after="0"/>
        <w:ind w:left="1190" w:hanging="476"/>
        <w:rPr>
          <w:rFonts w:cs="Times New Roman"/>
          <w:szCs w:val="24"/>
        </w:rPr>
      </w:pPr>
      <w:r w:rsidRPr="00EB557C">
        <w:rPr>
          <w:rFonts w:cs="Times New Roman"/>
          <w:szCs w:val="24"/>
        </w:rPr>
        <w:t>ii.</w:t>
      </w:r>
      <w:r w:rsidRPr="00EB557C">
        <w:rPr>
          <w:rFonts w:cs="Times New Roman"/>
          <w:szCs w:val="24"/>
        </w:rPr>
        <w:tab/>
      </w:r>
      <w:r w:rsidR="3A134619" w:rsidRPr="00EB557C">
        <w:rPr>
          <w:rFonts w:cs="Times New Roman"/>
          <w:szCs w:val="24"/>
        </w:rPr>
        <w:t>Wysokość zwracanej nadpłaty z depozytu do 30%.</w:t>
      </w:r>
    </w:p>
    <w:p w14:paraId="13DA4D2E" w14:textId="0DC00507" w:rsidR="3A134619" w:rsidRPr="00EB557C" w:rsidRDefault="3A134619" w:rsidP="00532F7E">
      <w:pPr>
        <w:numPr>
          <w:ilvl w:val="0"/>
          <w:numId w:val="26"/>
        </w:numPr>
        <w:spacing w:before="120" w:after="0"/>
        <w:ind w:left="426" w:hanging="426"/>
        <w:rPr>
          <w:rFonts w:cs="Times New Roman"/>
          <w:b/>
          <w:bCs/>
          <w:szCs w:val="24"/>
        </w:rPr>
      </w:pPr>
      <w:r w:rsidRPr="00EB557C">
        <w:rPr>
          <w:rFonts w:cs="Times New Roman"/>
          <w:szCs w:val="24"/>
          <w:u w:val="single"/>
        </w:rPr>
        <w:t>Od pierwszego miesiąca następującego po miesiącu, w którym złożono oświadczenie o zmianie sposobu rozliczeń z net-metering na net-billing</w:t>
      </w:r>
    </w:p>
    <w:p w14:paraId="1FC48AE5" w14:textId="69A5E35D" w:rsidR="3A134619" w:rsidRPr="00EB557C" w:rsidRDefault="30D1BE95" w:rsidP="00532F7E">
      <w:pPr>
        <w:numPr>
          <w:ilvl w:val="1"/>
          <w:numId w:val="42"/>
        </w:numPr>
        <w:spacing w:before="120" w:after="0"/>
        <w:ind w:hanging="286"/>
        <w:rPr>
          <w:rFonts w:eastAsia="Times New Roman" w:cs="Times New Roman"/>
          <w:szCs w:val="24"/>
        </w:rPr>
      </w:pPr>
      <w:r w:rsidRPr="00EB557C">
        <w:rPr>
          <w:rFonts w:eastAsia="Times New Roman" w:cs="Times New Roman"/>
          <w:szCs w:val="24"/>
        </w:rPr>
        <w:t>Instalacje, które po raz pierwszy wprowadziły energię do sieci do dnia 30 czerwca 2024</w:t>
      </w:r>
      <w:r w:rsidR="00C65440" w:rsidRPr="00EB557C">
        <w:rPr>
          <w:rFonts w:eastAsia="Times New Roman" w:cs="Times New Roman"/>
          <w:szCs w:val="24"/>
        </w:rPr>
        <w:t> </w:t>
      </w:r>
      <w:r w:rsidRPr="00EB557C">
        <w:rPr>
          <w:rFonts w:eastAsia="Times New Roman" w:cs="Times New Roman"/>
          <w:szCs w:val="24"/>
        </w:rPr>
        <w:t>r., rozliczane będą wg RCE wraz z uwzględnieniem współczynnika 1,23.</w:t>
      </w:r>
    </w:p>
    <w:p w14:paraId="6A2C04B0" w14:textId="2F96AFE2" w:rsidR="3A134619" w:rsidRPr="00EB557C" w:rsidRDefault="30D1BE95" w:rsidP="00532F7E">
      <w:pPr>
        <w:numPr>
          <w:ilvl w:val="1"/>
          <w:numId w:val="42"/>
        </w:numPr>
        <w:spacing w:before="120" w:after="0"/>
        <w:ind w:hanging="286"/>
        <w:rPr>
          <w:rFonts w:eastAsia="Times New Roman" w:cs="Times New Roman"/>
          <w:szCs w:val="24"/>
        </w:rPr>
      </w:pPr>
      <w:r w:rsidRPr="00EB557C">
        <w:rPr>
          <w:rFonts w:eastAsia="Times New Roman" w:cs="Times New Roman"/>
          <w:szCs w:val="24"/>
        </w:rPr>
        <w:t>Wysokość zwracanej nadpłaty z depozytu do 30%.</w:t>
      </w:r>
    </w:p>
    <w:p w14:paraId="059083C5" w14:textId="77777777" w:rsidR="00A529E6" w:rsidRPr="00EB557C" w:rsidRDefault="3A134619" w:rsidP="00532F7E">
      <w:pPr>
        <w:spacing w:before="120" w:after="0"/>
        <w:ind w:firstLine="0"/>
        <w:rPr>
          <w:rFonts w:cs="Times New Roman"/>
          <w:szCs w:val="24"/>
        </w:rPr>
      </w:pPr>
      <w:r w:rsidRPr="00EB557C">
        <w:rPr>
          <w:rFonts w:cs="Times New Roman"/>
          <w:szCs w:val="24"/>
        </w:rPr>
        <w:t xml:space="preserve">Projektowane zmiany umożliwią prosumentom podjęcie świadomej decyzji o zmianie sposobu rozliczania ze sprzedawcą w oparciu o RCEm lub RCE. </w:t>
      </w:r>
    </w:p>
    <w:p w14:paraId="4C9315FC" w14:textId="7E05CF40" w:rsidR="3A134619" w:rsidRPr="00EB557C" w:rsidRDefault="3A134619" w:rsidP="00532F7E">
      <w:pPr>
        <w:spacing w:before="120" w:after="0"/>
        <w:ind w:firstLine="0"/>
        <w:rPr>
          <w:rFonts w:cs="Times New Roman"/>
          <w:b/>
          <w:bCs/>
          <w:szCs w:val="24"/>
        </w:rPr>
      </w:pPr>
      <w:r w:rsidRPr="00EB557C">
        <w:rPr>
          <w:rFonts w:cs="Times New Roman"/>
          <w:b/>
          <w:bCs/>
          <w:szCs w:val="24"/>
        </w:rPr>
        <w:t xml:space="preserve">Współczynnik korekcyjny 1,23 </w:t>
      </w:r>
    </w:p>
    <w:p w14:paraId="141BC2DC" w14:textId="602611CD" w:rsidR="00A529E6" w:rsidRPr="00EB557C" w:rsidRDefault="3CEC858B" w:rsidP="00532F7E">
      <w:pPr>
        <w:spacing w:before="120" w:after="0"/>
        <w:ind w:firstLine="0"/>
        <w:rPr>
          <w:rFonts w:cs="Times New Roman"/>
          <w:szCs w:val="24"/>
        </w:rPr>
      </w:pPr>
      <w:r w:rsidRPr="00EB557C">
        <w:rPr>
          <w:rFonts w:cs="Times New Roman"/>
          <w:szCs w:val="24"/>
        </w:rPr>
        <w:t xml:space="preserve">Dodatkowo w art. 4c w ust. 4 ustawy o OZE zakłada się wprowadzenie modyfikacji mechanizmu rozliczeń prosumentów w systemie net-billing poprzez zwiększenie wartości depozytu prosumenckiego dotyczącego danego miesiąca kalendarzowego o współczynnik korekcyjny 1,23 i jej przyporządkowanie do konta prosumenckiego w kolejnym miesiącu kalendarzowym. W efekcie wzrośnie opłacalność rozliczeń w systemie net-billing, poprzez zmniejszenie różnicy między rynkową ceną energii dla prosumenta energii odnawialnej a oferowaną stawką z taryfy operatora. </w:t>
      </w:r>
    </w:p>
    <w:p w14:paraId="080F1E6F" w14:textId="221245C8" w:rsidR="00A529E6" w:rsidRPr="00EB557C" w:rsidRDefault="002055A7" w:rsidP="00532F7E">
      <w:pPr>
        <w:spacing w:before="120" w:after="0"/>
        <w:ind w:firstLine="0"/>
        <w:rPr>
          <w:rFonts w:cs="Times New Roman"/>
          <w:szCs w:val="24"/>
        </w:rPr>
      </w:pPr>
      <w:r w:rsidRPr="00EB557C">
        <w:rPr>
          <w:rFonts w:cs="Times New Roman"/>
          <w:szCs w:val="24"/>
        </w:rPr>
        <w:t>Jak wskazano wyżej, m</w:t>
      </w:r>
      <w:r w:rsidR="00A529E6" w:rsidRPr="00EB557C">
        <w:rPr>
          <w:rFonts w:cs="Times New Roman"/>
          <w:szCs w:val="24"/>
        </w:rPr>
        <w:t xml:space="preserve">ożliwość zmiany sposobu rozliczeń </w:t>
      </w:r>
      <w:r w:rsidRPr="00EB557C">
        <w:rPr>
          <w:rFonts w:cs="Times New Roman"/>
          <w:szCs w:val="24"/>
        </w:rPr>
        <w:t xml:space="preserve">na rozliczenia </w:t>
      </w:r>
      <w:r w:rsidR="00A0556B" w:rsidRPr="00EB557C">
        <w:rPr>
          <w:rFonts w:cs="Times New Roman"/>
          <w:szCs w:val="24"/>
        </w:rPr>
        <w:t>w oparciu</w:t>
      </w:r>
      <w:r w:rsidR="00A529E6" w:rsidRPr="00EB557C">
        <w:rPr>
          <w:rFonts w:cs="Times New Roman"/>
          <w:szCs w:val="24"/>
        </w:rPr>
        <w:t xml:space="preserve"> o RCE będzie świadomym wyborem prosumenta i pozwoli na osiągnięcie większych oszczędności poprzez optymalizację swojego zużycia dostosowanego do wyboru sposobu wyliczenia rynkowej ceny energii. Natomiast podniesienie wartości depozytu prosumenckiego spowoduje zmniejszenie dysproporcji pomiędzy wartością energii</w:t>
      </w:r>
      <w:r w:rsidR="0064763E" w:rsidRPr="00EB557C">
        <w:rPr>
          <w:rFonts w:cs="Times New Roman"/>
          <w:szCs w:val="24"/>
        </w:rPr>
        <w:t>,</w:t>
      </w:r>
      <w:r w:rsidR="00A529E6" w:rsidRPr="00EB557C">
        <w:rPr>
          <w:rFonts w:cs="Times New Roman"/>
          <w:szCs w:val="24"/>
        </w:rPr>
        <w:t xml:space="preserve"> jaka jest zapisywana na depozycie prosumenckim, a ceną oferowaną przez spółki obrotu za pobraną przez prosumenta energię elektryczną z sieci elektroenergetycznej. </w:t>
      </w:r>
    </w:p>
    <w:p w14:paraId="470F37C1" w14:textId="469C7A04" w:rsidR="00A529E6" w:rsidRPr="00EB557C" w:rsidRDefault="3A134619" w:rsidP="00532F7E">
      <w:pPr>
        <w:spacing w:before="120" w:after="0"/>
        <w:ind w:firstLine="0"/>
        <w:rPr>
          <w:rFonts w:cs="Times New Roman"/>
          <w:szCs w:val="24"/>
        </w:rPr>
      </w:pPr>
      <w:r w:rsidRPr="00EB557C">
        <w:rPr>
          <w:rFonts w:cs="Times New Roman"/>
          <w:szCs w:val="24"/>
        </w:rPr>
        <w:lastRenderedPageBreak/>
        <w:t>Projektowane zmiany w regulacjach mają na celu zwiększenie opłacalności inwestycji w instalacje prosumenckie, a także osiągnięcie większych korzyści z produkcji energii na własne potrzeby w mikroinstalacji.</w:t>
      </w:r>
    </w:p>
    <w:p w14:paraId="3C0983BC" w14:textId="09325E35" w:rsidR="00A529E6" w:rsidRPr="00EB557C" w:rsidRDefault="00A529E6" w:rsidP="00532F7E">
      <w:pPr>
        <w:spacing w:before="120" w:after="0"/>
        <w:ind w:firstLine="0"/>
        <w:rPr>
          <w:rFonts w:cs="Times New Roman"/>
          <w:szCs w:val="24"/>
        </w:rPr>
      </w:pPr>
      <w:r w:rsidRPr="00EB557C">
        <w:rPr>
          <w:rFonts w:cs="Times New Roman"/>
          <w:szCs w:val="24"/>
        </w:rPr>
        <w:t xml:space="preserve">Projektowane zmiany nie będą miały wpływu na pozostałych odbiorców energii, gdyż dotyczą rozliczeń prosumenta ze spółką obrotu za wprowadzoną przez niego do sieci elektroenergetycznej energię elektryczną i pobraną przez niego z sieci w czasie, gdy mikroinstalacja jej nie </w:t>
      </w:r>
      <w:r w:rsidR="002055A7" w:rsidRPr="00EB557C">
        <w:rPr>
          <w:rFonts w:cs="Times New Roman"/>
          <w:szCs w:val="24"/>
        </w:rPr>
        <w:t>wytwarza</w:t>
      </w:r>
      <w:r w:rsidRPr="00EB557C">
        <w:rPr>
          <w:rFonts w:cs="Times New Roman"/>
          <w:szCs w:val="24"/>
        </w:rPr>
        <w:t xml:space="preserve">. </w:t>
      </w:r>
    </w:p>
    <w:p w14:paraId="77062E22" w14:textId="07728426" w:rsidR="00A529E6" w:rsidRPr="00EB557C" w:rsidRDefault="3A134619" w:rsidP="00532F7E">
      <w:pPr>
        <w:spacing w:before="120" w:after="0"/>
        <w:ind w:firstLine="0"/>
        <w:rPr>
          <w:rFonts w:cs="Times New Roman"/>
          <w:szCs w:val="24"/>
        </w:rPr>
      </w:pPr>
      <w:r w:rsidRPr="00EB557C">
        <w:rPr>
          <w:rFonts w:cs="Times New Roman"/>
          <w:szCs w:val="24"/>
        </w:rPr>
        <w:t>W tym kontekście należy zaznaczyć, że na podstawie art. 4 ust. 6 pkt 6 ustawy o OZE, po upływie 12 miesięcy od przypisania danej kwoty środków do depozytu prosumenckiego niewykorzystane przez prosumenta środki umarza się.</w:t>
      </w:r>
    </w:p>
    <w:p w14:paraId="63DE8513" w14:textId="70019A96" w:rsidR="00522641" w:rsidRPr="00EB557C" w:rsidRDefault="3A134619" w:rsidP="00532F7E">
      <w:pPr>
        <w:spacing w:before="120" w:after="0"/>
        <w:ind w:firstLine="0"/>
        <w:rPr>
          <w:rFonts w:cs="Times New Roman"/>
          <w:szCs w:val="24"/>
        </w:rPr>
      </w:pPr>
      <w:r w:rsidRPr="00EB557C">
        <w:rPr>
          <w:rFonts w:cs="Times New Roman"/>
          <w:szCs w:val="24"/>
        </w:rPr>
        <w:t>Dodatkowo, z powodu braku jednoznacznego sposobu rozliczenia nadwyżek energii z systemu net-metering proponuje się wprowadzenie zmiany art. 4c ust. 9 ustawy o OZE. Zgodnie z propozycją zawartą w projekcie, w przypadku zmiany systemu rozliczania wprowadzonej energii do sieci, do konta prosumenta zostanie doliczona wartość energii elektrycznej wytworzonej i niezużytej przez prosumenta energii odnawialnej lub prosumenta zbiorowego energii odnawialnej, który korzystał z rozliczenia w systemie net-metering. Wartość tej energii będzie ustalana na podstawie średniej miesięcznej ceny rynkowej obowiązującej dla miesiąca poprzedzającego miesiąc, w którym prosument kończy rozliczanie się w oparciu o system rozliczeń net-metering. Uregulowanie tej kwestii pozwoli na sprawiedliwą zmianę systemu rozliczania.</w:t>
      </w:r>
    </w:p>
    <w:p w14:paraId="73C60C61" w14:textId="77777777" w:rsidR="001921FA" w:rsidRPr="00EB557C" w:rsidRDefault="3CEC858B" w:rsidP="00532F7E">
      <w:pPr>
        <w:spacing w:before="120" w:after="0"/>
        <w:ind w:left="14" w:firstLine="0"/>
        <w:rPr>
          <w:rFonts w:cs="Times New Roman"/>
          <w:szCs w:val="24"/>
        </w:rPr>
      </w:pPr>
      <w:r w:rsidRPr="00EB557C">
        <w:rPr>
          <w:rFonts w:cs="Times New Roman"/>
          <w:szCs w:val="24"/>
        </w:rPr>
        <w:t>Należy również zauważyć, że korygowanie danych pomiarowych w związku z rozliczeniem ceny RCEm jest możliwe przez kolejnych 12 miesięcy po miesiącu rozliczanym. Zmiana progu takiej korekcji z 0,1% do 2% będzie skutkować zmniejszeniem koniecznych korekt rozliczeń, a co za tym idzie zmniejszeniem kosztów rozliczania prosumentów działających w systemie net-billing.</w:t>
      </w:r>
    </w:p>
    <w:p w14:paraId="4E24DDBD" w14:textId="40EC7D22" w:rsidR="00F52161" w:rsidRPr="00EB557C" w:rsidRDefault="00036B8F" w:rsidP="00532F7E">
      <w:pPr>
        <w:tabs>
          <w:tab w:val="left" w:pos="426"/>
        </w:tabs>
        <w:spacing w:before="120" w:after="0"/>
        <w:ind w:firstLine="0"/>
        <w:rPr>
          <w:rFonts w:cs="Times New Roman"/>
          <w:b/>
          <w:bCs/>
          <w:szCs w:val="24"/>
          <w:u w:val="single"/>
        </w:rPr>
      </w:pPr>
      <w:r>
        <w:rPr>
          <w:rFonts w:cs="Times New Roman"/>
          <w:b/>
          <w:bCs/>
          <w:szCs w:val="24"/>
        </w:rPr>
        <w:t>5</w:t>
      </w:r>
      <w:r w:rsidR="7C87C572" w:rsidRPr="00532F7E">
        <w:rPr>
          <w:rFonts w:cs="Times New Roman"/>
          <w:b/>
          <w:bCs/>
          <w:szCs w:val="24"/>
        </w:rPr>
        <w:t>.</w:t>
      </w:r>
      <w:r w:rsidR="00EB557C" w:rsidRPr="00532F7E">
        <w:rPr>
          <w:rFonts w:cs="Times New Roman"/>
          <w:b/>
          <w:bCs/>
          <w:szCs w:val="24"/>
        </w:rPr>
        <w:tab/>
      </w:r>
      <w:r w:rsidR="7C87C572" w:rsidRPr="00EB557C">
        <w:rPr>
          <w:rFonts w:cs="Times New Roman"/>
          <w:b/>
          <w:bCs/>
          <w:szCs w:val="24"/>
          <w:u w:val="single"/>
        </w:rPr>
        <w:t>Inne zmiany</w:t>
      </w:r>
    </w:p>
    <w:p w14:paraId="5FFB86E2" w14:textId="0A73843A" w:rsidR="00F52161" w:rsidRPr="00EB557C" w:rsidRDefault="3A134619" w:rsidP="00532F7E">
      <w:pPr>
        <w:spacing w:before="120" w:after="0"/>
        <w:ind w:firstLine="0"/>
        <w:rPr>
          <w:rFonts w:cs="Times New Roman"/>
          <w:szCs w:val="24"/>
        </w:rPr>
      </w:pPr>
      <w:r w:rsidRPr="00EB557C">
        <w:rPr>
          <w:rFonts w:cs="Times New Roman"/>
          <w:szCs w:val="24"/>
        </w:rPr>
        <w:t>W projekcie ustawy wprowadzono również zmianę porządkową w art. 41 ust. 2 pkt 1 ustawy o OZE polegającą na dodaniu wyrazów „albo ust. 1a pkt 2”. Zmiana wynika na wykluczeniu możliwości jednoczesnego korzystania z systemu wsparcia w postaci świadectw pochodzenia oraz rozliczeń prosumenckich, a nie wyłącznie rozliczeń na zasadach net-meteringu, ja</w:t>
      </w:r>
      <w:r w:rsidRPr="00EB557C">
        <w:rPr>
          <w:rFonts w:eastAsiaTheme="minorEastAsia" w:cs="Times New Roman"/>
          <w:szCs w:val="24"/>
        </w:rPr>
        <w:t>k wynika z literalnego odczytania przedmiotowego przepisu. Zmiana oddaje intencję ustawodawcy wyrażoną w art. 69a pkt 1 i 5 ustawy o OZE.</w:t>
      </w:r>
    </w:p>
    <w:p w14:paraId="00895334" w14:textId="4A47EB63" w:rsidR="00830619" w:rsidRPr="00EB557C" w:rsidRDefault="3CEC858B" w:rsidP="00532F7E">
      <w:pPr>
        <w:spacing w:before="120" w:after="0"/>
        <w:ind w:firstLine="0"/>
        <w:rPr>
          <w:rFonts w:cs="Times New Roman"/>
          <w:szCs w:val="24"/>
        </w:rPr>
      </w:pPr>
      <w:r w:rsidRPr="00EB557C">
        <w:rPr>
          <w:rFonts w:eastAsiaTheme="minorEastAsia" w:cs="Times New Roman"/>
          <w:szCs w:val="24"/>
        </w:rPr>
        <w:lastRenderedPageBreak/>
        <w:t>Ponadto, w celu zapewnienia wsparcia wytwórców energii w instalacjach OZE w ramach mechanizmów FiT/FiP i aukcyjnym tym projektom, które są w zaawansowanym etapie realizacji, p</w:t>
      </w:r>
      <w:r w:rsidRPr="00EB557C">
        <w:rPr>
          <w:rFonts w:cs="Times New Roman"/>
          <w:szCs w:val="24"/>
        </w:rPr>
        <w:t>rojektodawca wskazał w art. 22, że w konsekwencji do deklaracji tych wytwórców o przystąpieniu do ww. systemów wsparcia złożonych i nierozpatrzonych przed dniem wejścia w życie projektowanej ustawy stosuje się przepisy ustawy zmienianej tj.:</w:t>
      </w:r>
    </w:p>
    <w:p w14:paraId="234DE34C" w14:textId="00DA693B" w:rsidR="008C360B" w:rsidRPr="00EB557C" w:rsidRDefault="3A134619" w:rsidP="00532F7E">
      <w:pPr>
        <w:pStyle w:val="Akapitzlist"/>
        <w:numPr>
          <w:ilvl w:val="0"/>
          <w:numId w:val="2"/>
        </w:numPr>
        <w:spacing w:before="120" w:after="0"/>
        <w:ind w:left="284" w:hanging="284"/>
        <w:rPr>
          <w:rFonts w:cs="Times New Roman"/>
          <w:szCs w:val="24"/>
        </w:rPr>
      </w:pPr>
      <w:r w:rsidRPr="00EB557C">
        <w:rPr>
          <w:rFonts w:cs="Times New Roman"/>
          <w:szCs w:val="24"/>
        </w:rPr>
        <w:t xml:space="preserve">stosuje się przepisy art. 70b ust. 4 pkt 2 lit. a, dotyczące konieczności złożenia oświadczenia o dniu wytworzenia po raz pierwszy energii elektrycznej, </w:t>
      </w:r>
    </w:p>
    <w:p w14:paraId="7E15ABE7" w14:textId="4B894FCD" w:rsidR="008C360B" w:rsidRPr="00EB557C" w:rsidRDefault="3A134619" w:rsidP="00532F7E">
      <w:pPr>
        <w:pStyle w:val="Akapitzlist"/>
        <w:numPr>
          <w:ilvl w:val="0"/>
          <w:numId w:val="2"/>
        </w:numPr>
        <w:spacing w:before="120" w:after="0"/>
        <w:ind w:left="284" w:hanging="284"/>
        <w:rPr>
          <w:rFonts w:cs="Times New Roman"/>
          <w:szCs w:val="24"/>
        </w:rPr>
      </w:pPr>
      <w:r w:rsidRPr="00EB557C">
        <w:rPr>
          <w:rFonts w:cs="Times New Roman"/>
          <w:szCs w:val="24"/>
        </w:rPr>
        <w:t>stosuje się przepisy art. 70b ust. 12b w nowym brzmieniu, tj. bez rozpoznania pozostawia się deklaracje nie zawierające określonych dokumentów (pozwolenia na budowę i</w:t>
      </w:r>
      <w:r w:rsidR="006833BD">
        <w:rPr>
          <w:rFonts w:cs="Times New Roman"/>
          <w:szCs w:val="24"/>
        </w:rPr>
        <w:t> </w:t>
      </w:r>
      <w:r w:rsidRPr="00EB557C">
        <w:rPr>
          <w:rFonts w:cs="Times New Roman"/>
          <w:szCs w:val="24"/>
        </w:rPr>
        <w:t>warunków przyłączenia),</w:t>
      </w:r>
    </w:p>
    <w:p w14:paraId="2070C032" w14:textId="70F4CE77" w:rsidR="008C360B" w:rsidRPr="00EB557C" w:rsidRDefault="3A134619" w:rsidP="00532F7E">
      <w:pPr>
        <w:pStyle w:val="Akapitzlist"/>
        <w:numPr>
          <w:ilvl w:val="0"/>
          <w:numId w:val="2"/>
        </w:numPr>
        <w:spacing w:before="120" w:after="0"/>
        <w:ind w:left="284" w:hanging="284"/>
        <w:rPr>
          <w:rFonts w:cs="Times New Roman"/>
          <w:szCs w:val="24"/>
        </w:rPr>
      </w:pPr>
      <w:r w:rsidRPr="00EB557C">
        <w:rPr>
          <w:rFonts w:cs="Times New Roman"/>
          <w:szCs w:val="24"/>
        </w:rPr>
        <w:t xml:space="preserve">nie stosuje się art. 70b ust. 4a dodawanego w tym projekcie, dotyczącego określenia czym jest instalacja odnawialnego źródła energii planowana do uruchomienia. </w:t>
      </w:r>
    </w:p>
    <w:p w14:paraId="330B8E54" w14:textId="35BE8603" w:rsidR="00830619" w:rsidRPr="00EB557C" w:rsidRDefault="2EF9B5D8" w:rsidP="00532F7E">
      <w:pPr>
        <w:spacing w:before="120" w:after="0"/>
        <w:ind w:firstLine="0"/>
        <w:rPr>
          <w:rFonts w:cs="Times New Roman"/>
          <w:szCs w:val="24"/>
        </w:rPr>
      </w:pPr>
      <w:r w:rsidRPr="00EB557C">
        <w:rPr>
          <w:rFonts w:cs="Times New Roman"/>
          <w:szCs w:val="24"/>
        </w:rPr>
        <w:t xml:space="preserve">W zakresie ww. tiret </w:t>
      </w:r>
      <w:r w:rsidR="00B7491B" w:rsidRPr="00EB557C">
        <w:rPr>
          <w:rFonts w:cs="Times New Roman"/>
          <w:szCs w:val="24"/>
        </w:rPr>
        <w:t>drugie</w:t>
      </w:r>
      <w:r w:rsidR="002E6D27" w:rsidRPr="00EB557C">
        <w:rPr>
          <w:rFonts w:cs="Times New Roman"/>
          <w:szCs w:val="24"/>
        </w:rPr>
        <w:t>j</w:t>
      </w:r>
      <w:r w:rsidRPr="00EB557C">
        <w:rPr>
          <w:rFonts w:cs="Times New Roman"/>
          <w:szCs w:val="24"/>
        </w:rPr>
        <w:t xml:space="preserve">, projektowane działanie wynika z doświadczeń Prezesa URE, dotyczących składania deklaracji bez ww. dokumentów, które nie daje realnej szansy na to, że taka instalacja powstanie, powodując tylko niepotrzebne obciążenie organu rozpatrującego. Ponadto należy wskazać, że czas niezbędny na zdobycie tych dokumentów wyklucza możliwość wezwania wytwórcy do uzupełnienia i czyni je bezskutecznym. </w:t>
      </w:r>
      <w:r w:rsidR="00AD19D1" w:rsidRPr="00EB557C">
        <w:rPr>
          <w:rFonts w:cs="Times New Roman"/>
          <w:szCs w:val="24"/>
        </w:rPr>
        <w:t xml:space="preserve">Dlatego, </w:t>
      </w:r>
      <w:r w:rsidRPr="00EB557C">
        <w:rPr>
          <w:rFonts w:cs="Times New Roman"/>
          <w:szCs w:val="24"/>
        </w:rPr>
        <w:t>w ocenie projektodawcy</w:t>
      </w:r>
      <w:r w:rsidR="00AD19D1" w:rsidRPr="00EB557C">
        <w:rPr>
          <w:rFonts w:cs="Times New Roman"/>
          <w:szCs w:val="24"/>
        </w:rPr>
        <w:t>,</w:t>
      </w:r>
      <w:r w:rsidRPr="00EB557C">
        <w:rPr>
          <w:rFonts w:cs="Times New Roman"/>
          <w:szCs w:val="24"/>
        </w:rPr>
        <w:t xml:space="preserve"> pozostawienie takich deklaracji bez rozpatrzenia wpłynie pozytywnie na usprawnienie pracy organu i prowadzenie postępowań ws. instalacji będących na zaawansowanym etapie przygotowania do realizacji.</w:t>
      </w:r>
    </w:p>
    <w:p w14:paraId="59823025" w14:textId="77777777" w:rsidR="0013062A" w:rsidRPr="00EB557C" w:rsidRDefault="0013062A" w:rsidP="00532F7E">
      <w:pPr>
        <w:spacing w:before="120" w:after="0"/>
        <w:ind w:firstLine="0"/>
        <w:rPr>
          <w:rStyle w:val="Pogrubienie"/>
          <w:rFonts w:cs="Times New Roman"/>
          <w:szCs w:val="24"/>
        </w:rPr>
      </w:pPr>
      <w:r w:rsidRPr="00EB557C">
        <w:rPr>
          <w:rStyle w:val="Pogrubienie"/>
          <w:rFonts w:cs="Times New Roman"/>
          <w:szCs w:val="24"/>
        </w:rPr>
        <w:t>Przepisy o wejściu w życie projektowanej ustawy</w:t>
      </w:r>
    </w:p>
    <w:p w14:paraId="51C51A5B" w14:textId="6DC74C21" w:rsidR="3A134619" w:rsidRPr="00EB557C" w:rsidRDefault="4E121425" w:rsidP="00532F7E">
      <w:pPr>
        <w:spacing w:before="120" w:after="0"/>
        <w:ind w:firstLine="0"/>
        <w:rPr>
          <w:rFonts w:cs="Times New Roman"/>
          <w:szCs w:val="24"/>
        </w:rPr>
      </w:pPr>
      <w:r w:rsidRPr="00EB557C">
        <w:rPr>
          <w:rFonts w:cs="Times New Roman"/>
          <w:szCs w:val="24"/>
        </w:rPr>
        <w:t>Planuje się, że ustawa wejdzie w życie po upływie 14 dni od dnia ogłoszenia, z wyjątkiem art.</w:t>
      </w:r>
      <w:r w:rsidR="00D13FE4">
        <w:rPr>
          <w:rFonts w:cs="Times New Roman"/>
          <w:szCs w:val="24"/>
        </w:rPr>
        <w:t> </w:t>
      </w:r>
      <w:r w:rsidRPr="00EB557C">
        <w:rPr>
          <w:rFonts w:cs="Times New Roman"/>
          <w:szCs w:val="24"/>
        </w:rPr>
        <w:t>1 pkt 28 oraz pkt 39, tj. przepisów związanych z nowymi obowiązkami nakładanymi na Prezesa URE, pkt 44 oraz art. 5 ust</w:t>
      </w:r>
      <w:r w:rsidR="00D13FE4">
        <w:rPr>
          <w:rFonts w:cs="Times New Roman"/>
          <w:szCs w:val="24"/>
        </w:rPr>
        <w:t>.</w:t>
      </w:r>
      <w:r w:rsidRPr="00EB557C">
        <w:rPr>
          <w:rFonts w:cs="Times New Roman"/>
          <w:szCs w:val="24"/>
        </w:rPr>
        <w:t xml:space="preserve"> 8, które wchodzą w życie z dniem 1 stycznia 2025 r., a także art. 1 pkt 2 lit. b w zakresie dodawanego ust. 11a pkt 2 oraz art. 1 pkt 3 lit. b, w zakresie, w jakim dotyczą prosumenta wirtualnego energii odnawialnej, które wchodzą w życie z dniem 2 lipca 2025 r, oraz art. 8 w zakresie zmiany doprecyzowującej, który wchodzi w życie z dniem 2 lipca 2025 r.</w:t>
      </w:r>
    </w:p>
    <w:p w14:paraId="50F88EF2" w14:textId="1F2DACD0" w:rsidR="00A376A1" w:rsidRPr="00EB557C" w:rsidRDefault="00E150FD" w:rsidP="00532F7E">
      <w:pPr>
        <w:spacing w:before="120" w:after="0"/>
        <w:ind w:firstLine="0"/>
        <w:rPr>
          <w:rFonts w:cs="Times New Roman"/>
          <w:szCs w:val="24"/>
        </w:rPr>
      </w:pPr>
      <w:r w:rsidRPr="00EB557C">
        <w:rPr>
          <w:rFonts w:cs="Times New Roman"/>
          <w:szCs w:val="24"/>
        </w:rPr>
        <w:t xml:space="preserve">Jednocześnie </w:t>
      </w:r>
      <w:r w:rsidR="00227C44" w:rsidRPr="00EB557C">
        <w:rPr>
          <w:rFonts w:cs="Times New Roman"/>
          <w:i/>
          <w:iCs/>
          <w:szCs w:val="24"/>
        </w:rPr>
        <w:t>vacatio legis</w:t>
      </w:r>
      <w:r w:rsidR="00227C44" w:rsidRPr="00EB557C">
        <w:rPr>
          <w:rFonts w:cs="Times New Roman"/>
          <w:szCs w:val="24"/>
        </w:rPr>
        <w:t xml:space="preserve"> dla przepisów</w:t>
      </w:r>
      <w:r w:rsidR="008A78A8" w:rsidRPr="00EB557C">
        <w:rPr>
          <w:rFonts w:cs="Times New Roman"/>
          <w:szCs w:val="24"/>
        </w:rPr>
        <w:t xml:space="preserve"> </w:t>
      </w:r>
      <w:r w:rsidR="000A59E3" w:rsidRPr="00EB557C">
        <w:rPr>
          <w:rFonts w:cs="Times New Roman"/>
          <w:szCs w:val="24"/>
        </w:rPr>
        <w:t>art. 1 pkt 15, pkt 16 lit. a i b oraz art. 14</w:t>
      </w:r>
      <w:r w:rsidR="00B16C45" w:rsidRPr="00EB557C">
        <w:rPr>
          <w:rFonts w:cs="Times New Roman"/>
          <w:szCs w:val="24"/>
        </w:rPr>
        <w:t>,</w:t>
      </w:r>
      <w:r w:rsidR="000A59E3" w:rsidRPr="00EB557C">
        <w:rPr>
          <w:rFonts w:cs="Times New Roman"/>
          <w:szCs w:val="24"/>
        </w:rPr>
        <w:t xml:space="preserve"> </w:t>
      </w:r>
      <w:r w:rsidR="008A78A8" w:rsidRPr="00EB557C">
        <w:rPr>
          <w:rFonts w:cs="Times New Roman"/>
          <w:szCs w:val="24"/>
        </w:rPr>
        <w:t xml:space="preserve">dotyczących </w:t>
      </w:r>
      <w:r w:rsidR="00B16C45" w:rsidRPr="00EB557C">
        <w:rPr>
          <w:rFonts w:cs="Times New Roman"/>
          <w:szCs w:val="24"/>
        </w:rPr>
        <w:t xml:space="preserve">ulg dla </w:t>
      </w:r>
      <w:r w:rsidR="008A78A8" w:rsidRPr="00EB557C">
        <w:rPr>
          <w:rFonts w:cs="Times New Roman"/>
          <w:szCs w:val="24"/>
        </w:rPr>
        <w:t>odbiorców</w:t>
      </w:r>
      <w:r w:rsidR="00227C44" w:rsidRPr="00EB557C">
        <w:rPr>
          <w:rFonts w:cs="Times New Roman"/>
          <w:szCs w:val="24"/>
        </w:rPr>
        <w:t xml:space="preserve"> energochłonnych</w:t>
      </w:r>
      <w:r w:rsidR="00B16C45" w:rsidRPr="00EB557C">
        <w:rPr>
          <w:rFonts w:cs="Times New Roman"/>
          <w:szCs w:val="24"/>
        </w:rPr>
        <w:t>, określono</w:t>
      </w:r>
      <w:r w:rsidR="00227C44" w:rsidRPr="00EB557C">
        <w:rPr>
          <w:rFonts w:cs="Times New Roman"/>
          <w:szCs w:val="24"/>
        </w:rPr>
        <w:t xml:space="preserve"> </w:t>
      </w:r>
      <w:r w:rsidR="009E1636" w:rsidRPr="00EB557C">
        <w:rPr>
          <w:rFonts w:cs="Times New Roman"/>
          <w:szCs w:val="24"/>
        </w:rPr>
        <w:t xml:space="preserve">na dzień </w:t>
      </w:r>
      <w:r w:rsidR="00227C44" w:rsidRPr="00EB557C">
        <w:rPr>
          <w:rFonts w:cs="Times New Roman"/>
          <w:szCs w:val="24"/>
        </w:rPr>
        <w:t>następując</w:t>
      </w:r>
      <w:r w:rsidR="009E1636" w:rsidRPr="00EB557C">
        <w:rPr>
          <w:rFonts w:cs="Times New Roman"/>
          <w:szCs w:val="24"/>
        </w:rPr>
        <w:t>y</w:t>
      </w:r>
      <w:r w:rsidR="00227C44" w:rsidRPr="00EB557C">
        <w:rPr>
          <w:rFonts w:cs="Times New Roman"/>
          <w:szCs w:val="24"/>
        </w:rPr>
        <w:t xml:space="preserve"> po dniu ogłoszenia</w:t>
      </w:r>
      <w:r w:rsidR="00F35E10" w:rsidRPr="00EB557C">
        <w:rPr>
          <w:rFonts w:cs="Times New Roman"/>
          <w:szCs w:val="24"/>
        </w:rPr>
        <w:t xml:space="preserve"> niniejszej ustawy. </w:t>
      </w:r>
      <w:r w:rsidR="004221A5" w:rsidRPr="00EB557C">
        <w:rPr>
          <w:rFonts w:cs="Times New Roman"/>
          <w:szCs w:val="24"/>
        </w:rPr>
        <w:t>Takie rozwiązanie zaproponowane przez p</w:t>
      </w:r>
      <w:r w:rsidR="00BE3111" w:rsidRPr="00EB557C">
        <w:rPr>
          <w:rFonts w:cs="Times New Roman"/>
          <w:szCs w:val="24"/>
        </w:rPr>
        <w:t xml:space="preserve">rojektodawcę </w:t>
      </w:r>
      <w:r w:rsidR="008A78A8" w:rsidRPr="00EB557C">
        <w:rPr>
          <w:rFonts w:cs="Times New Roman"/>
          <w:szCs w:val="24"/>
        </w:rPr>
        <w:t>n</w:t>
      </w:r>
      <w:r w:rsidR="0004262E" w:rsidRPr="00EB557C">
        <w:rPr>
          <w:rFonts w:cs="Times New Roman"/>
          <w:szCs w:val="24"/>
        </w:rPr>
        <w:t>ie stoi w sprzeczności z zasadą demokratycznego państwa prawa</w:t>
      </w:r>
      <w:r w:rsidR="004E75A3" w:rsidRPr="00EB557C">
        <w:rPr>
          <w:rFonts w:cs="Times New Roman"/>
          <w:szCs w:val="24"/>
        </w:rPr>
        <w:t xml:space="preserve">. </w:t>
      </w:r>
      <w:r w:rsidR="00B16C45" w:rsidRPr="00EB557C">
        <w:rPr>
          <w:rFonts w:cs="Times New Roman"/>
          <w:szCs w:val="24"/>
        </w:rPr>
        <w:t>N</w:t>
      </w:r>
      <w:r w:rsidR="004E75A3" w:rsidRPr="00EB557C">
        <w:rPr>
          <w:rFonts w:cs="Times New Roman"/>
          <w:szCs w:val="24"/>
        </w:rPr>
        <w:t xml:space="preserve">akaz odpowiedniej </w:t>
      </w:r>
      <w:r w:rsidR="004E75A3" w:rsidRPr="00EB557C">
        <w:rPr>
          <w:rFonts w:cs="Times New Roman"/>
          <w:i/>
          <w:iCs/>
          <w:szCs w:val="24"/>
        </w:rPr>
        <w:t>vacatio legis</w:t>
      </w:r>
      <w:r w:rsidR="004E75A3" w:rsidRPr="00EB557C">
        <w:rPr>
          <w:rFonts w:cs="Times New Roman"/>
          <w:szCs w:val="24"/>
        </w:rPr>
        <w:t xml:space="preserve"> nie </w:t>
      </w:r>
      <w:r w:rsidR="004E75A3" w:rsidRPr="00EB557C">
        <w:rPr>
          <w:rFonts w:cs="Times New Roman"/>
          <w:szCs w:val="24"/>
        </w:rPr>
        <w:lastRenderedPageBreak/>
        <w:t>ma charakter</w:t>
      </w:r>
      <w:r w:rsidR="00A376A1" w:rsidRPr="00EB557C">
        <w:rPr>
          <w:rFonts w:cs="Times New Roman"/>
          <w:szCs w:val="24"/>
        </w:rPr>
        <w:t>u</w:t>
      </w:r>
      <w:r w:rsidR="004E75A3" w:rsidRPr="00EB557C">
        <w:rPr>
          <w:rFonts w:cs="Times New Roman"/>
          <w:szCs w:val="24"/>
        </w:rPr>
        <w:t xml:space="preserve"> bezwzględnego</w:t>
      </w:r>
      <w:r w:rsidR="002217B4" w:rsidRPr="00EB557C">
        <w:rPr>
          <w:rFonts w:cs="Times New Roman"/>
          <w:szCs w:val="24"/>
        </w:rPr>
        <w:t xml:space="preserve">. Ustawodawca może wręcz zrezygnować </w:t>
      </w:r>
      <w:r w:rsidR="00A376A1" w:rsidRPr="00EB557C">
        <w:rPr>
          <w:rFonts w:cs="Times New Roman"/>
          <w:szCs w:val="24"/>
        </w:rPr>
        <w:t xml:space="preserve">z </w:t>
      </w:r>
      <w:r w:rsidR="00A376A1" w:rsidRPr="00EB557C">
        <w:rPr>
          <w:rFonts w:cs="Times New Roman"/>
          <w:i/>
          <w:iCs/>
          <w:szCs w:val="24"/>
        </w:rPr>
        <w:t>vacatio legis</w:t>
      </w:r>
      <w:r w:rsidR="00A376A1" w:rsidRPr="00EB557C">
        <w:rPr>
          <w:rFonts w:cs="Times New Roman"/>
          <w:szCs w:val="24"/>
        </w:rPr>
        <w:t>, jeżeli przemawia za tym ważny interes publiczny czy też ważne względy społeczne.</w:t>
      </w:r>
      <w:r w:rsidR="00B16C45" w:rsidRPr="00EB557C">
        <w:rPr>
          <w:rFonts w:cs="Times New Roman"/>
          <w:szCs w:val="24"/>
        </w:rPr>
        <w:t xml:space="preserve"> </w:t>
      </w:r>
    </w:p>
    <w:p w14:paraId="6A90C6A2" w14:textId="79A44064" w:rsidR="00A376A1" w:rsidRPr="00EB557C" w:rsidRDefault="00A376A1" w:rsidP="00532F7E">
      <w:pPr>
        <w:spacing w:before="120" w:after="0"/>
        <w:ind w:firstLine="0"/>
        <w:rPr>
          <w:rFonts w:cs="Times New Roman"/>
          <w:szCs w:val="24"/>
        </w:rPr>
      </w:pPr>
      <w:r w:rsidRPr="00EB557C">
        <w:rPr>
          <w:rFonts w:cs="Times New Roman"/>
          <w:szCs w:val="24"/>
        </w:rPr>
        <w:t xml:space="preserve">Nie ulega wątpliwości, że w przypadku projektowanej ustawy istnieją argumenty uzasadniające odstąpienie od minimalnego okresu </w:t>
      </w:r>
      <w:r w:rsidRPr="00EB557C">
        <w:rPr>
          <w:rFonts w:cs="Times New Roman"/>
          <w:i/>
          <w:iCs/>
          <w:szCs w:val="24"/>
        </w:rPr>
        <w:t>vacatio legis</w:t>
      </w:r>
      <w:r w:rsidRPr="00EB557C">
        <w:rPr>
          <w:rFonts w:cs="Times New Roman"/>
          <w:szCs w:val="24"/>
        </w:rPr>
        <w:t>. Jest to konieczność pilnego udzielenia ulg dla przemysłu energochłonnego w związku z wysokimi cenami energii.</w:t>
      </w:r>
    </w:p>
    <w:p w14:paraId="63EB6494" w14:textId="6F502BC1" w:rsidR="0013062A" w:rsidRPr="00EB557C" w:rsidRDefault="0013062A" w:rsidP="00532F7E">
      <w:pPr>
        <w:spacing w:before="120" w:after="0"/>
        <w:ind w:firstLine="0"/>
        <w:rPr>
          <w:rStyle w:val="Pogrubienie"/>
          <w:rFonts w:cs="Times New Roman"/>
          <w:szCs w:val="24"/>
        </w:rPr>
      </w:pPr>
      <w:r w:rsidRPr="00EB557C">
        <w:rPr>
          <w:rStyle w:val="Pogrubienie"/>
          <w:rFonts w:cs="Times New Roman"/>
          <w:szCs w:val="24"/>
        </w:rPr>
        <w:t>Wpływ projektowanej ustawy na działalność mikroprzedsiębiorców, małych i średnich przedsiębiorców</w:t>
      </w:r>
    </w:p>
    <w:p w14:paraId="587E7348" w14:textId="4021AABC" w:rsidR="0013062A" w:rsidRPr="00EB557C" w:rsidRDefault="00974493" w:rsidP="00532F7E">
      <w:pPr>
        <w:spacing w:before="120" w:after="0"/>
        <w:ind w:firstLine="0"/>
        <w:rPr>
          <w:rFonts w:cs="Times New Roman"/>
          <w:szCs w:val="24"/>
        </w:rPr>
      </w:pPr>
      <w:r w:rsidRPr="00EB557C">
        <w:rPr>
          <w:rFonts w:cs="Times New Roman"/>
          <w:szCs w:val="24"/>
        </w:rPr>
        <w:t>U</w:t>
      </w:r>
      <w:r w:rsidR="0013062A" w:rsidRPr="00EB557C">
        <w:rPr>
          <w:rFonts w:cs="Times New Roman"/>
          <w:szCs w:val="24"/>
        </w:rPr>
        <w:t xml:space="preserve">stawa będzie </w:t>
      </w:r>
      <w:r w:rsidRPr="00EB557C">
        <w:rPr>
          <w:rFonts w:cs="Times New Roman"/>
          <w:szCs w:val="24"/>
        </w:rPr>
        <w:t xml:space="preserve">miała wpływ </w:t>
      </w:r>
      <w:r w:rsidR="0013062A" w:rsidRPr="00EB557C">
        <w:rPr>
          <w:rFonts w:cs="Times New Roman"/>
          <w:szCs w:val="24"/>
        </w:rPr>
        <w:t>na mikro</w:t>
      </w:r>
      <w:r w:rsidR="00D13FE4">
        <w:rPr>
          <w:rFonts w:cs="Times New Roman"/>
          <w:szCs w:val="24"/>
        </w:rPr>
        <w:t>-</w:t>
      </w:r>
      <w:r w:rsidRPr="00EB557C">
        <w:rPr>
          <w:rFonts w:cs="Times New Roman"/>
          <w:szCs w:val="24"/>
        </w:rPr>
        <w:t>,</w:t>
      </w:r>
      <w:r w:rsidR="0013062A" w:rsidRPr="00EB557C">
        <w:rPr>
          <w:rFonts w:cs="Times New Roman"/>
          <w:szCs w:val="24"/>
        </w:rPr>
        <w:t xml:space="preserve"> małych i średnich przedsiębiorców</w:t>
      </w:r>
      <w:r w:rsidR="00181823" w:rsidRPr="00EB557C">
        <w:rPr>
          <w:rFonts w:cs="Times New Roman"/>
          <w:szCs w:val="24"/>
        </w:rPr>
        <w:t xml:space="preserve">, który to wpływ </w:t>
      </w:r>
      <w:r w:rsidR="0013062A" w:rsidRPr="00EB557C">
        <w:rPr>
          <w:rFonts w:cs="Times New Roman"/>
          <w:szCs w:val="24"/>
        </w:rPr>
        <w:t xml:space="preserve">został </w:t>
      </w:r>
      <w:r w:rsidR="00181823" w:rsidRPr="00EB557C">
        <w:rPr>
          <w:rFonts w:cs="Times New Roman"/>
          <w:szCs w:val="24"/>
        </w:rPr>
        <w:t xml:space="preserve">szczegółowo </w:t>
      </w:r>
      <w:r w:rsidR="0013062A" w:rsidRPr="00EB557C">
        <w:rPr>
          <w:rFonts w:cs="Times New Roman"/>
          <w:szCs w:val="24"/>
        </w:rPr>
        <w:t>opisany w Ocenie Skutków Regulacji.</w:t>
      </w:r>
    </w:p>
    <w:p w14:paraId="0619721E" w14:textId="77777777" w:rsidR="0013062A" w:rsidRPr="00EB557C" w:rsidRDefault="0013062A" w:rsidP="00532F7E">
      <w:pPr>
        <w:spacing w:before="120" w:after="0"/>
        <w:ind w:firstLine="0"/>
        <w:rPr>
          <w:rStyle w:val="Pogrubienie"/>
          <w:rFonts w:cs="Times New Roman"/>
          <w:szCs w:val="24"/>
        </w:rPr>
      </w:pPr>
      <w:r w:rsidRPr="00EB557C">
        <w:rPr>
          <w:rStyle w:val="Pogrubienie"/>
          <w:rFonts w:cs="Times New Roman"/>
          <w:szCs w:val="24"/>
        </w:rPr>
        <w:t>Notyfikacja</w:t>
      </w:r>
    </w:p>
    <w:p w14:paraId="0DF15E76" w14:textId="364B787C" w:rsidR="00894FDE" w:rsidRPr="00EB557C" w:rsidRDefault="00894FDE" w:rsidP="00532F7E">
      <w:pPr>
        <w:spacing w:before="120" w:after="0"/>
        <w:ind w:firstLine="0"/>
        <w:rPr>
          <w:rFonts w:cs="Times New Roman"/>
          <w:szCs w:val="24"/>
        </w:rPr>
      </w:pPr>
      <w:r w:rsidRPr="00EB557C">
        <w:rPr>
          <w:rFonts w:cs="Times New Roman"/>
          <w:szCs w:val="24"/>
        </w:rPr>
        <w:t>Projekt ustawy nie zawiera przepisów technicznych w rozumieniu przepisów rozporządzenia Rady Ministrów z dnia 23 grudnia 2002 r. w sprawie sposobu funkcjonowania krajowego systemu notyfikacji norm i aktów prawnych (Dz. U. poz. 2039 oraz z 2004 r. poz. 597) i</w:t>
      </w:r>
      <w:r w:rsidR="006833BD">
        <w:rPr>
          <w:rFonts w:cs="Times New Roman"/>
          <w:szCs w:val="24"/>
        </w:rPr>
        <w:t> </w:t>
      </w:r>
      <w:r w:rsidRPr="00EB557C">
        <w:rPr>
          <w:rFonts w:cs="Times New Roman"/>
          <w:szCs w:val="24"/>
        </w:rPr>
        <w:t>w związku z tym nie podlega w tym zakresie notyfikacji Komisji Europejskiej.</w:t>
      </w:r>
    </w:p>
    <w:p w14:paraId="7FC185F1" w14:textId="085A0D7C" w:rsidR="00894FDE" w:rsidRPr="00EB557C" w:rsidRDefault="3A134619" w:rsidP="00532F7E">
      <w:pPr>
        <w:spacing w:before="120" w:after="0"/>
        <w:ind w:firstLine="0"/>
        <w:rPr>
          <w:rFonts w:cs="Times New Roman"/>
          <w:szCs w:val="24"/>
        </w:rPr>
      </w:pPr>
      <w:r w:rsidRPr="00EB557C">
        <w:rPr>
          <w:rFonts w:cs="Times New Roman"/>
          <w:szCs w:val="24"/>
        </w:rPr>
        <w:t>Projektowana regulacja nie wymaga notyfikacji Komisji Europejskiej w trybie ustawy z dnia 30 kwietnia 2004 r. o postępowaniu w sprawach dotyczących pomocy publicznej (Dz. U. z 2023 r. poz. 702), jako że zmiany istniejących środków pomocowych w postaci ulg od obowiązku umarzania świadectw pochodzenia, opłaty OZE oraz opłaty CHP polegają wyłącznie na dostosowaniu ich do wymogów Komunikatu Komisji – Wytycznych w sprawie pomocy państwa na ochronę klimatu i środowiska oraz cele związane z energią z 2022 r. (Dz.</w:t>
      </w:r>
      <w:r w:rsidR="006833BD">
        <w:rPr>
          <w:rFonts w:cs="Times New Roman"/>
          <w:szCs w:val="24"/>
        </w:rPr>
        <w:t> </w:t>
      </w:r>
      <w:r w:rsidRPr="00EB557C">
        <w:rPr>
          <w:rFonts w:cs="Times New Roman"/>
          <w:szCs w:val="24"/>
        </w:rPr>
        <w:t>Urz. UE C 80 z 18.</w:t>
      </w:r>
      <w:r w:rsidR="00D13FE4">
        <w:rPr>
          <w:rFonts w:cs="Times New Roman"/>
          <w:szCs w:val="24"/>
        </w:rPr>
        <w:t>0</w:t>
      </w:r>
      <w:r w:rsidRPr="00EB557C">
        <w:rPr>
          <w:rFonts w:cs="Times New Roman"/>
          <w:szCs w:val="24"/>
        </w:rPr>
        <w:t xml:space="preserve">2.2022, str. 1–89). W związku z tym nie są one równoznaczne z powstaniem nowej pomocy i nie muszą być notyfikowane. W danej sytuacji dokonanie modyfikacji pozostaje w gestii samego państwa członkowskiego. </w:t>
      </w:r>
    </w:p>
    <w:p w14:paraId="16EF9AB6" w14:textId="01C3F8C3" w:rsidR="0013062A" w:rsidRPr="00EB557C" w:rsidRDefault="0013062A" w:rsidP="00532F7E">
      <w:pPr>
        <w:spacing w:before="120" w:after="0"/>
        <w:ind w:firstLine="0"/>
        <w:rPr>
          <w:rStyle w:val="Pogrubienie"/>
          <w:rFonts w:cs="Times New Roman"/>
          <w:szCs w:val="24"/>
        </w:rPr>
      </w:pPr>
      <w:r w:rsidRPr="00EB557C">
        <w:rPr>
          <w:rStyle w:val="Pogrubienie"/>
          <w:rFonts w:cs="Times New Roman"/>
          <w:szCs w:val="24"/>
        </w:rPr>
        <w:t>Zgodność z</w:t>
      </w:r>
      <w:r w:rsidR="006833BD">
        <w:rPr>
          <w:rStyle w:val="Pogrubienie"/>
          <w:rFonts w:cs="Times New Roman"/>
          <w:szCs w:val="24"/>
        </w:rPr>
        <w:t xml:space="preserve"> </w:t>
      </w:r>
      <w:r w:rsidRPr="00EB557C">
        <w:rPr>
          <w:rStyle w:val="Pogrubienie"/>
          <w:rFonts w:cs="Times New Roman"/>
          <w:szCs w:val="24"/>
        </w:rPr>
        <w:t>prawem Unii Europejskiej</w:t>
      </w:r>
    </w:p>
    <w:p w14:paraId="5C73BAE7" w14:textId="497BDDC0" w:rsidR="00041E62" w:rsidRPr="00EB557C" w:rsidRDefault="3A134619" w:rsidP="00532F7E">
      <w:pPr>
        <w:spacing w:before="120" w:after="0"/>
        <w:ind w:firstLine="0"/>
        <w:rPr>
          <w:rFonts w:cs="Times New Roman"/>
          <w:szCs w:val="24"/>
        </w:rPr>
      </w:pPr>
      <w:r w:rsidRPr="00EB557C">
        <w:rPr>
          <w:rFonts w:cs="Times New Roman"/>
          <w:szCs w:val="24"/>
        </w:rPr>
        <w:t>Projekt ustawy w ocenie projektodawców nie jest sprzeczny z przepisami Unii Europejskiej.</w:t>
      </w:r>
    </w:p>
    <w:sectPr w:rsidR="00041E62" w:rsidRPr="00EB557C" w:rsidSect="004009E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F6C4" w14:textId="77777777" w:rsidR="00B75FD9" w:rsidRDefault="00B75FD9" w:rsidP="00C033AE">
      <w:pPr>
        <w:spacing w:after="0"/>
      </w:pPr>
      <w:r>
        <w:separator/>
      </w:r>
    </w:p>
  </w:endnote>
  <w:endnote w:type="continuationSeparator" w:id="0">
    <w:p w14:paraId="0701091A" w14:textId="77777777" w:rsidR="00B75FD9" w:rsidRDefault="00B75FD9" w:rsidP="00C033AE">
      <w:pPr>
        <w:spacing w:after="0"/>
      </w:pPr>
      <w:r>
        <w:continuationSeparator/>
      </w:r>
    </w:p>
  </w:endnote>
  <w:endnote w:type="continuationNotice" w:id="1">
    <w:p w14:paraId="6175F5D1" w14:textId="77777777" w:rsidR="00B75FD9" w:rsidRDefault="00B75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167957"/>
      <w:docPartObj>
        <w:docPartGallery w:val="Page Numbers (Bottom of Page)"/>
        <w:docPartUnique/>
      </w:docPartObj>
    </w:sdtPr>
    <w:sdtEndPr/>
    <w:sdtContent>
      <w:p w14:paraId="0BABF3D7" w14:textId="208E4ABA" w:rsidR="004009E5" w:rsidRDefault="004009E5" w:rsidP="004009E5">
        <w:pPr>
          <w:pStyle w:val="Stopka"/>
          <w:jc w:val="center"/>
        </w:pPr>
        <w:r>
          <w:fldChar w:fldCharType="begin"/>
        </w:r>
        <w:r>
          <w:instrText>PAGE   \* MERGEFORMAT</w:instrText>
        </w:r>
        <w:r>
          <w:fldChar w:fldCharType="separate"/>
        </w:r>
        <w:r w:rsidR="00E5549C">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E5AD" w14:textId="77777777" w:rsidR="00B75FD9" w:rsidRDefault="00B75FD9" w:rsidP="00C033AE">
      <w:pPr>
        <w:spacing w:after="0"/>
      </w:pPr>
      <w:r>
        <w:separator/>
      </w:r>
    </w:p>
  </w:footnote>
  <w:footnote w:type="continuationSeparator" w:id="0">
    <w:p w14:paraId="2D6A9EE7" w14:textId="77777777" w:rsidR="00B75FD9" w:rsidRDefault="00B75FD9" w:rsidP="00C033AE">
      <w:pPr>
        <w:spacing w:after="0"/>
      </w:pPr>
      <w:r>
        <w:continuationSeparator/>
      </w:r>
    </w:p>
  </w:footnote>
  <w:footnote w:type="continuationNotice" w:id="1">
    <w:p w14:paraId="4623C788" w14:textId="77777777" w:rsidR="00B75FD9" w:rsidRDefault="00B75F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D56"/>
    <w:multiLevelType w:val="hybridMultilevel"/>
    <w:tmpl w:val="747C559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51A66DC"/>
    <w:multiLevelType w:val="hybridMultilevel"/>
    <w:tmpl w:val="3C2A8600"/>
    <w:lvl w:ilvl="0" w:tplc="490A7230">
      <w:start w:val="1"/>
      <w:numFmt w:val="decimal"/>
      <w:lvlText w:val="%1)"/>
      <w:lvlJc w:val="left"/>
      <w:pPr>
        <w:ind w:left="1789" w:hanging="360"/>
      </w:pPr>
      <w:rPr>
        <w:rFonts w:ascii="Times New Roman" w:hAnsi="Times New Roman" w:hint="default"/>
      </w:rPr>
    </w:lvl>
    <w:lvl w:ilvl="1" w:tplc="23CEEA6C" w:tentative="1">
      <w:start w:val="1"/>
      <w:numFmt w:val="bullet"/>
      <w:lvlText w:val="o"/>
      <w:lvlJc w:val="left"/>
      <w:pPr>
        <w:ind w:left="2509" w:hanging="360"/>
      </w:pPr>
      <w:rPr>
        <w:rFonts w:ascii="Courier New" w:hAnsi="Courier New" w:hint="default"/>
      </w:rPr>
    </w:lvl>
    <w:lvl w:ilvl="2" w:tplc="DFE042BA" w:tentative="1">
      <w:start w:val="1"/>
      <w:numFmt w:val="bullet"/>
      <w:lvlText w:val=""/>
      <w:lvlJc w:val="left"/>
      <w:pPr>
        <w:ind w:left="3229" w:hanging="360"/>
      </w:pPr>
      <w:rPr>
        <w:rFonts w:ascii="Wingdings" w:hAnsi="Wingdings" w:hint="default"/>
      </w:rPr>
    </w:lvl>
    <w:lvl w:ilvl="3" w:tplc="41A84A74" w:tentative="1">
      <w:start w:val="1"/>
      <w:numFmt w:val="bullet"/>
      <w:lvlText w:val=""/>
      <w:lvlJc w:val="left"/>
      <w:pPr>
        <w:ind w:left="3949" w:hanging="360"/>
      </w:pPr>
      <w:rPr>
        <w:rFonts w:ascii="Symbol" w:hAnsi="Symbol" w:hint="default"/>
      </w:rPr>
    </w:lvl>
    <w:lvl w:ilvl="4" w:tplc="A25AFB6C" w:tentative="1">
      <w:start w:val="1"/>
      <w:numFmt w:val="bullet"/>
      <w:lvlText w:val="o"/>
      <w:lvlJc w:val="left"/>
      <w:pPr>
        <w:ind w:left="4669" w:hanging="360"/>
      </w:pPr>
      <w:rPr>
        <w:rFonts w:ascii="Courier New" w:hAnsi="Courier New" w:hint="default"/>
      </w:rPr>
    </w:lvl>
    <w:lvl w:ilvl="5" w:tplc="E9D07788" w:tentative="1">
      <w:start w:val="1"/>
      <w:numFmt w:val="bullet"/>
      <w:lvlText w:val=""/>
      <w:lvlJc w:val="left"/>
      <w:pPr>
        <w:ind w:left="5389" w:hanging="360"/>
      </w:pPr>
      <w:rPr>
        <w:rFonts w:ascii="Wingdings" w:hAnsi="Wingdings" w:hint="default"/>
      </w:rPr>
    </w:lvl>
    <w:lvl w:ilvl="6" w:tplc="1C1A9482" w:tentative="1">
      <w:start w:val="1"/>
      <w:numFmt w:val="bullet"/>
      <w:lvlText w:val=""/>
      <w:lvlJc w:val="left"/>
      <w:pPr>
        <w:ind w:left="6109" w:hanging="360"/>
      </w:pPr>
      <w:rPr>
        <w:rFonts w:ascii="Symbol" w:hAnsi="Symbol" w:hint="default"/>
      </w:rPr>
    </w:lvl>
    <w:lvl w:ilvl="7" w:tplc="C2782FD8" w:tentative="1">
      <w:start w:val="1"/>
      <w:numFmt w:val="bullet"/>
      <w:lvlText w:val="o"/>
      <w:lvlJc w:val="left"/>
      <w:pPr>
        <w:ind w:left="6829" w:hanging="360"/>
      </w:pPr>
      <w:rPr>
        <w:rFonts w:ascii="Courier New" w:hAnsi="Courier New" w:hint="default"/>
      </w:rPr>
    </w:lvl>
    <w:lvl w:ilvl="8" w:tplc="ED8EF2F2" w:tentative="1">
      <w:start w:val="1"/>
      <w:numFmt w:val="bullet"/>
      <w:lvlText w:val=""/>
      <w:lvlJc w:val="left"/>
      <w:pPr>
        <w:ind w:left="7549" w:hanging="360"/>
      </w:pPr>
      <w:rPr>
        <w:rFonts w:ascii="Wingdings" w:hAnsi="Wingdings" w:hint="default"/>
      </w:rPr>
    </w:lvl>
  </w:abstractNum>
  <w:abstractNum w:abstractNumId="2" w15:restartNumberingAfterBreak="0">
    <w:nsid w:val="06326BAA"/>
    <w:multiLevelType w:val="hybridMultilevel"/>
    <w:tmpl w:val="2D0811F4"/>
    <w:lvl w:ilvl="0" w:tplc="727CA1CA">
      <w:start w:val="1"/>
      <w:numFmt w:val="bullet"/>
      <w:lvlText w:val=""/>
      <w:lvlJc w:val="left"/>
      <w:pPr>
        <w:ind w:left="2570" w:hanging="360"/>
      </w:pPr>
      <w:rPr>
        <w:rFonts w:ascii="Symbol" w:hAnsi="Symbol" w:hint="default"/>
      </w:rPr>
    </w:lvl>
    <w:lvl w:ilvl="1" w:tplc="FFFFFFFF" w:tentative="1">
      <w:start w:val="1"/>
      <w:numFmt w:val="bullet"/>
      <w:lvlText w:val="o"/>
      <w:lvlJc w:val="left"/>
      <w:pPr>
        <w:ind w:left="3290" w:hanging="360"/>
      </w:pPr>
      <w:rPr>
        <w:rFonts w:ascii="Courier New" w:hAnsi="Courier New" w:cs="Courier New" w:hint="default"/>
      </w:rPr>
    </w:lvl>
    <w:lvl w:ilvl="2" w:tplc="FFFFFFFF" w:tentative="1">
      <w:start w:val="1"/>
      <w:numFmt w:val="bullet"/>
      <w:lvlText w:val=""/>
      <w:lvlJc w:val="left"/>
      <w:pPr>
        <w:ind w:left="4010" w:hanging="360"/>
      </w:pPr>
      <w:rPr>
        <w:rFonts w:ascii="Wingdings" w:hAnsi="Wingdings" w:hint="default"/>
      </w:rPr>
    </w:lvl>
    <w:lvl w:ilvl="3" w:tplc="FFFFFFFF" w:tentative="1">
      <w:start w:val="1"/>
      <w:numFmt w:val="bullet"/>
      <w:lvlText w:val=""/>
      <w:lvlJc w:val="left"/>
      <w:pPr>
        <w:ind w:left="4730" w:hanging="360"/>
      </w:pPr>
      <w:rPr>
        <w:rFonts w:ascii="Symbol" w:hAnsi="Symbol" w:hint="default"/>
      </w:rPr>
    </w:lvl>
    <w:lvl w:ilvl="4" w:tplc="FFFFFFFF" w:tentative="1">
      <w:start w:val="1"/>
      <w:numFmt w:val="bullet"/>
      <w:lvlText w:val="o"/>
      <w:lvlJc w:val="left"/>
      <w:pPr>
        <w:ind w:left="5450" w:hanging="360"/>
      </w:pPr>
      <w:rPr>
        <w:rFonts w:ascii="Courier New" w:hAnsi="Courier New" w:cs="Courier New" w:hint="default"/>
      </w:rPr>
    </w:lvl>
    <w:lvl w:ilvl="5" w:tplc="FFFFFFFF" w:tentative="1">
      <w:start w:val="1"/>
      <w:numFmt w:val="bullet"/>
      <w:lvlText w:val=""/>
      <w:lvlJc w:val="left"/>
      <w:pPr>
        <w:ind w:left="6170" w:hanging="360"/>
      </w:pPr>
      <w:rPr>
        <w:rFonts w:ascii="Wingdings" w:hAnsi="Wingdings" w:hint="default"/>
      </w:rPr>
    </w:lvl>
    <w:lvl w:ilvl="6" w:tplc="FFFFFFFF" w:tentative="1">
      <w:start w:val="1"/>
      <w:numFmt w:val="bullet"/>
      <w:lvlText w:val=""/>
      <w:lvlJc w:val="left"/>
      <w:pPr>
        <w:ind w:left="6890" w:hanging="360"/>
      </w:pPr>
      <w:rPr>
        <w:rFonts w:ascii="Symbol" w:hAnsi="Symbol" w:hint="default"/>
      </w:rPr>
    </w:lvl>
    <w:lvl w:ilvl="7" w:tplc="FFFFFFFF" w:tentative="1">
      <w:start w:val="1"/>
      <w:numFmt w:val="bullet"/>
      <w:lvlText w:val="o"/>
      <w:lvlJc w:val="left"/>
      <w:pPr>
        <w:ind w:left="7610" w:hanging="360"/>
      </w:pPr>
      <w:rPr>
        <w:rFonts w:ascii="Courier New" w:hAnsi="Courier New" w:cs="Courier New" w:hint="default"/>
      </w:rPr>
    </w:lvl>
    <w:lvl w:ilvl="8" w:tplc="FFFFFFFF" w:tentative="1">
      <w:start w:val="1"/>
      <w:numFmt w:val="bullet"/>
      <w:lvlText w:val=""/>
      <w:lvlJc w:val="left"/>
      <w:pPr>
        <w:ind w:left="8330" w:hanging="360"/>
      </w:pPr>
      <w:rPr>
        <w:rFonts w:ascii="Wingdings" w:hAnsi="Wingdings" w:hint="default"/>
      </w:rPr>
    </w:lvl>
  </w:abstractNum>
  <w:abstractNum w:abstractNumId="3" w15:restartNumberingAfterBreak="0">
    <w:nsid w:val="07A45246"/>
    <w:multiLevelType w:val="hybridMultilevel"/>
    <w:tmpl w:val="13560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082277"/>
    <w:multiLevelType w:val="hybridMultilevel"/>
    <w:tmpl w:val="C7D4A6A2"/>
    <w:lvl w:ilvl="0" w:tplc="1E38AA24">
      <w:start w:val="1"/>
      <w:numFmt w:val="decimal"/>
      <w:lvlText w:val="%1)"/>
      <w:lvlJc w:val="left"/>
      <w:pPr>
        <w:ind w:left="720" w:hanging="360"/>
      </w:pPr>
    </w:lvl>
    <w:lvl w:ilvl="1" w:tplc="C7F2176A">
      <w:start w:val="1"/>
      <w:numFmt w:val="decimal"/>
      <w:lvlText w:val="%2)"/>
      <w:lvlJc w:val="left"/>
      <w:pPr>
        <w:ind w:left="720" w:hanging="360"/>
      </w:pPr>
    </w:lvl>
    <w:lvl w:ilvl="2" w:tplc="94C4A96A">
      <w:start w:val="1"/>
      <w:numFmt w:val="decimal"/>
      <w:lvlText w:val="%3)"/>
      <w:lvlJc w:val="left"/>
      <w:pPr>
        <w:ind w:left="720" w:hanging="360"/>
      </w:pPr>
    </w:lvl>
    <w:lvl w:ilvl="3" w:tplc="F566F7FC">
      <w:start w:val="1"/>
      <w:numFmt w:val="decimal"/>
      <w:lvlText w:val="%4)"/>
      <w:lvlJc w:val="left"/>
      <w:pPr>
        <w:ind w:left="720" w:hanging="360"/>
      </w:pPr>
    </w:lvl>
    <w:lvl w:ilvl="4" w:tplc="430800C2">
      <w:start w:val="1"/>
      <w:numFmt w:val="decimal"/>
      <w:lvlText w:val="%5)"/>
      <w:lvlJc w:val="left"/>
      <w:pPr>
        <w:ind w:left="720" w:hanging="360"/>
      </w:pPr>
    </w:lvl>
    <w:lvl w:ilvl="5" w:tplc="53765DF6">
      <w:start w:val="1"/>
      <w:numFmt w:val="decimal"/>
      <w:lvlText w:val="%6)"/>
      <w:lvlJc w:val="left"/>
      <w:pPr>
        <w:ind w:left="720" w:hanging="360"/>
      </w:pPr>
    </w:lvl>
    <w:lvl w:ilvl="6" w:tplc="1C4A98A0">
      <w:start w:val="1"/>
      <w:numFmt w:val="decimal"/>
      <w:lvlText w:val="%7)"/>
      <w:lvlJc w:val="left"/>
      <w:pPr>
        <w:ind w:left="720" w:hanging="360"/>
      </w:pPr>
    </w:lvl>
    <w:lvl w:ilvl="7" w:tplc="D158B070">
      <w:start w:val="1"/>
      <w:numFmt w:val="decimal"/>
      <w:lvlText w:val="%8)"/>
      <w:lvlJc w:val="left"/>
      <w:pPr>
        <w:ind w:left="720" w:hanging="360"/>
      </w:pPr>
    </w:lvl>
    <w:lvl w:ilvl="8" w:tplc="44C0C78E">
      <w:start w:val="1"/>
      <w:numFmt w:val="decimal"/>
      <w:lvlText w:val="%9)"/>
      <w:lvlJc w:val="left"/>
      <w:pPr>
        <w:ind w:left="720" w:hanging="360"/>
      </w:pPr>
    </w:lvl>
  </w:abstractNum>
  <w:abstractNum w:abstractNumId="5" w15:restartNumberingAfterBreak="0">
    <w:nsid w:val="0BF019DF"/>
    <w:multiLevelType w:val="hybridMultilevel"/>
    <w:tmpl w:val="921E2FA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D634F9B"/>
    <w:multiLevelType w:val="hybridMultilevel"/>
    <w:tmpl w:val="643A8D54"/>
    <w:lvl w:ilvl="0" w:tplc="FFFFFFFF">
      <w:start w:val="1"/>
      <w:numFmt w:val="decimal"/>
      <w:lvlText w:val="%1."/>
      <w:lvlJc w:val="left"/>
      <w:pPr>
        <w:ind w:left="720" w:hanging="360"/>
      </w:pPr>
      <w:rPr>
        <w:b w:val="0"/>
        <w:bCs w:val="0"/>
      </w:rPr>
    </w:lvl>
    <w:lvl w:ilvl="1" w:tplc="0415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E5D208"/>
    <w:multiLevelType w:val="hybridMultilevel"/>
    <w:tmpl w:val="854C5794"/>
    <w:lvl w:ilvl="0" w:tplc="2508310C">
      <w:start w:val="1"/>
      <w:numFmt w:val="bullet"/>
      <w:lvlText w:val=""/>
      <w:lvlJc w:val="left"/>
      <w:pPr>
        <w:ind w:left="360" w:hanging="360"/>
      </w:pPr>
      <w:rPr>
        <w:rFonts w:ascii="Symbol" w:hAnsi="Symbol" w:hint="default"/>
      </w:rPr>
    </w:lvl>
    <w:lvl w:ilvl="1" w:tplc="EF80A716">
      <w:start w:val="1"/>
      <w:numFmt w:val="bullet"/>
      <w:lvlText w:val="o"/>
      <w:lvlJc w:val="left"/>
      <w:pPr>
        <w:ind w:left="1080" w:hanging="360"/>
      </w:pPr>
      <w:rPr>
        <w:rFonts w:ascii="Courier New" w:hAnsi="Courier New" w:hint="default"/>
      </w:rPr>
    </w:lvl>
    <w:lvl w:ilvl="2" w:tplc="6A52478A">
      <w:start w:val="1"/>
      <w:numFmt w:val="bullet"/>
      <w:lvlText w:val=""/>
      <w:lvlJc w:val="left"/>
      <w:pPr>
        <w:ind w:left="1800" w:hanging="360"/>
      </w:pPr>
      <w:rPr>
        <w:rFonts w:ascii="Wingdings" w:hAnsi="Wingdings" w:hint="default"/>
      </w:rPr>
    </w:lvl>
    <w:lvl w:ilvl="3" w:tplc="F5DCC0D6">
      <w:start w:val="1"/>
      <w:numFmt w:val="bullet"/>
      <w:lvlText w:val=""/>
      <w:lvlJc w:val="left"/>
      <w:pPr>
        <w:ind w:left="2520" w:hanging="360"/>
      </w:pPr>
      <w:rPr>
        <w:rFonts w:ascii="Symbol" w:hAnsi="Symbol" w:hint="default"/>
      </w:rPr>
    </w:lvl>
    <w:lvl w:ilvl="4" w:tplc="81701750">
      <w:start w:val="1"/>
      <w:numFmt w:val="bullet"/>
      <w:lvlText w:val="o"/>
      <w:lvlJc w:val="left"/>
      <w:pPr>
        <w:ind w:left="3240" w:hanging="360"/>
      </w:pPr>
      <w:rPr>
        <w:rFonts w:ascii="Courier New" w:hAnsi="Courier New" w:hint="default"/>
      </w:rPr>
    </w:lvl>
    <w:lvl w:ilvl="5" w:tplc="D1E01C86">
      <w:start w:val="1"/>
      <w:numFmt w:val="bullet"/>
      <w:lvlText w:val=""/>
      <w:lvlJc w:val="left"/>
      <w:pPr>
        <w:ind w:left="3960" w:hanging="360"/>
      </w:pPr>
      <w:rPr>
        <w:rFonts w:ascii="Wingdings" w:hAnsi="Wingdings" w:hint="default"/>
      </w:rPr>
    </w:lvl>
    <w:lvl w:ilvl="6" w:tplc="B5C0F796">
      <w:start w:val="1"/>
      <w:numFmt w:val="bullet"/>
      <w:lvlText w:val=""/>
      <w:lvlJc w:val="left"/>
      <w:pPr>
        <w:ind w:left="4680" w:hanging="360"/>
      </w:pPr>
      <w:rPr>
        <w:rFonts w:ascii="Symbol" w:hAnsi="Symbol" w:hint="default"/>
      </w:rPr>
    </w:lvl>
    <w:lvl w:ilvl="7" w:tplc="CCF6A3AA">
      <w:start w:val="1"/>
      <w:numFmt w:val="bullet"/>
      <w:lvlText w:val="o"/>
      <w:lvlJc w:val="left"/>
      <w:pPr>
        <w:ind w:left="5400" w:hanging="360"/>
      </w:pPr>
      <w:rPr>
        <w:rFonts w:ascii="Courier New" w:hAnsi="Courier New" w:hint="default"/>
      </w:rPr>
    </w:lvl>
    <w:lvl w:ilvl="8" w:tplc="40961FDA">
      <w:start w:val="1"/>
      <w:numFmt w:val="bullet"/>
      <w:lvlText w:val=""/>
      <w:lvlJc w:val="left"/>
      <w:pPr>
        <w:ind w:left="6120" w:hanging="360"/>
      </w:pPr>
      <w:rPr>
        <w:rFonts w:ascii="Wingdings" w:hAnsi="Wingdings" w:hint="default"/>
      </w:rPr>
    </w:lvl>
  </w:abstractNum>
  <w:abstractNum w:abstractNumId="8" w15:restartNumberingAfterBreak="0">
    <w:nsid w:val="10F581AC"/>
    <w:multiLevelType w:val="hybridMultilevel"/>
    <w:tmpl w:val="BE9CE8A0"/>
    <w:lvl w:ilvl="0" w:tplc="01E866E4">
      <w:start w:val="1"/>
      <w:numFmt w:val="bullet"/>
      <w:lvlText w:val=""/>
      <w:lvlJc w:val="left"/>
      <w:pPr>
        <w:ind w:left="1806" w:hanging="360"/>
      </w:pPr>
      <w:rPr>
        <w:rFonts w:ascii="Symbol" w:hAnsi="Symbol" w:hint="default"/>
      </w:rPr>
    </w:lvl>
    <w:lvl w:ilvl="1" w:tplc="9906295A">
      <w:start w:val="1"/>
      <w:numFmt w:val="bullet"/>
      <w:lvlText w:val="o"/>
      <w:lvlJc w:val="left"/>
      <w:pPr>
        <w:ind w:left="2526" w:hanging="360"/>
      </w:pPr>
      <w:rPr>
        <w:rFonts w:ascii="Courier New" w:hAnsi="Courier New" w:hint="default"/>
      </w:rPr>
    </w:lvl>
    <w:lvl w:ilvl="2" w:tplc="DE4A543C">
      <w:start w:val="1"/>
      <w:numFmt w:val="bullet"/>
      <w:lvlText w:val=""/>
      <w:lvlJc w:val="left"/>
      <w:pPr>
        <w:ind w:left="3246" w:hanging="360"/>
      </w:pPr>
      <w:rPr>
        <w:rFonts w:ascii="Wingdings" w:hAnsi="Wingdings" w:hint="default"/>
      </w:rPr>
    </w:lvl>
    <w:lvl w:ilvl="3" w:tplc="E954D638">
      <w:start w:val="1"/>
      <w:numFmt w:val="bullet"/>
      <w:lvlText w:val=""/>
      <w:lvlJc w:val="left"/>
      <w:pPr>
        <w:ind w:left="3966" w:hanging="360"/>
      </w:pPr>
      <w:rPr>
        <w:rFonts w:ascii="Symbol" w:hAnsi="Symbol" w:hint="default"/>
      </w:rPr>
    </w:lvl>
    <w:lvl w:ilvl="4" w:tplc="C9C65DBC">
      <w:start w:val="1"/>
      <w:numFmt w:val="bullet"/>
      <w:lvlText w:val="o"/>
      <w:lvlJc w:val="left"/>
      <w:pPr>
        <w:ind w:left="4686" w:hanging="360"/>
      </w:pPr>
      <w:rPr>
        <w:rFonts w:ascii="Courier New" w:hAnsi="Courier New" w:hint="default"/>
      </w:rPr>
    </w:lvl>
    <w:lvl w:ilvl="5" w:tplc="5DA0560E">
      <w:start w:val="1"/>
      <w:numFmt w:val="bullet"/>
      <w:lvlText w:val=""/>
      <w:lvlJc w:val="left"/>
      <w:pPr>
        <w:ind w:left="5406" w:hanging="360"/>
      </w:pPr>
      <w:rPr>
        <w:rFonts w:ascii="Wingdings" w:hAnsi="Wingdings" w:hint="default"/>
      </w:rPr>
    </w:lvl>
    <w:lvl w:ilvl="6" w:tplc="EB361D98">
      <w:start w:val="1"/>
      <w:numFmt w:val="bullet"/>
      <w:lvlText w:val=""/>
      <w:lvlJc w:val="left"/>
      <w:pPr>
        <w:ind w:left="6126" w:hanging="360"/>
      </w:pPr>
      <w:rPr>
        <w:rFonts w:ascii="Symbol" w:hAnsi="Symbol" w:hint="default"/>
      </w:rPr>
    </w:lvl>
    <w:lvl w:ilvl="7" w:tplc="B3F68654">
      <w:start w:val="1"/>
      <w:numFmt w:val="bullet"/>
      <w:lvlText w:val="o"/>
      <w:lvlJc w:val="left"/>
      <w:pPr>
        <w:ind w:left="6846" w:hanging="360"/>
      </w:pPr>
      <w:rPr>
        <w:rFonts w:ascii="Courier New" w:hAnsi="Courier New" w:hint="default"/>
      </w:rPr>
    </w:lvl>
    <w:lvl w:ilvl="8" w:tplc="E7B0DC8C">
      <w:start w:val="1"/>
      <w:numFmt w:val="bullet"/>
      <w:lvlText w:val=""/>
      <w:lvlJc w:val="left"/>
      <w:pPr>
        <w:ind w:left="7566" w:hanging="360"/>
      </w:pPr>
      <w:rPr>
        <w:rFonts w:ascii="Wingdings" w:hAnsi="Wingdings" w:hint="default"/>
      </w:rPr>
    </w:lvl>
  </w:abstractNum>
  <w:abstractNum w:abstractNumId="9" w15:restartNumberingAfterBreak="0">
    <w:nsid w:val="138639AD"/>
    <w:multiLevelType w:val="hybridMultilevel"/>
    <w:tmpl w:val="C458FEEA"/>
    <w:lvl w:ilvl="0" w:tplc="FFFFFFFF">
      <w:start w:val="1"/>
      <w:numFmt w:val="decimal"/>
      <w:lvlText w:val="%1."/>
      <w:lvlJc w:val="left"/>
      <w:pPr>
        <w:ind w:left="720" w:hanging="360"/>
      </w:pPr>
      <w:rPr>
        <w:b w:val="0"/>
        <w:bCs w:val="0"/>
      </w:rPr>
    </w:lvl>
    <w:lvl w:ilvl="1" w:tplc="0415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4E24E72"/>
    <w:multiLevelType w:val="hybridMultilevel"/>
    <w:tmpl w:val="0CDE0F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B0C9E0"/>
    <w:multiLevelType w:val="hybridMultilevel"/>
    <w:tmpl w:val="3DB4772E"/>
    <w:lvl w:ilvl="0" w:tplc="C128C3D0">
      <w:start w:val="1"/>
      <w:numFmt w:val="bullet"/>
      <w:lvlText w:val=""/>
      <w:lvlJc w:val="left"/>
      <w:pPr>
        <w:ind w:left="720" w:hanging="360"/>
      </w:pPr>
      <w:rPr>
        <w:rFonts w:ascii="Symbol" w:hAnsi="Symbol" w:hint="default"/>
      </w:rPr>
    </w:lvl>
    <w:lvl w:ilvl="1" w:tplc="AB3E0840">
      <w:start w:val="1"/>
      <w:numFmt w:val="bullet"/>
      <w:lvlText w:val="o"/>
      <w:lvlJc w:val="left"/>
      <w:pPr>
        <w:ind w:left="1440" w:hanging="360"/>
      </w:pPr>
      <w:rPr>
        <w:rFonts w:ascii="Courier New" w:hAnsi="Courier New" w:hint="default"/>
      </w:rPr>
    </w:lvl>
    <w:lvl w:ilvl="2" w:tplc="C3B0CDC6">
      <w:start w:val="1"/>
      <w:numFmt w:val="bullet"/>
      <w:lvlText w:val=""/>
      <w:lvlJc w:val="left"/>
      <w:pPr>
        <w:ind w:left="2160" w:hanging="360"/>
      </w:pPr>
      <w:rPr>
        <w:rFonts w:ascii="Wingdings" w:hAnsi="Wingdings" w:hint="default"/>
      </w:rPr>
    </w:lvl>
    <w:lvl w:ilvl="3" w:tplc="C3621BF0">
      <w:start w:val="1"/>
      <w:numFmt w:val="bullet"/>
      <w:lvlText w:val=""/>
      <w:lvlJc w:val="left"/>
      <w:pPr>
        <w:ind w:left="2880" w:hanging="360"/>
      </w:pPr>
      <w:rPr>
        <w:rFonts w:ascii="Symbol" w:hAnsi="Symbol" w:hint="default"/>
      </w:rPr>
    </w:lvl>
    <w:lvl w:ilvl="4" w:tplc="0DA25004">
      <w:start w:val="1"/>
      <w:numFmt w:val="bullet"/>
      <w:lvlText w:val="o"/>
      <w:lvlJc w:val="left"/>
      <w:pPr>
        <w:ind w:left="3600" w:hanging="360"/>
      </w:pPr>
      <w:rPr>
        <w:rFonts w:ascii="Courier New" w:hAnsi="Courier New" w:hint="default"/>
      </w:rPr>
    </w:lvl>
    <w:lvl w:ilvl="5" w:tplc="27D0CB56">
      <w:start w:val="1"/>
      <w:numFmt w:val="bullet"/>
      <w:lvlText w:val=""/>
      <w:lvlJc w:val="left"/>
      <w:pPr>
        <w:ind w:left="4320" w:hanging="360"/>
      </w:pPr>
      <w:rPr>
        <w:rFonts w:ascii="Wingdings" w:hAnsi="Wingdings" w:hint="default"/>
      </w:rPr>
    </w:lvl>
    <w:lvl w:ilvl="6" w:tplc="1958B202">
      <w:start w:val="1"/>
      <w:numFmt w:val="bullet"/>
      <w:lvlText w:val=""/>
      <w:lvlJc w:val="left"/>
      <w:pPr>
        <w:ind w:left="5040" w:hanging="360"/>
      </w:pPr>
      <w:rPr>
        <w:rFonts w:ascii="Symbol" w:hAnsi="Symbol" w:hint="default"/>
      </w:rPr>
    </w:lvl>
    <w:lvl w:ilvl="7" w:tplc="8A7E6496">
      <w:start w:val="1"/>
      <w:numFmt w:val="bullet"/>
      <w:lvlText w:val="o"/>
      <w:lvlJc w:val="left"/>
      <w:pPr>
        <w:ind w:left="5760" w:hanging="360"/>
      </w:pPr>
      <w:rPr>
        <w:rFonts w:ascii="Courier New" w:hAnsi="Courier New" w:hint="default"/>
      </w:rPr>
    </w:lvl>
    <w:lvl w:ilvl="8" w:tplc="3042B930">
      <w:start w:val="1"/>
      <w:numFmt w:val="bullet"/>
      <w:lvlText w:val=""/>
      <w:lvlJc w:val="left"/>
      <w:pPr>
        <w:ind w:left="6480" w:hanging="360"/>
      </w:pPr>
      <w:rPr>
        <w:rFonts w:ascii="Wingdings" w:hAnsi="Wingdings" w:hint="default"/>
      </w:rPr>
    </w:lvl>
  </w:abstractNum>
  <w:abstractNum w:abstractNumId="12" w15:restartNumberingAfterBreak="0">
    <w:nsid w:val="20EA71DE"/>
    <w:multiLevelType w:val="hybridMultilevel"/>
    <w:tmpl w:val="D62CDDC0"/>
    <w:lvl w:ilvl="0" w:tplc="CBE21FA6">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1C74A2"/>
    <w:multiLevelType w:val="hybridMultilevel"/>
    <w:tmpl w:val="5CB4D370"/>
    <w:lvl w:ilvl="0" w:tplc="CD445BFC">
      <w:start w:val="1"/>
      <w:numFmt w:val="decimal"/>
      <w:lvlText w:val="%1."/>
      <w:lvlJc w:val="left"/>
      <w:pPr>
        <w:ind w:left="360" w:hanging="360"/>
      </w:pPr>
      <w:rPr>
        <w:b w:val="0"/>
        <w:bCs w:val="0"/>
      </w:rPr>
    </w:lvl>
    <w:lvl w:ilvl="1" w:tplc="04F6BB74">
      <w:start w:val="1"/>
      <w:numFmt w:val="lowerLetter"/>
      <w:lvlText w:val="(%2)"/>
      <w:lvlJc w:val="left"/>
      <w:pPr>
        <w:ind w:left="1140" w:hanging="420"/>
      </w:pPr>
      <w:rPr>
        <w:rFonts w:hint="default"/>
      </w:rPr>
    </w:lvl>
    <w:lvl w:ilvl="2" w:tplc="FBC8B04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AC630D"/>
    <w:multiLevelType w:val="hybridMultilevel"/>
    <w:tmpl w:val="8A02D8F2"/>
    <w:lvl w:ilvl="0" w:tplc="727CA1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3425E4"/>
    <w:multiLevelType w:val="hybridMultilevel"/>
    <w:tmpl w:val="88580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EC6536"/>
    <w:multiLevelType w:val="hybridMultilevel"/>
    <w:tmpl w:val="0AFA8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B3319C"/>
    <w:multiLevelType w:val="multilevel"/>
    <w:tmpl w:val="AF20159A"/>
    <w:lvl w:ilvl="0">
      <w:start w:val="1"/>
      <w:numFmt w:val="decimal"/>
      <w:lvlText w:val="%1."/>
      <w:lvlJc w:val="left"/>
      <w:pPr>
        <w:ind w:left="1069" w:hanging="360"/>
      </w:pPr>
      <w:rPr>
        <w:rFonts w:hint="default"/>
      </w:rPr>
    </w:lvl>
    <w:lvl w:ilvl="1">
      <w:start w:val="3"/>
      <w:numFmt w:val="decimal"/>
      <w:isLgl/>
      <w:lvlText w:val="%1.%2."/>
      <w:lvlJc w:val="left"/>
      <w:pPr>
        <w:ind w:left="2149" w:hanging="360"/>
      </w:pPr>
      <w:rPr>
        <w:rFonts w:hint="default"/>
      </w:rPr>
    </w:lvl>
    <w:lvl w:ilvl="2">
      <w:start w:val="1"/>
      <w:numFmt w:val="decimalZero"/>
      <w:isLgl/>
      <w:lvlText w:val="%1.%2.%3."/>
      <w:lvlJc w:val="left"/>
      <w:pPr>
        <w:ind w:left="3589" w:hanging="720"/>
      </w:pPr>
      <w:rPr>
        <w:rFonts w:hint="default"/>
      </w:rPr>
    </w:lvl>
    <w:lvl w:ilvl="3">
      <w:start w:val="1"/>
      <w:numFmt w:val="decimal"/>
      <w:isLgl/>
      <w:lvlText w:val="%1.%2.%3.%4."/>
      <w:lvlJc w:val="left"/>
      <w:pPr>
        <w:ind w:left="4669" w:hanging="72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189" w:hanging="1080"/>
      </w:pPr>
      <w:rPr>
        <w:rFonts w:hint="default"/>
      </w:rPr>
    </w:lvl>
    <w:lvl w:ilvl="6">
      <w:start w:val="1"/>
      <w:numFmt w:val="decimal"/>
      <w:isLgl/>
      <w:lvlText w:val="%1.%2.%3.%4.%5.%6.%7."/>
      <w:lvlJc w:val="left"/>
      <w:pPr>
        <w:ind w:left="8629" w:hanging="1440"/>
      </w:pPr>
      <w:rPr>
        <w:rFonts w:hint="default"/>
      </w:rPr>
    </w:lvl>
    <w:lvl w:ilvl="7">
      <w:start w:val="1"/>
      <w:numFmt w:val="decimal"/>
      <w:isLgl/>
      <w:lvlText w:val="%1.%2.%3.%4.%5.%6.%7.%8."/>
      <w:lvlJc w:val="left"/>
      <w:pPr>
        <w:ind w:left="9709" w:hanging="1440"/>
      </w:pPr>
      <w:rPr>
        <w:rFonts w:hint="default"/>
      </w:rPr>
    </w:lvl>
    <w:lvl w:ilvl="8">
      <w:start w:val="1"/>
      <w:numFmt w:val="decimal"/>
      <w:isLgl/>
      <w:lvlText w:val="%1.%2.%3.%4.%5.%6.%7.%8.%9."/>
      <w:lvlJc w:val="left"/>
      <w:pPr>
        <w:ind w:left="11149" w:hanging="1800"/>
      </w:pPr>
      <w:rPr>
        <w:rFonts w:hint="default"/>
      </w:rPr>
    </w:lvl>
  </w:abstractNum>
  <w:abstractNum w:abstractNumId="18" w15:restartNumberingAfterBreak="0">
    <w:nsid w:val="306F5B37"/>
    <w:multiLevelType w:val="hybridMultilevel"/>
    <w:tmpl w:val="5EEE5D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970D6"/>
    <w:multiLevelType w:val="hybridMultilevel"/>
    <w:tmpl w:val="41FE27DC"/>
    <w:lvl w:ilvl="0" w:tplc="785E24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6B1F85"/>
    <w:multiLevelType w:val="hybridMultilevel"/>
    <w:tmpl w:val="71CC2676"/>
    <w:lvl w:ilvl="0" w:tplc="1E225F18">
      <w:start w:val="1"/>
      <w:numFmt w:val="bullet"/>
      <w:lvlText w:val=""/>
      <w:lvlJc w:val="left"/>
      <w:pPr>
        <w:ind w:left="720" w:hanging="360"/>
      </w:pPr>
      <w:rPr>
        <w:rFonts w:ascii="Symbol" w:hAnsi="Symbol" w:hint="default"/>
      </w:rPr>
    </w:lvl>
    <w:lvl w:ilvl="1" w:tplc="723E1C92">
      <w:start w:val="1"/>
      <w:numFmt w:val="bullet"/>
      <w:lvlText w:val=""/>
      <w:lvlJc w:val="left"/>
      <w:pPr>
        <w:ind w:left="721" w:hanging="360"/>
      </w:pPr>
      <w:rPr>
        <w:rFonts w:ascii="Symbol" w:hAnsi="Symbol" w:hint="default"/>
      </w:rPr>
    </w:lvl>
    <w:lvl w:ilvl="2" w:tplc="6840BAF0" w:tentative="1">
      <w:start w:val="1"/>
      <w:numFmt w:val="bullet"/>
      <w:lvlText w:val=""/>
      <w:lvlJc w:val="left"/>
      <w:pPr>
        <w:ind w:left="2160" w:hanging="360"/>
      </w:pPr>
      <w:rPr>
        <w:rFonts w:ascii="Wingdings" w:hAnsi="Wingdings" w:hint="default"/>
      </w:rPr>
    </w:lvl>
    <w:lvl w:ilvl="3" w:tplc="05726ADA" w:tentative="1">
      <w:start w:val="1"/>
      <w:numFmt w:val="bullet"/>
      <w:lvlText w:val=""/>
      <w:lvlJc w:val="left"/>
      <w:pPr>
        <w:ind w:left="2880" w:hanging="360"/>
      </w:pPr>
      <w:rPr>
        <w:rFonts w:ascii="Symbol" w:hAnsi="Symbol" w:hint="default"/>
      </w:rPr>
    </w:lvl>
    <w:lvl w:ilvl="4" w:tplc="9FB8E7E4" w:tentative="1">
      <w:start w:val="1"/>
      <w:numFmt w:val="bullet"/>
      <w:lvlText w:val="o"/>
      <w:lvlJc w:val="left"/>
      <w:pPr>
        <w:ind w:left="3600" w:hanging="360"/>
      </w:pPr>
      <w:rPr>
        <w:rFonts w:ascii="Courier New" w:hAnsi="Courier New" w:hint="default"/>
      </w:rPr>
    </w:lvl>
    <w:lvl w:ilvl="5" w:tplc="91DC0EE0" w:tentative="1">
      <w:start w:val="1"/>
      <w:numFmt w:val="bullet"/>
      <w:lvlText w:val=""/>
      <w:lvlJc w:val="left"/>
      <w:pPr>
        <w:ind w:left="4320" w:hanging="360"/>
      </w:pPr>
      <w:rPr>
        <w:rFonts w:ascii="Wingdings" w:hAnsi="Wingdings" w:hint="default"/>
      </w:rPr>
    </w:lvl>
    <w:lvl w:ilvl="6" w:tplc="E2464646" w:tentative="1">
      <w:start w:val="1"/>
      <w:numFmt w:val="bullet"/>
      <w:lvlText w:val=""/>
      <w:lvlJc w:val="left"/>
      <w:pPr>
        <w:ind w:left="5040" w:hanging="360"/>
      </w:pPr>
      <w:rPr>
        <w:rFonts w:ascii="Symbol" w:hAnsi="Symbol" w:hint="default"/>
      </w:rPr>
    </w:lvl>
    <w:lvl w:ilvl="7" w:tplc="823A8EE4" w:tentative="1">
      <w:start w:val="1"/>
      <w:numFmt w:val="bullet"/>
      <w:lvlText w:val="o"/>
      <w:lvlJc w:val="left"/>
      <w:pPr>
        <w:ind w:left="5760" w:hanging="360"/>
      </w:pPr>
      <w:rPr>
        <w:rFonts w:ascii="Courier New" w:hAnsi="Courier New" w:hint="default"/>
      </w:rPr>
    </w:lvl>
    <w:lvl w:ilvl="8" w:tplc="56DE01BE" w:tentative="1">
      <w:start w:val="1"/>
      <w:numFmt w:val="bullet"/>
      <w:lvlText w:val=""/>
      <w:lvlJc w:val="left"/>
      <w:pPr>
        <w:ind w:left="6480" w:hanging="360"/>
      </w:pPr>
      <w:rPr>
        <w:rFonts w:ascii="Wingdings" w:hAnsi="Wingdings" w:hint="default"/>
      </w:rPr>
    </w:lvl>
  </w:abstractNum>
  <w:abstractNum w:abstractNumId="21" w15:restartNumberingAfterBreak="0">
    <w:nsid w:val="40D61887"/>
    <w:multiLevelType w:val="hybridMultilevel"/>
    <w:tmpl w:val="BEE28820"/>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C80F91"/>
    <w:multiLevelType w:val="multilevel"/>
    <w:tmpl w:val="DAB63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3CA5451"/>
    <w:multiLevelType w:val="hybridMultilevel"/>
    <w:tmpl w:val="F774AE70"/>
    <w:lvl w:ilvl="0" w:tplc="7CFEAD18">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45465FAE"/>
    <w:multiLevelType w:val="hybridMultilevel"/>
    <w:tmpl w:val="16785F1E"/>
    <w:lvl w:ilvl="0" w:tplc="58008664">
      <w:start w:val="1"/>
      <w:numFmt w:val="bullet"/>
      <w:lvlText w:val="̶"/>
      <w:lvlJc w:val="left"/>
      <w:pPr>
        <w:ind w:left="1789" w:hanging="360"/>
      </w:pPr>
      <w:rPr>
        <w:rFonts w:ascii="Lato" w:hAnsi="Lato"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5" w15:restartNumberingAfterBreak="0">
    <w:nsid w:val="4F971DB7"/>
    <w:multiLevelType w:val="hybridMultilevel"/>
    <w:tmpl w:val="4D62FC88"/>
    <w:lvl w:ilvl="0" w:tplc="58008664">
      <w:start w:val="1"/>
      <w:numFmt w:val="bullet"/>
      <w:lvlText w:val="̶"/>
      <w:lvlJc w:val="left"/>
      <w:pPr>
        <w:ind w:left="1789" w:hanging="360"/>
      </w:pPr>
      <w:rPr>
        <w:rFonts w:ascii="Lato" w:hAnsi="Lato"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6" w15:restartNumberingAfterBreak="0">
    <w:nsid w:val="52C935DF"/>
    <w:multiLevelType w:val="hybridMultilevel"/>
    <w:tmpl w:val="F8FC712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66A59A7"/>
    <w:multiLevelType w:val="hybridMultilevel"/>
    <w:tmpl w:val="45E822C4"/>
    <w:lvl w:ilvl="0" w:tplc="727CA1C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569D065E"/>
    <w:multiLevelType w:val="hybridMultilevel"/>
    <w:tmpl w:val="B8AC3A78"/>
    <w:lvl w:ilvl="0" w:tplc="FFFFFFFF">
      <w:start w:val="1"/>
      <w:numFmt w:val="decimal"/>
      <w:lvlText w:val="%1."/>
      <w:lvlJc w:val="left"/>
      <w:pPr>
        <w:ind w:left="720" w:hanging="360"/>
      </w:pPr>
      <w:rPr>
        <w:b w:val="0"/>
        <w:bCs w:val="0"/>
      </w:rPr>
    </w:lvl>
    <w:lvl w:ilvl="1" w:tplc="0415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E791955"/>
    <w:multiLevelType w:val="hybridMultilevel"/>
    <w:tmpl w:val="EF542C9E"/>
    <w:lvl w:ilvl="0" w:tplc="727CA1C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611FC87B"/>
    <w:multiLevelType w:val="hybridMultilevel"/>
    <w:tmpl w:val="F36ABC8E"/>
    <w:lvl w:ilvl="0" w:tplc="272E69CA">
      <w:start w:val="1"/>
      <w:numFmt w:val="bullet"/>
      <w:lvlText w:val=""/>
      <w:lvlJc w:val="left"/>
      <w:pPr>
        <w:ind w:left="1068" w:hanging="360"/>
      </w:pPr>
      <w:rPr>
        <w:rFonts w:ascii="Symbol" w:hAnsi="Symbol" w:hint="default"/>
      </w:rPr>
    </w:lvl>
    <w:lvl w:ilvl="1" w:tplc="DF323370">
      <w:start w:val="1"/>
      <w:numFmt w:val="bullet"/>
      <w:lvlText w:val="o"/>
      <w:lvlJc w:val="left"/>
      <w:pPr>
        <w:ind w:left="1788" w:hanging="360"/>
      </w:pPr>
      <w:rPr>
        <w:rFonts w:ascii="Courier New" w:hAnsi="Courier New" w:hint="default"/>
      </w:rPr>
    </w:lvl>
    <w:lvl w:ilvl="2" w:tplc="D2E40D6A">
      <w:start w:val="1"/>
      <w:numFmt w:val="bullet"/>
      <w:lvlText w:val=""/>
      <w:lvlJc w:val="left"/>
      <w:pPr>
        <w:ind w:left="2508" w:hanging="360"/>
      </w:pPr>
      <w:rPr>
        <w:rFonts w:ascii="Wingdings" w:hAnsi="Wingdings" w:hint="default"/>
      </w:rPr>
    </w:lvl>
    <w:lvl w:ilvl="3" w:tplc="2220AAB6">
      <w:start w:val="1"/>
      <w:numFmt w:val="bullet"/>
      <w:lvlText w:val=""/>
      <w:lvlJc w:val="left"/>
      <w:pPr>
        <w:ind w:left="3228" w:hanging="360"/>
      </w:pPr>
      <w:rPr>
        <w:rFonts w:ascii="Symbol" w:hAnsi="Symbol" w:hint="default"/>
      </w:rPr>
    </w:lvl>
    <w:lvl w:ilvl="4" w:tplc="89447784">
      <w:start w:val="1"/>
      <w:numFmt w:val="bullet"/>
      <w:lvlText w:val="o"/>
      <w:lvlJc w:val="left"/>
      <w:pPr>
        <w:ind w:left="3948" w:hanging="360"/>
      </w:pPr>
      <w:rPr>
        <w:rFonts w:ascii="Courier New" w:hAnsi="Courier New" w:hint="default"/>
      </w:rPr>
    </w:lvl>
    <w:lvl w:ilvl="5" w:tplc="85AA456E">
      <w:start w:val="1"/>
      <w:numFmt w:val="bullet"/>
      <w:lvlText w:val=""/>
      <w:lvlJc w:val="left"/>
      <w:pPr>
        <w:ind w:left="4668" w:hanging="360"/>
      </w:pPr>
      <w:rPr>
        <w:rFonts w:ascii="Wingdings" w:hAnsi="Wingdings" w:hint="default"/>
      </w:rPr>
    </w:lvl>
    <w:lvl w:ilvl="6" w:tplc="F98ADBC0">
      <w:start w:val="1"/>
      <w:numFmt w:val="bullet"/>
      <w:lvlText w:val=""/>
      <w:lvlJc w:val="left"/>
      <w:pPr>
        <w:ind w:left="5388" w:hanging="360"/>
      </w:pPr>
      <w:rPr>
        <w:rFonts w:ascii="Symbol" w:hAnsi="Symbol" w:hint="default"/>
      </w:rPr>
    </w:lvl>
    <w:lvl w:ilvl="7" w:tplc="15D259B6">
      <w:start w:val="1"/>
      <w:numFmt w:val="bullet"/>
      <w:lvlText w:val="o"/>
      <w:lvlJc w:val="left"/>
      <w:pPr>
        <w:ind w:left="6108" w:hanging="360"/>
      </w:pPr>
      <w:rPr>
        <w:rFonts w:ascii="Courier New" w:hAnsi="Courier New" w:hint="default"/>
      </w:rPr>
    </w:lvl>
    <w:lvl w:ilvl="8" w:tplc="EE141898">
      <w:start w:val="1"/>
      <w:numFmt w:val="bullet"/>
      <w:lvlText w:val=""/>
      <w:lvlJc w:val="left"/>
      <w:pPr>
        <w:ind w:left="6828" w:hanging="360"/>
      </w:pPr>
      <w:rPr>
        <w:rFonts w:ascii="Wingdings" w:hAnsi="Wingdings" w:hint="default"/>
      </w:rPr>
    </w:lvl>
  </w:abstractNum>
  <w:abstractNum w:abstractNumId="31" w15:restartNumberingAfterBreak="0">
    <w:nsid w:val="622F6E7A"/>
    <w:multiLevelType w:val="hybridMultilevel"/>
    <w:tmpl w:val="2F04F82A"/>
    <w:lvl w:ilvl="0" w:tplc="58008664">
      <w:start w:val="1"/>
      <w:numFmt w:val="bullet"/>
      <w:lvlText w:val="̶"/>
      <w:lvlJc w:val="left"/>
      <w:pPr>
        <w:ind w:left="1789" w:hanging="360"/>
      </w:pPr>
      <w:rPr>
        <w:rFonts w:ascii="Lato" w:hAnsi="Lato"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32" w15:restartNumberingAfterBreak="0">
    <w:nsid w:val="6397626C"/>
    <w:multiLevelType w:val="hybridMultilevel"/>
    <w:tmpl w:val="4D7846CA"/>
    <w:lvl w:ilvl="0" w:tplc="727CA1CA">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3" w15:restartNumberingAfterBreak="0">
    <w:nsid w:val="654CB923"/>
    <w:multiLevelType w:val="hybridMultilevel"/>
    <w:tmpl w:val="F9FE0F2E"/>
    <w:lvl w:ilvl="0" w:tplc="BD2277AE">
      <w:start w:val="1"/>
      <w:numFmt w:val="lowerLetter"/>
      <w:lvlText w:val="%1."/>
      <w:lvlJc w:val="left"/>
      <w:pPr>
        <w:ind w:left="1068" w:hanging="360"/>
      </w:pPr>
    </w:lvl>
    <w:lvl w:ilvl="1" w:tplc="EDC40308">
      <w:start w:val="1"/>
      <w:numFmt w:val="lowerLetter"/>
      <w:lvlText w:val="%2."/>
      <w:lvlJc w:val="left"/>
      <w:pPr>
        <w:ind w:left="1788" w:hanging="360"/>
      </w:pPr>
    </w:lvl>
    <w:lvl w:ilvl="2" w:tplc="CA940A3A">
      <w:start w:val="1"/>
      <w:numFmt w:val="lowerRoman"/>
      <w:lvlText w:val="%3."/>
      <w:lvlJc w:val="right"/>
      <w:pPr>
        <w:ind w:left="2508" w:hanging="180"/>
      </w:pPr>
    </w:lvl>
    <w:lvl w:ilvl="3" w:tplc="D206E786">
      <w:start w:val="1"/>
      <w:numFmt w:val="decimal"/>
      <w:lvlText w:val="%4."/>
      <w:lvlJc w:val="left"/>
      <w:pPr>
        <w:ind w:left="3228" w:hanging="360"/>
      </w:pPr>
    </w:lvl>
    <w:lvl w:ilvl="4" w:tplc="7CAC5F16">
      <w:start w:val="1"/>
      <w:numFmt w:val="lowerLetter"/>
      <w:lvlText w:val="%5."/>
      <w:lvlJc w:val="left"/>
      <w:pPr>
        <w:ind w:left="3948" w:hanging="360"/>
      </w:pPr>
    </w:lvl>
    <w:lvl w:ilvl="5" w:tplc="471A2C30">
      <w:start w:val="1"/>
      <w:numFmt w:val="lowerRoman"/>
      <w:lvlText w:val="%6."/>
      <w:lvlJc w:val="right"/>
      <w:pPr>
        <w:ind w:left="4668" w:hanging="180"/>
      </w:pPr>
    </w:lvl>
    <w:lvl w:ilvl="6" w:tplc="9C0E7390">
      <w:start w:val="1"/>
      <w:numFmt w:val="decimal"/>
      <w:lvlText w:val="%7."/>
      <w:lvlJc w:val="left"/>
      <w:pPr>
        <w:ind w:left="5388" w:hanging="360"/>
      </w:pPr>
    </w:lvl>
    <w:lvl w:ilvl="7" w:tplc="FF18E5A0">
      <w:start w:val="1"/>
      <w:numFmt w:val="lowerLetter"/>
      <w:lvlText w:val="%8."/>
      <w:lvlJc w:val="left"/>
      <w:pPr>
        <w:ind w:left="6108" w:hanging="360"/>
      </w:pPr>
    </w:lvl>
    <w:lvl w:ilvl="8" w:tplc="F1CA6334">
      <w:start w:val="1"/>
      <w:numFmt w:val="lowerRoman"/>
      <w:lvlText w:val="%9."/>
      <w:lvlJc w:val="right"/>
      <w:pPr>
        <w:ind w:left="6828" w:hanging="180"/>
      </w:pPr>
    </w:lvl>
  </w:abstractNum>
  <w:abstractNum w:abstractNumId="34" w15:restartNumberingAfterBreak="0">
    <w:nsid w:val="68DF0CDB"/>
    <w:multiLevelType w:val="hybridMultilevel"/>
    <w:tmpl w:val="C7F0E250"/>
    <w:lvl w:ilvl="0" w:tplc="727CA1C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6F6B28E7"/>
    <w:multiLevelType w:val="hybridMultilevel"/>
    <w:tmpl w:val="D4EE6BA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762405AF"/>
    <w:multiLevelType w:val="multilevel"/>
    <w:tmpl w:val="0415001F"/>
    <w:lvl w:ilvl="0">
      <w:start w:val="1"/>
      <w:numFmt w:val="decimal"/>
      <w:lvlText w:val="%1."/>
      <w:lvlJc w:val="left"/>
      <w:pPr>
        <w:ind w:left="1211" w:hanging="360"/>
      </w:pPr>
      <w:rPr>
        <w:rFonts w:hint="default"/>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37" w15:restartNumberingAfterBreak="0">
    <w:nsid w:val="77E55E80"/>
    <w:multiLevelType w:val="hybridMultilevel"/>
    <w:tmpl w:val="B470B862"/>
    <w:lvl w:ilvl="0" w:tplc="FFFFFFFF">
      <w:start w:val="1"/>
      <w:numFmt w:val="decimal"/>
      <w:lvlText w:val="%1."/>
      <w:lvlJc w:val="left"/>
      <w:pPr>
        <w:ind w:left="720" w:hanging="360"/>
      </w:pPr>
      <w:rPr>
        <w:b w:val="0"/>
        <w:bCs w:val="0"/>
      </w:rPr>
    </w:lvl>
    <w:lvl w:ilvl="1" w:tplc="0415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84A70A7"/>
    <w:multiLevelType w:val="hybridMultilevel"/>
    <w:tmpl w:val="63DA08A2"/>
    <w:lvl w:ilvl="0" w:tplc="FFFFFFFF">
      <w:start w:val="1"/>
      <w:numFmt w:val="decimal"/>
      <w:lvlText w:val="%1."/>
      <w:lvlJc w:val="left"/>
      <w:pPr>
        <w:ind w:left="720" w:hanging="360"/>
      </w:pPr>
      <w:rPr>
        <w:b w:val="0"/>
        <w:bCs w:val="0"/>
      </w:rPr>
    </w:lvl>
    <w:lvl w:ilvl="1" w:tplc="0415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8A81502"/>
    <w:multiLevelType w:val="hybridMultilevel"/>
    <w:tmpl w:val="51DAB09A"/>
    <w:lvl w:ilvl="0" w:tplc="0415000D">
      <w:start w:val="1"/>
      <w:numFmt w:val="bullet"/>
      <w:lvlText w:val=""/>
      <w:lvlJc w:val="left"/>
      <w:pPr>
        <w:ind w:left="2570" w:hanging="360"/>
      </w:pPr>
      <w:rPr>
        <w:rFonts w:ascii="Wingdings" w:hAnsi="Wingdings" w:hint="default"/>
      </w:rPr>
    </w:lvl>
    <w:lvl w:ilvl="1" w:tplc="04150003" w:tentative="1">
      <w:start w:val="1"/>
      <w:numFmt w:val="bullet"/>
      <w:lvlText w:val="o"/>
      <w:lvlJc w:val="left"/>
      <w:pPr>
        <w:ind w:left="3290" w:hanging="360"/>
      </w:pPr>
      <w:rPr>
        <w:rFonts w:ascii="Courier New" w:hAnsi="Courier New" w:cs="Courier New" w:hint="default"/>
      </w:rPr>
    </w:lvl>
    <w:lvl w:ilvl="2" w:tplc="04150005" w:tentative="1">
      <w:start w:val="1"/>
      <w:numFmt w:val="bullet"/>
      <w:lvlText w:val=""/>
      <w:lvlJc w:val="left"/>
      <w:pPr>
        <w:ind w:left="4010" w:hanging="360"/>
      </w:pPr>
      <w:rPr>
        <w:rFonts w:ascii="Wingdings" w:hAnsi="Wingdings" w:hint="default"/>
      </w:rPr>
    </w:lvl>
    <w:lvl w:ilvl="3" w:tplc="04150001" w:tentative="1">
      <w:start w:val="1"/>
      <w:numFmt w:val="bullet"/>
      <w:lvlText w:val=""/>
      <w:lvlJc w:val="left"/>
      <w:pPr>
        <w:ind w:left="4730" w:hanging="360"/>
      </w:pPr>
      <w:rPr>
        <w:rFonts w:ascii="Symbol" w:hAnsi="Symbol" w:hint="default"/>
      </w:rPr>
    </w:lvl>
    <w:lvl w:ilvl="4" w:tplc="04150003" w:tentative="1">
      <w:start w:val="1"/>
      <w:numFmt w:val="bullet"/>
      <w:lvlText w:val="o"/>
      <w:lvlJc w:val="left"/>
      <w:pPr>
        <w:ind w:left="5450" w:hanging="360"/>
      </w:pPr>
      <w:rPr>
        <w:rFonts w:ascii="Courier New" w:hAnsi="Courier New" w:cs="Courier New" w:hint="default"/>
      </w:rPr>
    </w:lvl>
    <w:lvl w:ilvl="5" w:tplc="04150005" w:tentative="1">
      <w:start w:val="1"/>
      <w:numFmt w:val="bullet"/>
      <w:lvlText w:val=""/>
      <w:lvlJc w:val="left"/>
      <w:pPr>
        <w:ind w:left="6170" w:hanging="360"/>
      </w:pPr>
      <w:rPr>
        <w:rFonts w:ascii="Wingdings" w:hAnsi="Wingdings" w:hint="default"/>
      </w:rPr>
    </w:lvl>
    <w:lvl w:ilvl="6" w:tplc="04150001" w:tentative="1">
      <w:start w:val="1"/>
      <w:numFmt w:val="bullet"/>
      <w:lvlText w:val=""/>
      <w:lvlJc w:val="left"/>
      <w:pPr>
        <w:ind w:left="6890" w:hanging="360"/>
      </w:pPr>
      <w:rPr>
        <w:rFonts w:ascii="Symbol" w:hAnsi="Symbol" w:hint="default"/>
      </w:rPr>
    </w:lvl>
    <w:lvl w:ilvl="7" w:tplc="04150003" w:tentative="1">
      <w:start w:val="1"/>
      <w:numFmt w:val="bullet"/>
      <w:lvlText w:val="o"/>
      <w:lvlJc w:val="left"/>
      <w:pPr>
        <w:ind w:left="7610" w:hanging="360"/>
      </w:pPr>
      <w:rPr>
        <w:rFonts w:ascii="Courier New" w:hAnsi="Courier New" w:cs="Courier New" w:hint="default"/>
      </w:rPr>
    </w:lvl>
    <w:lvl w:ilvl="8" w:tplc="04150005" w:tentative="1">
      <w:start w:val="1"/>
      <w:numFmt w:val="bullet"/>
      <w:lvlText w:val=""/>
      <w:lvlJc w:val="left"/>
      <w:pPr>
        <w:ind w:left="8330" w:hanging="360"/>
      </w:pPr>
      <w:rPr>
        <w:rFonts w:ascii="Wingdings" w:hAnsi="Wingdings" w:hint="default"/>
      </w:rPr>
    </w:lvl>
  </w:abstractNum>
  <w:abstractNum w:abstractNumId="40" w15:restartNumberingAfterBreak="0">
    <w:nsid w:val="79519F3C"/>
    <w:multiLevelType w:val="hybridMultilevel"/>
    <w:tmpl w:val="EBEC6B54"/>
    <w:lvl w:ilvl="0" w:tplc="E8B4CAF2">
      <w:start w:val="1"/>
      <w:numFmt w:val="bullet"/>
      <w:lvlText w:val=""/>
      <w:lvlJc w:val="left"/>
      <w:pPr>
        <w:ind w:left="1068" w:hanging="360"/>
      </w:pPr>
      <w:rPr>
        <w:rFonts w:ascii="Symbol" w:hAnsi="Symbol" w:hint="default"/>
      </w:rPr>
    </w:lvl>
    <w:lvl w:ilvl="1" w:tplc="3664269C">
      <w:start w:val="1"/>
      <w:numFmt w:val="bullet"/>
      <w:lvlText w:val="o"/>
      <w:lvlJc w:val="left"/>
      <w:pPr>
        <w:ind w:left="1788" w:hanging="360"/>
      </w:pPr>
      <w:rPr>
        <w:rFonts w:ascii="Courier New" w:hAnsi="Courier New" w:hint="default"/>
      </w:rPr>
    </w:lvl>
    <w:lvl w:ilvl="2" w:tplc="A6C66D4E">
      <w:start w:val="1"/>
      <w:numFmt w:val="bullet"/>
      <w:lvlText w:val=""/>
      <w:lvlJc w:val="left"/>
      <w:pPr>
        <w:ind w:left="2508" w:hanging="360"/>
      </w:pPr>
      <w:rPr>
        <w:rFonts w:ascii="Wingdings" w:hAnsi="Wingdings" w:hint="default"/>
      </w:rPr>
    </w:lvl>
    <w:lvl w:ilvl="3" w:tplc="E152A0F8">
      <w:start w:val="1"/>
      <w:numFmt w:val="bullet"/>
      <w:lvlText w:val=""/>
      <w:lvlJc w:val="left"/>
      <w:pPr>
        <w:ind w:left="3228" w:hanging="360"/>
      </w:pPr>
      <w:rPr>
        <w:rFonts w:ascii="Symbol" w:hAnsi="Symbol" w:hint="default"/>
      </w:rPr>
    </w:lvl>
    <w:lvl w:ilvl="4" w:tplc="E8FE1EAC">
      <w:start w:val="1"/>
      <w:numFmt w:val="bullet"/>
      <w:lvlText w:val="o"/>
      <w:lvlJc w:val="left"/>
      <w:pPr>
        <w:ind w:left="3948" w:hanging="360"/>
      </w:pPr>
      <w:rPr>
        <w:rFonts w:ascii="Courier New" w:hAnsi="Courier New" w:hint="default"/>
      </w:rPr>
    </w:lvl>
    <w:lvl w:ilvl="5" w:tplc="FEA00DAC">
      <w:start w:val="1"/>
      <w:numFmt w:val="bullet"/>
      <w:lvlText w:val=""/>
      <w:lvlJc w:val="left"/>
      <w:pPr>
        <w:ind w:left="4668" w:hanging="360"/>
      </w:pPr>
      <w:rPr>
        <w:rFonts w:ascii="Wingdings" w:hAnsi="Wingdings" w:hint="default"/>
      </w:rPr>
    </w:lvl>
    <w:lvl w:ilvl="6" w:tplc="E4485BF2">
      <w:start w:val="1"/>
      <w:numFmt w:val="bullet"/>
      <w:lvlText w:val=""/>
      <w:lvlJc w:val="left"/>
      <w:pPr>
        <w:ind w:left="5388" w:hanging="360"/>
      </w:pPr>
      <w:rPr>
        <w:rFonts w:ascii="Symbol" w:hAnsi="Symbol" w:hint="default"/>
      </w:rPr>
    </w:lvl>
    <w:lvl w:ilvl="7" w:tplc="C5585A62">
      <w:start w:val="1"/>
      <w:numFmt w:val="bullet"/>
      <w:lvlText w:val="o"/>
      <w:lvlJc w:val="left"/>
      <w:pPr>
        <w:ind w:left="6108" w:hanging="360"/>
      </w:pPr>
      <w:rPr>
        <w:rFonts w:ascii="Courier New" w:hAnsi="Courier New" w:hint="default"/>
      </w:rPr>
    </w:lvl>
    <w:lvl w:ilvl="8" w:tplc="F70C1CA2">
      <w:start w:val="1"/>
      <w:numFmt w:val="bullet"/>
      <w:lvlText w:val=""/>
      <w:lvlJc w:val="left"/>
      <w:pPr>
        <w:ind w:left="6828" w:hanging="360"/>
      </w:pPr>
      <w:rPr>
        <w:rFonts w:ascii="Wingdings" w:hAnsi="Wingdings" w:hint="default"/>
      </w:rPr>
    </w:lvl>
  </w:abstractNum>
  <w:abstractNum w:abstractNumId="41" w15:restartNumberingAfterBreak="0">
    <w:nsid w:val="7AF3D5E0"/>
    <w:multiLevelType w:val="hybridMultilevel"/>
    <w:tmpl w:val="7FBA7376"/>
    <w:lvl w:ilvl="0" w:tplc="D7AEEBB0">
      <w:start w:val="1"/>
      <w:numFmt w:val="bullet"/>
      <w:lvlText w:val=""/>
      <w:lvlJc w:val="left"/>
      <w:pPr>
        <w:ind w:left="720" w:hanging="360"/>
      </w:pPr>
      <w:rPr>
        <w:rFonts w:ascii="Symbol" w:hAnsi="Symbol" w:hint="default"/>
      </w:rPr>
    </w:lvl>
    <w:lvl w:ilvl="1" w:tplc="68029602">
      <w:start w:val="1"/>
      <w:numFmt w:val="bullet"/>
      <w:lvlText w:val="o"/>
      <w:lvlJc w:val="left"/>
      <w:pPr>
        <w:ind w:left="1440" w:hanging="360"/>
      </w:pPr>
      <w:rPr>
        <w:rFonts w:ascii="Courier New" w:hAnsi="Courier New" w:hint="default"/>
      </w:rPr>
    </w:lvl>
    <w:lvl w:ilvl="2" w:tplc="34983D06">
      <w:start w:val="1"/>
      <w:numFmt w:val="bullet"/>
      <w:lvlText w:val=""/>
      <w:lvlJc w:val="left"/>
      <w:pPr>
        <w:ind w:left="2160" w:hanging="360"/>
      </w:pPr>
      <w:rPr>
        <w:rFonts w:ascii="Wingdings" w:hAnsi="Wingdings" w:hint="default"/>
      </w:rPr>
    </w:lvl>
    <w:lvl w:ilvl="3" w:tplc="7D4685A4">
      <w:start w:val="1"/>
      <w:numFmt w:val="bullet"/>
      <w:lvlText w:val=""/>
      <w:lvlJc w:val="left"/>
      <w:pPr>
        <w:ind w:left="2880" w:hanging="360"/>
      </w:pPr>
      <w:rPr>
        <w:rFonts w:ascii="Symbol" w:hAnsi="Symbol" w:hint="default"/>
      </w:rPr>
    </w:lvl>
    <w:lvl w:ilvl="4" w:tplc="8738FC24">
      <w:start w:val="1"/>
      <w:numFmt w:val="bullet"/>
      <w:lvlText w:val="o"/>
      <w:lvlJc w:val="left"/>
      <w:pPr>
        <w:ind w:left="3600" w:hanging="360"/>
      </w:pPr>
      <w:rPr>
        <w:rFonts w:ascii="Courier New" w:hAnsi="Courier New" w:hint="default"/>
      </w:rPr>
    </w:lvl>
    <w:lvl w:ilvl="5" w:tplc="9CE8E72A">
      <w:start w:val="1"/>
      <w:numFmt w:val="bullet"/>
      <w:lvlText w:val=""/>
      <w:lvlJc w:val="left"/>
      <w:pPr>
        <w:ind w:left="4320" w:hanging="360"/>
      </w:pPr>
      <w:rPr>
        <w:rFonts w:ascii="Wingdings" w:hAnsi="Wingdings" w:hint="default"/>
      </w:rPr>
    </w:lvl>
    <w:lvl w:ilvl="6" w:tplc="B99E5F34">
      <w:start w:val="1"/>
      <w:numFmt w:val="bullet"/>
      <w:lvlText w:val=""/>
      <w:lvlJc w:val="left"/>
      <w:pPr>
        <w:ind w:left="5040" w:hanging="360"/>
      </w:pPr>
      <w:rPr>
        <w:rFonts w:ascii="Symbol" w:hAnsi="Symbol" w:hint="default"/>
      </w:rPr>
    </w:lvl>
    <w:lvl w:ilvl="7" w:tplc="E632C08A">
      <w:start w:val="1"/>
      <w:numFmt w:val="bullet"/>
      <w:lvlText w:val="o"/>
      <w:lvlJc w:val="left"/>
      <w:pPr>
        <w:ind w:left="5760" w:hanging="360"/>
      </w:pPr>
      <w:rPr>
        <w:rFonts w:ascii="Courier New" w:hAnsi="Courier New" w:hint="default"/>
      </w:rPr>
    </w:lvl>
    <w:lvl w:ilvl="8" w:tplc="FB62928A">
      <w:start w:val="1"/>
      <w:numFmt w:val="bullet"/>
      <w:lvlText w:val=""/>
      <w:lvlJc w:val="left"/>
      <w:pPr>
        <w:ind w:left="6480" w:hanging="360"/>
      </w:pPr>
      <w:rPr>
        <w:rFonts w:ascii="Wingdings" w:hAnsi="Wingdings" w:hint="default"/>
      </w:rPr>
    </w:lvl>
  </w:abstractNum>
  <w:abstractNum w:abstractNumId="42" w15:restartNumberingAfterBreak="0">
    <w:nsid w:val="7C355BF2"/>
    <w:multiLevelType w:val="hybridMultilevel"/>
    <w:tmpl w:val="5144F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920309">
    <w:abstractNumId w:val="8"/>
  </w:num>
  <w:num w:numId="2" w16cid:durableId="198592331">
    <w:abstractNumId w:val="41"/>
  </w:num>
  <w:num w:numId="3" w16cid:durableId="737172767">
    <w:abstractNumId w:val="40"/>
  </w:num>
  <w:num w:numId="4" w16cid:durableId="897521397">
    <w:abstractNumId w:val="33"/>
  </w:num>
  <w:num w:numId="5" w16cid:durableId="587465158">
    <w:abstractNumId w:val="30"/>
  </w:num>
  <w:num w:numId="6" w16cid:durableId="1375739859">
    <w:abstractNumId w:val="7"/>
  </w:num>
  <w:num w:numId="7" w16cid:durableId="1983804115">
    <w:abstractNumId w:val="11"/>
  </w:num>
  <w:num w:numId="8" w16cid:durableId="2056848540">
    <w:abstractNumId w:val="36"/>
  </w:num>
  <w:num w:numId="9" w16cid:durableId="1033113989">
    <w:abstractNumId w:val="16"/>
  </w:num>
  <w:num w:numId="10" w16cid:durableId="884029461">
    <w:abstractNumId w:val="42"/>
  </w:num>
  <w:num w:numId="11" w16cid:durableId="2142962479">
    <w:abstractNumId w:val="10"/>
  </w:num>
  <w:num w:numId="12" w16cid:durableId="1963219390">
    <w:abstractNumId w:val="22"/>
  </w:num>
  <w:num w:numId="13" w16cid:durableId="1425417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47738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9477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628732">
    <w:abstractNumId w:val="18"/>
  </w:num>
  <w:num w:numId="17" w16cid:durableId="116946523">
    <w:abstractNumId w:val="27"/>
  </w:num>
  <w:num w:numId="18" w16cid:durableId="661666075">
    <w:abstractNumId w:val="1"/>
  </w:num>
  <w:num w:numId="19" w16cid:durableId="572280704">
    <w:abstractNumId w:val="34"/>
  </w:num>
  <w:num w:numId="20" w16cid:durableId="540019023">
    <w:abstractNumId w:val="13"/>
  </w:num>
  <w:num w:numId="21" w16cid:durableId="805859481">
    <w:abstractNumId w:val="14"/>
  </w:num>
  <w:num w:numId="22" w16cid:durableId="1191603990">
    <w:abstractNumId w:val="29"/>
  </w:num>
  <w:num w:numId="23" w16cid:durableId="1321958907">
    <w:abstractNumId w:val="32"/>
  </w:num>
  <w:num w:numId="24" w16cid:durableId="416439423">
    <w:abstractNumId w:val="20"/>
  </w:num>
  <w:num w:numId="25" w16cid:durableId="2137601887">
    <w:abstractNumId w:val="4"/>
  </w:num>
  <w:num w:numId="26" w16cid:durableId="1697624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955516">
    <w:abstractNumId w:val="17"/>
  </w:num>
  <w:num w:numId="28" w16cid:durableId="611472826">
    <w:abstractNumId w:val="24"/>
  </w:num>
  <w:num w:numId="29" w16cid:durableId="2022396152">
    <w:abstractNumId w:val="31"/>
  </w:num>
  <w:num w:numId="30" w16cid:durableId="1502743594">
    <w:abstractNumId w:val="25"/>
  </w:num>
  <w:num w:numId="31" w16cid:durableId="1547719731">
    <w:abstractNumId w:val="39"/>
  </w:num>
  <w:num w:numId="32" w16cid:durableId="1115832302">
    <w:abstractNumId w:val="35"/>
  </w:num>
  <w:num w:numId="33" w16cid:durableId="1362127615">
    <w:abstractNumId w:val="5"/>
  </w:num>
  <w:num w:numId="34" w16cid:durableId="794250714">
    <w:abstractNumId w:val="21"/>
  </w:num>
  <w:num w:numId="35" w16cid:durableId="1633633083">
    <w:abstractNumId w:val="15"/>
  </w:num>
  <w:num w:numId="36" w16cid:durableId="1702903379">
    <w:abstractNumId w:val="3"/>
  </w:num>
  <w:num w:numId="37" w16cid:durableId="1906449148">
    <w:abstractNumId w:val="23"/>
  </w:num>
  <w:num w:numId="38" w16cid:durableId="1792045957">
    <w:abstractNumId w:val="2"/>
  </w:num>
  <w:num w:numId="39" w16cid:durableId="2077360768">
    <w:abstractNumId w:val="0"/>
  </w:num>
  <w:num w:numId="40" w16cid:durableId="841431410">
    <w:abstractNumId w:val="19"/>
  </w:num>
  <w:num w:numId="41" w16cid:durableId="1804808012">
    <w:abstractNumId w:val="26"/>
  </w:num>
  <w:num w:numId="42" w16cid:durableId="1132559554">
    <w:abstractNumId w:val="28"/>
  </w:num>
  <w:num w:numId="43" w16cid:durableId="1556695336">
    <w:abstractNumId w:val="37"/>
  </w:num>
  <w:num w:numId="44" w16cid:durableId="924652909">
    <w:abstractNumId w:val="9"/>
  </w:num>
  <w:num w:numId="45" w16cid:durableId="964432379">
    <w:abstractNumId w:val="38"/>
  </w:num>
  <w:num w:numId="46" w16cid:durableId="67758167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52"/>
    <w:rsid w:val="00000475"/>
    <w:rsid w:val="00000696"/>
    <w:rsid w:val="00000B66"/>
    <w:rsid w:val="000015D8"/>
    <w:rsid w:val="0000196C"/>
    <w:rsid w:val="00001F44"/>
    <w:rsid w:val="00002A90"/>
    <w:rsid w:val="00002D84"/>
    <w:rsid w:val="000030FC"/>
    <w:rsid w:val="00003A93"/>
    <w:rsid w:val="00003B5F"/>
    <w:rsid w:val="000050D4"/>
    <w:rsid w:val="00005632"/>
    <w:rsid w:val="0000590C"/>
    <w:rsid w:val="00005A88"/>
    <w:rsid w:val="00006F51"/>
    <w:rsid w:val="0000750D"/>
    <w:rsid w:val="00010C01"/>
    <w:rsid w:val="00010E49"/>
    <w:rsid w:val="000124BE"/>
    <w:rsid w:val="00012AE7"/>
    <w:rsid w:val="00012B33"/>
    <w:rsid w:val="00012DE2"/>
    <w:rsid w:val="000134E2"/>
    <w:rsid w:val="000140C8"/>
    <w:rsid w:val="000161AE"/>
    <w:rsid w:val="00016322"/>
    <w:rsid w:val="00016B0C"/>
    <w:rsid w:val="00017FE6"/>
    <w:rsid w:val="000216D3"/>
    <w:rsid w:val="00022510"/>
    <w:rsid w:val="0002395E"/>
    <w:rsid w:val="00024105"/>
    <w:rsid w:val="000248EC"/>
    <w:rsid w:val="000249DE"/>
    <w:rsid w:val="00024CCC"/>
    <w:rsid w:val="00025DFB"/>
    <w:rsid w:val="000260F0"/>
    <w:rsid w:val="000264EE"/>
    <w:rsid w:val="0002674B"/>
    <w:rsid w:val="000267D1"/>
    <w:rsid w:val="00026E4C"/>
    <w:rsid w:val="00027DB5"/>
    <w:rsid w:val="00030805"/>
    <w:rsid w:val="00030918"/>
    <w:rsid w:val="0003176A"/>
    <w:rsid w:val="00032061"/>
    <w:rsid w:val="0003260E"/>
    <w:rsid w:val="00032BB4"/>
    <w:rsid w:val="00033C9E"/>
    <w:rsid w:val="00034107"/>
    <w:rsid w:val="00034395"/>
    <w:rsid w:val="0003687D"/>
    <w:rsid w:val="0003697B"/>
    <w:rsid w:val="00036B8F"/>
    <w:rsid w:val="00037448"/>
    <w:rsid w:val="00037FC6"/>
    <w:rsid w:val="00040DAA"/>
    <w:rsid w:val="0004127C"/>
    <w:rsid w:val="00041E62"/>
    <w:rsid w:val="0004211E"/>
    <w:rsid w:val="000422ED"/>
    <w:rsid w:val="0004262E"/>
    <w:rsid w:val="00042A94"/>
    <w:rsid w:val="00044059"/>
    <w:rsid w:val="00044D72"/>
    <w:rsid w:val="000455DF"/>
    <w:rsid w:val="000456E3"/>
    <w:rsid w:val="00046B5C"/>
    <w:rsid w:val="00046D60"/>
    <w:rsid w:val="0004745D"/>
    <w:rsid w:val="00050771"/>
    <w:rsid w:val="00050DC8"/>
    <w:rsid w:val="000525DA"/>
    <w:rsid w:val="000537B5"/>
    <w:rsid w:val="000537EF"/>
    <w:rsid w:val="0005392C"/>
    <w:rsid w:val="000542A7"/>
    <w:rsid w:val="0005495A"/>
    <w:rsid w:val="00055FA8"/>
    <w:rsid w:val="0005605F"/>
    <w:rsid w:val="00056329"/>
    <w:rsid w:val="000564EE"/>
    <w:rsid w:val="00060253"/>
    <w:rsid w:val="00060755"/>
    <w:rsid w:val="00060A2E"/>
    <w:rsid w:val="00061D2A"/>
    <w:rsid w:val="000628A4"/>
    <w:rsid w:val="000628AC"/>
    <w:rsid w:val="00062C87"/>
    <w:rsid w:val="0006395A"/>
    <w:rsid w:val="00064049"/>
    <w:rsid w:val="000677A8"/>
    <w:rsid w:val="00067C42"/>
    <w:rsid w:val="00070112"/>
    <w:rsid w:val="00071367"/>
    <w:rsid w:val="0007148E"/>
    <w:rsid w:val="000719B7"/>
    <w:rsid w:val="00071FB0"/>
    <w:rsid w:val="000742FE"/>
    <w:rsid w:val="0007443A"/>
    <w:rsid w:val="0007459E"/>
    <w:rsid w:val="00074DE7"/>
    <w:rsid w:val="00075048"/>
    <w:rsid w:val="000750C7"/>
    <w:rsid w:val="00076164"/>
    <w:rsid w:val="00076B16"/>
    <w:rsid w:val="0007754E"/>
    <w:rsid w:val="00077B07"/>
    <w:rsid w:val="00080438"/>
    <w:rsid w:val="00080734"/>
    <w:rsid w:val="0008085A"/>
    <w:rsid w:val="00081EBD"/>
    <w:rsid w:val="000820C3"/>
    <w:rsid w:val="000825AD"/>
    <w:rsid w:val="00082A08"/>
    <w:rsid w:val="00082B2F"/>
    <w:rsid w:val="00084B5E"/>
    <w:rsid w:val="000859F8"/>
    <w:rsid w:val="000868A6"/>
    <w:rsid w:val="000868F2"/>
    <w:rsid w:val="000872D8"/>
    <w:rsid w:val="00087438"/>
    <w:rsid w:val="00087E0A"/>
    <w:rsid w:val="00091D52"/>
    <w:rsid w:val="000924C6"/>
    <w:rsid w:val="00094074"/>
    <w:rsid w:val="0009418A"/>
    <w:rsid w:val="0009474F"/>
    <w:rsid w:val="0009511B"/>
    <w:rsid w:val="00095A68"/>
    <w:rsid w:val="0009668C"/>
    <w:rsid w:val="000971A7"/>
    <w:rsid w:val="0009737A"/>
    <w:rsid w:val="000A0866"/>
    <w:rsid w:val="000A2208"/>
    <w:rsid w:val="000A24B1"/>
    <w:rsid w:val="000A24F5"/>
    <w:rsid w:val="000A3A27"/>
    <w:rsid w:val="000A3C9E"/>
    <w:rsid w:val="000A3E96"/>
    <w:rsid w:val="000A42F2"/>
    <w:rsid w:val="000A55E9"/>
    <w:rsid w:val="000A59E3"/>
    <w:rsid w:val="000A5EFF"/>
    <w:rsid w:val="000A68F0"/>
    <w:rsid w:val="000A787C"/>
    <w:rsid w:val="000B05F8"/>
    <w:rsid w:val="000B0650"/>
    <w:rsid w:val="000B15AA"/>
    <w:rsid w:val="000B1BC3"/>
    <w:rsid w:val="000B1EB0"/>
    <w:rsid w:val="000B2120"/>
    <w:rsid w:val="000B2C7A"/>
    <w:rsid w:val="000B2D9C"/>
    <w:rsid w:val="000B3F83"/>
    <w:rsid w:val="000B5B21"/>
    <w:rsid w:val="000B668C"/>
    <w:rsid w:val="000B6D1F"/>
    <w:rsid w:val="000B7C9F"/>
    <w:rsid w:val="000C0013"/>
    <w:rsid w:val="000C015E"/>
    <w:rsid w:val="000C073E"/>
    <w:rsid w:val="000C09EB"/>
    <w:rsid w:val="000C1291"/>
    <w:rsid w:val="000C1B76"/>
    <w:rsid w:val="000C203E"/>
    <w:rsid w:val="000C284F"/>
    <w:rsid w:val="000C446E"/>
    <w:rsid w:val="000C49E5"/>
    <w:rsid w:val="000C5334"/>
    <w:rsid w:val="000C5ABA"/>
    <w:rsid w:val="000C617A"/>
    <w:rsid w:val="000C64C8"/>
    <w:rsid w:val="000C6F99"/>
    <w:rsid w:val="000C7359"/>
    <w:rsid w:val="000D0CD0"/>
    <w:rsid w:val="000D147A"/>
    <w:rsid w:val="000D2089"/>
    <w:rsid w:val="000D2F1A"/>
    <w:rsid w:val="000D33AC"/>
    <w:rsid w:val="000D3B76"/>
    <w:rsid w:val="000D43A1"/>
    <w:rsid w:val="000D4AD9"/>
    <w:rsid w:val="000D529F"/>
    <w:rsid w:val="000D538D"/>
    <w:rsid w:val="000D5AB3"/>
    <w:rsid w:val="000D633B"/>
    <w:rsid w:val="000D64C0"/>
    <w:rsid w:val="000D70FB"/>
    <w:rsid w:val="000E0874"/>
    <w:rsid w:val="000E0FCF"/>
    <w:rsid w:val="000E25A0"/>
    <w:rsid w:val="000E2610"/>
    <w:rsid w:val="000E28F7"/>
    <w:rsid w:val="000E2F4A"/>
    <w:rsid w:val="000E3A6D"/>
    <w:rsid w:val="000E3A70"/>
    <w:rsid w:val="000E4AD3"/>
    <w:rsid w:val="000E4FDC"/>
    <w:rsid w:val="000E61EB"/>
    <w:rsid w:val="000E6A04"/>
    <w:rsid w:val="000E6D5C"/>
    <w:rsid w:val="000E6DC4"/>
    <w:rsid w:val="000F04A7"/>
    <w:rsid w:val="000F09D9"/>
    <w:rsid w:val="000F0C15"/>
    <w:rsid w:val="000F116E"/>
    <w:rsid w:val="000F1766"/>
    <w:rsid w:val="000F1838"/>
    <w:rsid w:val="000F2F45"/>
    <w:rsid w:val="000F40A8"/>
    <w:rsid w:val="000F470B"/>
    <w:rsid w:val="000F4CAF"/>
    <w:rsid w:val="000F53BC"/>
    <w:rsid w:val="000F53C6"/>
    <w:rsid w:val="000F5E41"/>
    <w:rsid w:val="000F70E9"/>
    <w:rsid w:val="000F70EB"/>
    <w:rsid w:val="000F7C2F"/>
    <w:rsid w:val="000F7DD3"/>
    <w:rsid w:val="00100D55"/>
    <w:rsid w:val="00101E2A"/>
    <w:rsid w:val="00103361"/>
    <w:rsid w:val="0010345D"/>
    <w:rsid w:val="00104142"/>
    <w:rsid w:val="00104479"/>
    <w:rsid w:val="00104BBB"/>
    <w:rsid w:val="00104C3F"/>
    <w:rsid w:val="001054FD"/>
    <w:rsid w:val="00105719"/>
    <w:rsid w:val="0010608D"/>
    <w:rsid w:val="0010624D"/>
    <w:rsid w:val="001063F6"/>
    <w:rsid w:val="00106413"/>
    <w:rsid w:val="00106C82"/>
    <w:rsid w:val="00107DAF"/>
    <w:rsid w:val="00110798"/>
    <w:rsid w:val="00110EAD"/>
    <w:rsid w:val="0011166F"/>
    <w:rsid w:val="001129DC"/>
    <w:rsid w:val="00113CB0"/>
    <w:rsid w:val="001147A3"/>
    <w:rsid w:val="00114B86"/>
    <w:rsid w:val="00114C3B"/>
    <w:rsid w:val="0012058E"/>
    <w:rsid w:val="001209EB"/>
    <w:rsid w:val="00120BC0"/>
    <w:rsid w:val="001214F6"/>
    <w:rsid w:val="00121EA1"/>
    <w:rsid w:val="00121ECA"/>
    <w:rsid w:val="00121FBD"/>
    <w:rsid w:val="001221A0"/>
    <w:rsid w:val="00123131"/>
    <w:rsid w:val="00123887"/>
    <w:rsid w:val="0012570C"/>
    <w:rsid w:val="0012667B"/>
    <w:rsid w:val="001300FC"/>
    <w:rsid w:val="0013062A"/>
    <w:rsid w:val="00130B51"/>
    <w:rsid w:val="00130B5F"/>
    <w:rsid w:val="00130B7A"/>
    <w:rsid w:val="00130BCB"/>
    <w:rsid w:val="001325EF"/>
    <w:rsid w:val="001346CA"/>
    <w:rsid w:val="001349AC"/>
    <w:rsid w:val="00134E2D"/>
    <w:rsid w:val="00134FB5"/>
    <w:rsid w:val="001357B5"/>
    <w:rsid w:val="00135982"/>
    <w:rsid w:val="00135B23"/>
    <w:rsid w:val="00135D2A"/>
    <w:rsid w:val="0013722C"/>
    <w:rsid w:val="001374CF"/>
    <w:rsid w:val="00137552"/>
    <w:rsid w:val="001403B1"/>
    <w:rsid w:val="001411A0"/>
    <w:rsid w:val="00142864"/>
    <w:rsid w:val="00142E48"/>
    <w:rsid w:val="00143178"/>
    <w:rsid w:val="00143DB6"/>
    <w:rsid w:val="0014416C"/>
    <w:rsid w:val="00146B21"/>
    <w:rsid w:val="00146C9D"/>
    <w:rsid w:val="001474DF"/>
    <w:rsid w:val="0014794A"/>
    <w:rsid w:val="00147D47"/>
    <w:rsid w:val="00147E0F"/>
    <w:rsid w:val="00147FA9"/>
    <w:rsid w:val="001501F0"/>
    <w:rsid w:val="001508A8"/>
    <w:rsid w:val="00151417"/>
    <w:rsid w:val="00151466"/>
    <w:rsid w:val="001519CB"/>
    <w:rsid w:val="00152437"/>
    <w:rsid w:val="001538C6"/>
    <w:rsid w:val="001539A1"/>
    <w:rsid w:val="001539C5"/>
    <w:rsid w:val="00154035"/>
    <w:rsid w:val="001574A0"/>
    <w:rsid w:val="001574A4"/>
    <w:rsid w:val="00157749"/>
    <w:rsid w:val="0016136F"/>
    <w:rsid w:val="001621F0"/>
    <w:rsid w:val="00162619"/>
    <w:rsid w:val="001640F8"/>
    <w:rsid w:val="001647A1"/>
    <w:rsid w:val="0016647C"/>
    <w:rsid w:val="00166FEB"/>
    <w:rsid w:val="00167434"/>
    <w:rsid w:val="001676AC"/>
    <w:rsid w:val="001705F1"/>
    <w:rsid w:val="001709DD"/>
    <w:rsid w:val="00170AEF"/>
    <w:rsid w:val="00170DE5"/>
    <w:rsid w:val="001717FE"/>
    <w:rsid w:val="00173161"/>
    <w:rsid w:val="0017405B"/>
    <w:rsid w:val="001749B0"/>
    <w:rsid w:val="00174C68"/>
    <w:rsid w:val="0017596C"/>
    <w:rsid w:val="00175E5E"/>
    <w:rsid w:val="0017605A"/>
    <w:rsid w:val="0018051E"/>
    <w:rsid w:val="001809A6"/>
    <w:rsid w:val="00181061"/>
    <w:rsid w:val="00181336"/>
    <w:rsid w:val="001815AA"/>
    <w:rsid w:val="00181709"/>
    <w:rsid w:val="00181823"/>
    <w:rsid w:val="00182D60"/>
    <w:rsid w:val="00184871"/>
    <w:rsid w:val="00184B63"/>
    <w:rsid w:val="00184D60"/>
    <w:rsid w:val="00185C5B"/>
    <w:rsid w:val="0018629A"/>
    <w:rsid w:val="00186B37"/>
    <w:rsid w:val="001877E3"/>
    <w:rsid w:val="00190A32"/>
    <w:rsid w:val="00191792"/>
    <w:rsid w:val="00192100"/>
    <w:rsid w:val="001921FA"/>
    <w:rsid w:val="001925A5"/>
    <w:rsid w:val="00192B77"/>
    <w:rsid w:val="00192E4E"/>
    <w:rsid w:val="001930F3"/>
    <w:rsid w:val="00193307"/>
    <w:rsid w:val="00194C7B"/>
    <w:rsid w:val="00194CAE"/>
    <w:rsid w:val="0019511D"/>
    <w:rsid w:val="001953F0"/>
    <w:rsid w:val="0019550E"/>
    <w:rsid w:val="00195B7D"/>
    <w:rsid w:val="0019743E"/>
    <w:rsid w:val="001974DE"/>
    <w:rsid w:val="001A0365"/>
    <w:rsid w:val="001A0912"/>
    <w:rsid w:val="001A0FD4"/>
    <w:rsid w:val="001A1467"/>
    <w:rsid w:val="001A27F8"/>
    <w:rsid w:val="001A2F1B"/>
    <w:rsid w:val="001A3649"/>
    <w:rsid w:val="001A4548"/>
    <w:rsid w:val="001A690A"/>
    <w:rsid w:val="001A6A0C"/>
    <w:rsid w:val="001A7F53"/>
    <w:rsid w:val="001B02E7"/>
    <w:rsid w:val="001B1090"/>
    <w:rsid w:val="001B264C"/>
    <w:rsid w:val="001B4116"/>
    <w:rsid w:val="001B41B2"/>
    <w:rsid w:val="001B46D3"/>
    <w:rsid w:val="001B4D1E"/>
    <w:rsid w:val="001B562E"/>
    <w:rsid w:val="001B626E"/>
    <w:rsid w:val="001B63A7"/>
    <w:rsid w:val="001B65F8"/>
    <w:rsid w:val="001B7639"/>
    <w:rsid w:val="001B7E41"/>
    <w:rsid w:val="001C0888"/>
    <w:rsid w:val="001C0973"/>
    <w:rsid w:val="001C1131"/>
    <w:rsid w:val="001C1CC6"/>
    <w:rsid w:val="001C1E55"/>
    <w:rsid w:val="001C32F3"/>
    <w:rsid w:val="001C3FBD"/>
    <w:rsid w:val="001C4690"/>
    <w:rsid w:val="001C625E"/>
    <w:rsid w:val="001C65C1"/>
    <w:rsid w:val="001C724A"/>
    <w:rsid w:val="001C7DC6"/>
    <w:rsid w:val="001D0BD0"/>
    <w:rsid w:val="001D153C"/>
    <w:rsid w:val="001D1B26"/>
    <w:rsid w:val="001D1E0C"/>
    <w:rsid w:val="001D4571"/>
    <w:rsid w:val="001D6D8C"/>
    <w:rsid w:val="001D6F5E"/>
    <w:rsid w:val="001D78DC"/>
    <w:rsid w:val="001D7B00"/>
    <w:rsid w:val="001D7E1F"/>
    <w:rsid w:val="001E01CD"/>
    <w:rsid w:val="001E0B71"/>
    <w:rsid w:val="001E1509"/>
    <w:rsid w:val="001E2B90"/>
    <w:rsid w:val="001E349F"/>
    <w:rsid w:val="001E3BCE"/>
    <w:rsid w:val="001E46A1"/>
    <w:rsid w:val="001E5089"/>
    <w:rsid w:val="001E7611"/>
    <w:rsid w:val="001E7854"/>
    <w:rsid w:val="001F0E63"/>
    <w:rsid w:val="001F13FB"/>
    <w:rsid w:val="001F17BE"/>
    <w:rsid w:val="001F2013"/>
    <w:rsid w:val="001F257C"/>
    <w:rsid w:val="001F2FAD"/>
    <w:rsid w:val="001F3640"/>
    <w:rsid w:val="001F38EE"/>
    <w:rsid w:val="001F42D0"/>
    <w:rsid w:val="001F49B7"/>
    <w:rsid w:val="001F4C37"/>
    <w:rsid w:val="001F5772"/>
    <w:rsid w:val="001F6483"/>
    <w:rsid w:val="001F722B"/>
    <w:rsid w:val="001F75B9"/>
    <w:rsid w:val="001F76BD"/>
    <w:rsid w:val="001F77F1"/>
    <w:rsid w:val="001F78B7"/>
    <w:rsid w:val="0020012A"/>
    <w:rsid w:val="0020084A"/>
    <w:rsid w:val="00200BBF"/>
    <w:rsid w:val="00200D54"/>
    <w:rsid w:val="002018C1"/>
    <w:rsid w:val="0020244F"/>
    <w:rsid w:val="0020265B"/>
    <w:rsid w:val="002039C6"/>
    <w:rsid w:val="002046CE"/>
    <w:rsid w:val="002055A7"/>
    <w:rsid w:val="00205C00"/>
    <w:rsid w:val="00205DB1"/>
    <w:rsid w:val="00206BC4"/>
    <w:rsid w:val="002111C3"/>
    <w:rsid w:val="0021141C"/>
    <w:rsid w:val="00212637"/>
    <w:rsid w:val="002126CF"/>
    <w:rsid w:val="002128D9"/>
    <w:rsid w:val="00213170"/>
    <w:rsid w:val="002137B0"/>
    <w:rsid w:val="002139F4"/>
    <w:rsid w:val="00214F0A"/>
    <w:rsid w:val="002151BF"/>
    <w:rsid w:val="002152E4"/>
    <w:rsid w:val="002156B5"/>
    <w:rsid w:val="002158AA"/>
    <w:rsid w:val="00215D12"/>
    <w:rsid w:val="00215F0F"/>
    <w:rsid w:val="002176DA"/>
    <w:rsid w:val="00217C12"/>
    <w:rsid w:val="002217B4"/>
    <w:rsid w:val="00221B30"/>
    <w:rsid w:val="00222139"/>
    <w:rsid w:val="00223052"/>
    <w:rsid w:val="002244A4"/>
    <w:rsid w:val="00225B03"/>
    <w:rsid w:val="00226514"/>
    <w:rsid w:val="0022761C"/>
    <w:rsid w:val="00227C44"/>
    <w:rsid w:val="00227DA6"/>
    <w:rsid w:val="00230030"/>
    <w:rsid w:val="0023031D"/>
    <w:rsid w:val="0023121F"/>
    <w:rsid w:val="00232844"/>
    <w:rsid w:val="00233FDF"/>
    <w:rsid w:val="002340B9"/>
    <w:rsid w:val="00234639"/>
    <w:rsid w:val="00234F28"/>
    <w:rsid w:val="00235CC1"/>
    <w:rsid w:val="00236197"/>
    <w:rsid w:val="00236301"/>
    <w:rsid w:val="0023642B"/>
    <w:rsid w:val="00236A3A"/>
    <w:rsid w:val="00237A7E"/>
    <w:rsid w:val="00237F6F"/>
    <w:rsid w:val="0024014B"/>
    <w:rsid w:val="00240D80"/>
    <w:rsid w:val="00241E3D"/>
    <w:rsid w:val="00243158"/>
    <w:rsid w:val="00243F9B"/>
    <w:rsid w:val="0024534B"/>
    <w:rsid w:val="002458BE"/>
    <w:rsid w:val="00246198"/>
    <w:rsid w:val="002461A3"/>
    <w:rsid w:val="002465C5"/>
    <w:rsid w:val="00246E37"/>
    <w:rsid w:val="00247743"/>
    <w:rsid w:val="00247DD2"/>
    <w:rsid w:val="00247FD7"/>
    <w:rsid w:val="00250635"/>
    <w:rsid w:val="002508B5"/>
    <w:rsid w:val="00251045"/>
    <w:rsid w:val="002525B6"/>
    <w:rsid w:val="00252E01"/>
    <w:rsid w:val="00254186"/>
    <w:rsid w:val="002545D5"/>
    <w:rsid w:val="00254AAA"/>
    <w:rsid w:val="00255BBF"/>
    <w:rsid w:val="00255FD1"/>
    <w:rsid w:val="00256A00"/>
    <w:rsid w:val="0025724F"/>
    <w:rsid w:val="00260092"/>
    <w:rsid w:val="002616F7"/>
    <w:rsid w:val="002621FE"/>
    <w:rsid w:val="00262B98"/>
    <w:rsid w:val="002633FD"/>
    <w:rsid w:val="002636A9"/>
    <w:rsid w:val="00264521"/>
    <w:rsid w:val="00265A4D"/>
    <w:rsid w:val="0026605D"/>
    <w:rsid w:val="0026639F"/>
    <w:rsid w:val="00267D29"/>
    <w:rsid w:val="00267EDA"/>
    <w:rsid w:val="00270FF9"/>
    <w:rsid w:val="002718E8"/>
    <w:rsid w:val="0027269A"/>
    <w:rsid w:val="00272885"/>
    <w:rsid w:val="002728C3"/>
    <w:rsid w:val="00273560"/>
    <w:rsid w:val="00274031"/>
    <w:rsid w:val="0027404C"/>
    <w:rsid w:val="00276106"/>
    <w:rsid w:val="00276608"/>
    <w:rsid w:val="00276C3C"/>
    <w:rsid w:val="00280048"/>
    <w:rsid w:val="002800B0"/>
    <w:rsid w:val="00282201"/>
    <w:rsid w:val="00282710"/>
    <w:rsid w:val="00282DE4"/>
    <w:rsid w:val="002844A9"/>
    <w:rsid w:val="002855BC"/>
    <w:rsid w:val="0028628A"/>
    <w:rsid w:val="00287027"/>
    <w:rsid w:val="00287579"/>
    <w:rsid w:val="00287EAE"/>
    <w:rsid w:val="00290641"/>
    <w:rsid w:val="00290965"/>
    <w:rsid w:val="00290CB5"/>
    <w:rsid w:val="00290F79"/>
    <w:rsid w:val="002911D4"/>
    <w:rsid w:val="00291A10"/>
    <w:rsid w:val="00291DF2"/>
    <w:rsid w:val="00291F90"/>
    <w:rsid w:val="002940EB"/>
    <w:rsid w:val="0029543C"/>
    <w:rsid w:val="0029667F"/>
    <w:rsid w:val="002967CE"/>
    <w:rsid w:val="002974EC"/>
    <w:rsid w:val="00297AA1"/>
    <w:rsid w:val="002A0681"/>
    <w:rsid w:val="002A06E0"/>
    <w:rsid w:val="002A08E4"/>
    <w:rsid w:val="002A1118"/>
    <w:rsid w:val="002A11C8"/>
    <w:rsid w:val="002A1ECC"/>
    <w:rsid w:val="002A28BE"/>
    <w:rsid w:val="002A2D07"/>
    <w:rsid w:val="002A3472"/>
    <w:rsid w:val="002A358A"/>
    <w:rsid w:val="002A3E9C"/>
    <w:rsid w:val="002A5547"/>
    <w:rsid w:val="002A5B50"/>
    <w:rsid w:val="002A5BF1"/>
    <w:rsid w:val="002A7C0B"/>
    <w:rsid w:val="002B099B"/>
    <w:rsid w:val="002B09F2"/>
    <w:rsid w:val="002B0D14"/>
    <w:rsid w:val="002B18B7"/>
    <w:rsid w:val="002B21F9"/>
    <w:rsid w:val="002B2920"/>
    <w:rsid w:val="002B2B3A"/>
    <w:rsid w:val="002B2EAA"/>
    <w:rsid w:val="002B3167"/>
    <w:rsid w:val="002B347F"/>
    <w:rsid w:val="002B3ED0"/>
    <w:rsid w:val="002B3FC9"/>
    <w:rsid w:val="002B4178"/>
    <w:rsid w:val="002B41B0"/>
    <w:rsid w:val="002B5437"/>
    <w:rsid w:val="002B5D4D"/>
    <w:rsid w:val="002B61AA"/>
    <w:rsid w:val="002B76A0"/>
    <w:rsid w:val="002B76FA"/>
    <w:rsid w:val="002B7E09"/>
    <w:rsid w:val="002B7E42"/>
    <w:rsid w:val="002C02FF"/>
    <w:rsid w:val="002C0638"/>
    <w:rsid w:val="002C066D"/>
    <w:rsid w:val="002C0BD2"/>
    <w:rsid w:val="002C0C29"/>
    <w:rsid w:val="002C13F3"/>
    <w:rsid w:val="002C2CF3"/>
    <w:rsid w:val="002C2D71"/>
    <w:rsid w:val="002C33B7"/>
    <w:rsid w:val="002C3BEF"/>
    <w:rsid w:val="002C41F5"/>
    <w:rsid w:val="002C54C3"/>
    <w:rsid w:val="002C5605"/>
    <w:rsid w:val="002C566B"/>
    <w:rsid w:val="002C5FA9"/>
    <w:rsid w:val="002C6295"/>
    <w:rsid w:val="002C6A4D"/>
    <w:rsid w:val="002C6CBB"/>
    <w:rsid w:val="002C7BE8"/>
    <w:rsid w:val="002D0D6E"/>
    <w:rsid w:val="002D2BA2"/>
    <w:rsid w:val="002D5342"/>
    <w:rsid w:val="002D7155"/>
    <w:rsid w:val="002D72DF"/>
    <w:rsid w:val="002E0954"/>
    <w:rsid w:val="002E0AF9"/>
    <w:rsid w:val="002E0C73"/>
    <w:rsid w:val="002E0D70"/>
    <w:rsid w:val="002E1804"/>
    <w:rsid w:val="002E1848"/>
    <w:rsid w:val="002E1AD5"/>
    <w:rsid w:val="002E1BB6"/>
    <w:rsid w:val="002E2DB1"/>
    <w:rsid w:val="002E3A47"/>
    <w:rsid w:val="002E541F"/>
    <w:rsid w:val="002E57BE"/>
    <w:rsid w:val="002E64C5"/>
    <w:rsid w:val="002E6775"/>
    <w:rsid w:val="002E6A8E"/>
    <w:rsid w:val="002E6D27"/>
    <w:rsid w:val="002F0889"/>
    <w:rsid w:val="002F0A0B"/>
    <w:rsid w:val="002F1005"/>
    <w:rsid w:val="002F2716"/>
    <w:rsid w:val="002F2E2B"/>
    <w:rsid w:val="002F3A96"/>
    <w:rsid w:val="002F66DB"/>
    <w:rsid w:val="002F7129"/>
    <w:rsid w:val="003007D6"/>
    <w:rsid w:val="00301312"/>
    <w:rsid w:val="00301E49"/>
    <w:rsid w:val="00301E7A"/>
    <w:rsid w:val="00302C5E"/>
    <w:rsid w:val="00303E71"/>
    <w:rsid w:val="003045C7"/>
    <w:rsid w:val="00304BB4"/>
    <w:rsid w:val="0030546B"/>
    <w:rsid w:val="0030614E"/>
    <w:rsid w:val="00306293"/>
    <w:rsid w:val="00306C88"/>
    <w:rsid w:val="00307808"/>
    <w:rsid w:val="003078E7"/>
    <w:rsid w:val="00307BEF"/>
    <w:rsid w:val="003101D1"/>
    <w:rsid w:val="003107A4"/>
    <w:rsid w:val="00311427"/>
    <w:rsid w:val="00311FE0"/>
    <w:rsid w:val="00312209"/>
    <w:rsid w:val="003125A6"/>
    <w:rsid w:val="003137C0"/>
    <w:rsid w:val="00316F40"/>
    <w:rsid w:val="00317918"/>
    <w:rsid w:val="0032103E"/>
    <w:rsid w:val="0032278A"/>
    <w:rsid w:val="003228EF"/>
    <w:rsid w:val="00324111"/>
    <w:rsid w:val="00324A33"/>
    <w:rsid w:val="00324ADA"/>
    <w:rsid w:val="003254F1"/>
    <w:rsid w:val="00325DDF"/>
    <w:rsid w:val="00326104"/>
    <w:rsid w:val="0032676F"/>
    <w:rsid w:val="00327D1D"/>
    <w:rsid w:val="00331229"/>
    <w:rsid w:val="003312B4"/>
    <w:rsid w:val="003312F3"/>
    <w:rsid w:val="00332491"/>
    <w:rsid w:val="003329B2"/>
    <w:rsid w:val="0033312A"/>
    <w:rsid w:val="003332D6"/>
    <w:rsid w:val="00334A6A"/>
    <w:rsid w:val="00334AD1"/>
    <w:rsid w:val="00334FF1"/>
    <w:rsid w:val="00335072"/>
    <w:rsid w:val="00335105"/>
    <w:rsid w:val="00336225"/>
    <w:rsid w:val="003374F3"/>
    <w:rsid w:val="003414F2"/>
    <w:rsid w:val="003421A7"/>
    <w:rsid w:val="0034249F"/>
    <w:rsid w:val="003427F5"/>
    <w:rsid w:val="00342E86"/>
    <w:rsid w:val="0034345F"/>
    <w:rsid w:val="0034461E"/>
    <w:rsid w:val="0034479E"/>
    <w:rsid w:val="00345096"/>
    <w:rsid w:val="00346F79"/>
    <w:rsid w:val="00347143"/>
    <w:rsid w:val="0034724F"/>
    <w:rsid w:val="003473E4"/>
    <w:rsid w:val="00347C2E"/>
    <w:rsid w:val="00347CDA"/>
    <w:rsid w:val="00350191"/>
    <w:rsid w:val="003528EE"/>
    <w:rsid w:val="00352C9A"/>
    <w:rsid w:val="0035346B"/>
    <w:rsid w:val="0035438D"/>
    <w:rsid w:val="0035457E"/>
    <w:rsid w:val="00354A71"/>
    <w:rsid w:val="00354B65"/>
    <w:rsid w:val="00354B91"/>
    <w:rsid w:val="00354FD8"/>
    <w:rsid w:val="00355B19"/>
    <w:rsid w:val="003561FD"/>
    <w:rsid w:val="003564CF"/>
    <w:rsid w:val="00356EA1"/>
    <w:rsid w:val="00360077"/>
    <w:rsid w:val="00361234"/>
    <w:rsid w:val="003616EE"/>
    <w:rsid w:val="003621C2"/>
    <w:rsid w:val="00362463"/>
    <w:rsid w:val="00363359"/>
    <w:rsid w:val="0036383F"/>
    <w:rsid w:val="00363FED"/>
    <w:rsid w:val="0036451A"/>
    <w:rsid w:val="00364C58"/>
    <w:rsid w:val="00364E83"/>
    <w:rsid w:val="00364FFF"/>
    <w:rsid w:val="0036514C"/>
    <w:rsid w:val="0036582E"/>
    <w:rsid w:val="003659B4"/>
    <w:rsid w:val="0036723F"/>
    <w:rsid w:val="00367555"/>
    <w:rsid w:val="003675C0"/>
    <w:rsid w:val="0037039C"/>
    <w:rsid w:val="003705A7"/>
    <w:rsid w:val="003707A6"/>
    <w:rsid w:val="00370E4B"/>
    <w:rsid w:val="00371F76"/>
    <w:rsid w:val="00371FA1"/>
    <w:rsid w:val="00371FE6"/>
    <w:rsid w:val="00372953"/>
    <w:rsid w:val="003732C0"/>
    <w:rsid w:val="00373711"/>
    <w:rsid w:val="00373852"/>
    <w:rsid w:val="00373EFF"/>
    <w:rsid w:val="003740D7"/>
    <w:rsid w:val="00374847"/>
    <w:rsid w:val="00375591"/>
    <w:rsid w:val="00375EEB"/>
    <w:rsid w:val="003766EB"/>
    <w:rsid w:val="003773FA"/>
    <w:rsid w:val="00377EEB"/>
    <w:rsid w:val="00381615"/>
    <w:rsid w:val="003820C2"/>
    <w:rsid w:val="00382539"/>
    <w:rsid w:val="00382AC1"/>
    <w:rsid w:val="00382B50"/>
    <w:rsid w:val="00382ED6"/>
    <w:rsid w:val="0038472E"/>
    <w:rsid w:val="00385189"/>
    <w:rsid w:val="00385259"/>
    <w:rsid w:val="0038576E"/>
    <w:rsid w:val="00385EA8"/>
    <w:rsid w:val="00386B44"/>
    <w:rsid w:val="003876C3"/>
    <w:rsid w:val="003878D4"/>
    <w:rsid w:val="00387D13"/>
    <w:rsid w:val="00390743"/>
    <w:rsid w:val="00390B1A"/>
    <w:rsid w:val="003912BF"/>
    <w:rsid w:val="003919C3"/>
    <w:rsid w:val="00391DB2"/>
    <w:rsid w:val="00391DBA"/>
    <w:rsid w:val="00392210"/>
    <w:rsid w:val="003922F7"/>
    <w:rsid w:val="0039255A"/>
    <w:rsid w:val="003930AC"/>
    <w:rsid w:val="003932F0"/>
    <w:rsid w:val="0039521E"/>
    <w:rsid w:val="00396F70"/>
    <w:rsid w:val="0039708B"/>
    <w:rsid w:val="0039709C"/>
    <w:rsid w:val="00397193"/>
    <w:rsid w:val="00397317"/>
    <w:rsid w:val="00397587"/>
    <w:rsid w:val="003A15E2"/>
    <w:rsid w:val="003A1AEC"/>
    <w:rsid w:val="003A1C6E"/>
    <w:rsid w:val="003A1E4D"/>
    <w:rsid w:val="003A1EA5"/>
    <w:rsid w:val="003A2325"/>
    <w:rsid w:val="003A3983"/>
    <w:rsid w:val="003A4281"/>
    <w:rsid w:val="003A44CE"/>
    <w:rsid w:val="003A6163"/>
    <w:rsid w:val="003A6340"/>
    <w:rsid w:val="003B0FCF"/>
    <w:rsid w:val="003B1962"/>
    <w:rsid w:val="003B1E32"/>
    <w:rsid w:val="003B2931"/>
    <w:rsid w:val="003B462F"/>
    <w:rsid w:val="003B54E9"/>
    <w:rsid w:val="003B766A"/>
    <w:rsid w:val="003B7EE2"/>
    <w:rsid w:val="003C0561"/>
    <w:rsid w:val="003C102A"/>
    <w:rsid w:val="003C1B15"/>
    <w:rsid w:val="003C23D1"/>
    <w:rsid w:val="003C324D"/>
    <w:rsid w:val="003C39FD"/>
    <w:rsid w:val="003C45B5"/>
    <w:rsid w:val="003C4B75"/>
    <w:rsid w:val="003C4F2A"/>
    <w:rsid w:val="003C58A9"/>
    <w:rsid w:val="003C58E2"/>
    <w:rsid w:val="003C5C51"/>
    <w:rsid w:val="003C5EBA"/>
    <w:rsid w:val="003C6D78"/>
    <w:rsid w:val="003D0073"/>
    <w:rsid w:val="003D04D5"/>
    <w:rsid w:val="003D13EC"/>
    <w:rsid w:val="003D18A3"/>
    <w:rsid w:val="003D2043"/>
    <w:rsid w:val="003D20A2"/>
    <w:rsid w:val="003D270A"/>
    <w:rsid w:val="003D3478"/>
    <w:rsid w:val="003D3525"/>
    <w:rsid w:val="003D40B2"/>
    <w:rsid w:val="003D4328"/>
    <w:rsid w:val="003D53A7"/>
    <w:rsid w:val="003D5522"/>
    <w:rsid w:val="003D5E6B"/>
    <w:rsid w:val="003D6782"/>
    <w:rsid w:val="003D6F56"/>
    <w:rsid w:val="003D75C0"/>
    <w:rsid w:val="003D7601"/>
    <w:rsid w:val="003D7D32"/>
    <w:rsid w:val="003E1423"/>
    <w:rsid w:val="003E144E"/>
    <w:rsid w:val="003E17A5"/>
    <w:rsid w:val="003E1BF8"/>
    <w:rsid w:val="003E1C26"/>
    <w:rsid w:val="003E1E5F"/>
    <w:rsid w:val="003E1F35"/>
    <w:rsid w:val="003E2CF8"/>
    <w:rsid w:val="003E4D30"/>
    <w:rsid w:val="003E5625"/>
    <w:rsid w:val="003E56BF"/>
    <w:rsid w:val="003E6253"/>
    <w:rsid w:val="003E682B"/>
    <w:rsid w:val="003E6D4D"/>
    <w:rsid w:val="003E708C"/>
    <w:rsid w:val="003E75ED"/>
    <w:rsid w:val="003E7AF0"/>
    <w:rsid w:val="003E7BBB"/>
    <w:rsid w:val="003E7C84"/>
    <w:rsid w:val="003F01A0"/>
    <w:rsid w:val="003F054C"/>
    <w:rsid w:val="003F0648"/>
    <w:rsid w:val="003F1C8C"/>
    <w:rsid w:val="003F2044"/>
    <w:rsid w:val="003F5203"/>
    <w:rsid w:val="003F56AE"/>
    <w:rsid w:val="003F5C0A"/>
    <w:rsid w:val="003F65F7"/>
    <w:rsid w:val="003F6756"/>
    <w:rsid w:val="003F6B80"/>
    <w:rsid w:val="00400295"/>
    <w:rsid w:val="00400520"/>
    <w:rsid w:val="004009E5"/>
    <w:rsid w:val="00401BEC"/>
    <w:rsid w:val="00401EC8"/>
    <w:rsid w:val="00402967"/>
    <w:rsid w:val="00402B02"/>
    <w:rsid w:val="00402B8C"/>
    <w:rsid w:val="00402CCA"/>
    <w:rsid w:val="00403C81"/>
    <w:rsid w:val="00403FD1"/>
    <w:rsid w:val="004053BB"/>
    <w:rsid w:val="00405593"/>
    <w:rsid w:val="00406371"/>
    <w:rsid w:val="00406554"/>
    <w:rsid w:val="00406BBE"/>
    <w:rsid w:val="004072F9"/>
    <w:rsid w:val="0040766A"/>
    <w:rsid w:val="004076F5"/>
    <w:rsid w:val="00410071"/>
    <w:rsid w:val="00410B0C"/>
    <w:rsid w:val="00410CC5"/>
    <w:rsid w:val="00410EFF"/>
    <w:rsid w:val="00411526"/>
    <w:rsid w:val="00411A06"/>
    <w:rsid w:val="00411BA7"/>
    <w:rsid w:val="00411CB8"/>
    <w:rsid w:val="00412D4F"/>
    <w:rsid w:val="004146C8"/>
    <w:rsid w:val="0041548C"/>
    <w:rsid w:val="00415F8A"/>
    <w:rsid w:val="00416B26"/>
    <w:rsid w:val="004206ED"/>
    <w:rsid w:val="00420C32"/>
    <w:rsid w:val="00420C50"/>
    <w:rsid w:val="00420CD2"/>
    <w:rsid w:val="0042123C"/>
    <w:rsid w:val="00421979"/>
    <w:rsid w:val="00421C8A"/>
    <w:rsid w:val="004221A5"/>
    <w:rsid w:val="004222EF"/>
    <w:rsid w:val="00422378"/>
    <w:rsid w:val="00422932"/>
    <w:rsid w:val="004229A9"/>
    <w:rsid w:val="004230CE"/>
    <w:rsid w:val="004251DD"/>
    <w:rsid w:val="00425298"/>
    <w:rsid w:val="004260D5"/>
    <w:rsid w:val="00426D07"/>
    <w:rsid w:val="00426FC8"/>
    <w:rsid w:val="00427482"/>
    <w:rsid w:val="00427C0A"/>
    <w:rsid w:val="00427DE6"/>
    <w:rsid w:val="00430038"/>
    <w:rsid w:val="00430420"/>
    <w:rsid w:val="0043085F"/>
    <w:rsid w:val="0043109C"/>
    <w:rsid w:val="004313F3"/>
    <w:rsid w:val="00431E0D"/>
    <w:rsid w:val="004322D3"/>
    <w:rsid w:val="00432584"/>
    <w:rsid w:val="00432B8F"/>
    <w:rsid w:val="00433EB4"/>
    <w:rsid w:val="004345EB"/>
    <w:rsid w:val="00434694"/>
    <w:rsid w:val="0043488A"/>
    <w:rsid w:val="0043509C"/>
    <w:rsid w:val="004364E7"/>
    <w:rsid w:val="00436500"/>
    <w:rsid w:val="0043660A"/>
    <w:rsid w:val="0043671F"/>
    <w:rsid w:val="00437370"/>
    <w:rsid w:val="00437BD9"/>
    <w:rsid w:val="00437E71"/>
    <w:rsid w:val="00440788"/>
    <w:rsid w:val="004408B9"/>
    <w:rsid w:val="00441230"/>
    <w:rsid w:val="00441939"/>
    <w:rsid w:val="0044226E"/>
    <w:rsid w:val="0044249F"/>
    <w:rsid w:val="0044279C"/>
    <w:rsid w:val="00442F66"/>
    <w:rsid w:val="0044414D"/>
    <w:rsid w:val="00444C4E"/>
    <w:rsid w:val="00445125"/>
    <w:rsid w:val="0044515E"/>
    <w:rsid w:val="00445AFE"/>
    <w:rsid w:val="00446946"/>
    <w:rsid w:val="00447255"/>
    <w:rsid w:val="00450169"/>
    <w:rsid w:val="0045099D"/>
    <w:rsid w:val="00450F67"/>
    <w:rsid w:val="00452D6A"/>
    <w:rsid w:val="00452E2E"/>
    <w:rsid w:val="00454BBC"/>
    <w:rsid w:val="0045596B"/>
    <w:rsid w:val="0045624C"/>
    <w:rsid w:val="004564AA"/>
    <w:rsid w:val="00456B18"/>
    <w:rsid w:val="00456EFE"/>
    <w:rsid w:val="00457F21"/>
    <w:rsid w:val="00460AC7"/>
    <w:rsid w:val="00460EC1"/>
    <w:rsid w:val="004614FF"/>
    <w:rsid w:val="0046164E"/>
    <w:rsid w:val="00461A4F"/>
    <w:rsid w:val="0046237A"/>
    <w:rsid w:val="0046283D"/>
    <w:rsid w:val="00463743"/>
    <w:rsid w:val="004642D8"/>
    <w:rsid w:val="004653F9"/>
    <w:rsid w:val="00466441"/>
    <w:rsid w:val="004667B7"/>
    <w:rsid w:val="00466C8A"/>
    <w:rsid w:val="00467B3E"/>
    <w:rsid w:val="0047045A"/>
    <w:rsid w:val="00470E0C"/>
    <w:rsid w:val="00471CC4"/>
    <w:rsid w:val="0047242C"/>
    <w:rsid w:val="00472959"/>
    <w:rsid w:val="004732AB"/>
    <w:rsid w:val="00473478"/>
    <w:rsid w:val="004739FA"/>
    <w:rsid w:val="00474237"/>
    <w:rsid w:val="004758E4"/>
    <w:rsid w:val="004762AA"/>
    <w:rsid w:val="00476E2D"/>
    <w:rsid w:val="00476F5F"/>
    <w:rsid w:val="00477191"/>
    <w:rsid w:val="004773F4"/>
    <w:rsid w:val="004777CE"/>
    <w:rsid w:val="00480ABD"/>
    <w:rsid w:val="00480CD2"/>
    <w:rsid w:val="00480FD4"/>
    <w:rsid w:val="0048100E"/>
    <w:rsid w:val="00481291"/>
    <w:rsid w:val="004814CE"/>
    <w:rsid w:val="00481C86"/>
    <w:rsid w:val="00482310"/>
    <w:rsid w:val="00482E3E"/>
    <w:rsid w:val="00482F7B"/>
    <w:rsid w:val="00483881"/>
    <w:rsid w:val="0048555C"/>
    <w:rsid w:val="00485722"/>
    <w:rsid w:val="00485C03"/>
    <w:rsid w:val="00485EE6"/>
    <w:rsid w:val="00486A9E"/>
    <w:rsid w:val="00487A5D"/>
    <w:rsid w:val="00487D8C"/>
    <w:rsid w:val="004911B3"/>
    <w:rsid w:val="004912C6"/>
    <w:rsid w:val="004914B4"/>
    <w:rsid w:val="0049153D"/>
    <w:rsid w:val="00491752"/>
    <w:rsid w:val="004917AA"/>
    <w:rsid w:val="004917D7"/>
    <w:rsid w:val="00492A21"/>
    <w:rsid w:val="00495AA9"/>
    <w:rsid w:val="004961D4"/>
    <w:rsid w:val="00496A04"/>
    <w:rsid w:val="00496DFE"/>
    <w:rsid w:val="00497029"/>
    <w:rsid w:val="004A059C"/>
    <w:rsid w:val="004A0841"/>
    <w:rsid w:val="004A1EC1"/>
    <w:rsid w:val="004A28AD"/>
    <w:rsid w:val="004A2F7E"/>
    <w:rsid w:val="004A37A4"/>
    <w:rsid w:val="004A4140"/>
    <w:rsid w:val="004A4255"/>
    <w:rsid w:val="004A4C58"/>
    <w:rsid w:val="004A5075"/>
    <w:rsid w:val="004A5595"/>
    <w:rsid w:val="004A578D"/>
    <w:rsid w:val="004A6BB3"/>
    <w:rsid w:val="004A7054"/>
    <w:rsid w:val="004A73B7"/>
    <w:rsid w:val="004A7521"/>
    <w:rsid w:val="004A7997"/>
    <w:rsid w:val="004B00F1"/>
    <w:rsid w:val="004B1167"/>
    <w:rsid w:val="004B14C1"/>
    <w:rsid w:val="004B1702"/>
    <w:rsid w:val="004B1BB8"/>
    <w:rsid w:val="004B2598"/>
    <w:rsid w:val="004B3A70"/>
    <w:rsid w:val="004B3A83"/>
    <w:rsid w:val="004B3DB0"/>
    <w:rsid w:val="004B5204"/>
    <w:rsid w:val="004B5219"/>
    <w:rsid w:val="004B53B9"/>
    <w:rsid w:val="004B59CC"/>
    <w:rsid w:val="004C10F7"/>
    <w:rsid w:val="004C120A"/>
    <w:rsid w:val="004C13C9"/>
    <w:rsid w:val="004C18F0"/>
    <w:rsid w:val="004C2DE8"/>
    <w:rsid w:val="004C33CD"/>
    <w:rsid w:val="004C4326"/>
    <w:rsid w:val="004C453B"/>
    <w:rsid w:val="004C4CDB"/>
    <w:rsid w:val="004C5918"/>
    <w:rsid w:val="004C5A3C"/>
    <w:rsid w:val="004C6218"/>
    <w:rsid w:val="004D006B"/>
    <w:rsid w:val="004D038C"/>
    <w:rsid w:val="004D0CA9"/>
    <w:rsid w:val="004D1898"/>
    <w:rsid w:val="004D1A1A"/>
    <w:rsid w:val="004D2B05"/>
    <w:rsid w:val="004D3300"/>
    <w:rsid w:val="004D376B"/>
    <w:rsid w:val="004D4B01"/>
    <w:rsid w:val="004D5294"/>
    <w:rsid w:val="004D68F7"/>
    <w:rsid w:val="004E008C"/>
    <w:rsid w:val="004E048D"/>
    <w:rsid w:val="004E0A26"/>
    <w:rsid w:val="004E101D"/>
    <w:rsid w:val="004E12EB"/>
    <w:rsid w:val="004E13CC"/>
    <w:rsid w:val="004E140A"/>
    <w:rsid w:val="004E1A1D"/>
    <w:rsid w:val="004E3A82"/>
    <w:rsid w:val="004E69C5"/>
    <w:rsid w:val="004E70D5"/>
    <w:rsid w:val="004E7537"/>
    <w:rsid w:val="004E75A3"/>
    <w:rsid w:val="004E75B6"/>
    <w:rsid w:val="004E77AE"/>
    <w:rsid w:val="004E7C48"/>
    <w:rsid w:val="004E7E94"/>
    <w:rsid w:val="004E7F41"/>
    <w:rsid w:val="004F07CA"/>
    <w:rsid w:val="004F088B"/>
    <w:rsid w:val="004F0917"/>
    <w:rsid w:val="004F0D46"/>
    <w:rsid w:val="004F1509"/>
    <w:rsid w:val="004F1972"/>
    <w:rsid w:val="004F25CB"/>
    <w:rsid w:val="004F26A5"/>
    <w:rsid w:val="004F3162"/>
    <w:rsid w:val="004F3E1E"/>
    <w:rsid w:val="004F4C40"/>
    <w:rsid w:val="004F502C"/>
    <w:rsid w:val="004F575C"/>
    <w:rsid w:val="004F6764"/>
    <w:rsid w:val="004F6DA4"/>
    <w:rsid w:val="004F6ED4"/>
    <w:rsid w:val="004F6F1A"/>
    <w:rsid w:val="004F70CC"/>
    <w:rsid w:val="005004D3"/>
    <w:rsid w:val="00500775"/>
    <w:rsid w:val="00500A44"/>
    <w:rsid w:val="00500DB4"/>
    <w:rsid w:val="0050114F"/>
    <w:rsid w:val="00501685"/>
    <w:rsid w:val="00501919"/>
    <w:rsid w:val="00501C6F"/>
    <w:rsid w:val="0050254A"/>
    <w:rsid w:val="00502D17"/>
    <w:rsid w:val="00502DB7"/>
    <w:rsid w:val="00503066"/>
    <w:rsid w:val="005037C2"/>
    <w:rsid w:val="00503F4C"/>
    <w:rsid w:val="00504C7C"/>
    <w:rsid w:val="00505014"/>
    <w:rsid w:val="00506AF0"/>
    <w:rsid w:val="00507D24"/>
    <w:rsid w:val="00510E24"/>
    <w:rsid w:val="005117E7"/>
    <w:rsid w:val="00511B06"/>
    <w:rsid w:val="0051237A"/>
    <w:rsid w:val="00512547"/>
    <w:rsid w:val="00512BCB"/>
    <w:rsid w:val="00512DE6"/>
    <w:rsid w:val="0051329C"/>
    <w:rsid w:val="005132A3"/>
    <w:rsid w:val="00513B00"/>
    <w:rsid w:val="00514621"/>
    <w:rsid w:val="00514A40"/>
    <w:rsid w:val="00515E93"/>
    <w:rsid w:val="00516749"/>
    <w:rsid w:val="00516B0A"/>
    <w:rsid w:val="0051711C"/>
    <w:rsid w:val="005175FF"/>
    <w:rsid w:val="00520D8F"/>
    <w:rsid w:val="00520FB1"/>
    <w:rsid w:val="00521CE1"/>
    <w:rsid w:val="00521D3F"/>
    <w:rsid w:val="00522468"/>
    <w:rsid w:val="00522641"/>
    <w:rsid w:val="00523E68"/>
    <w:rsid w:val="00524152"/>
    <w:rsid w:val="0052522D"/>
    <w:rsid w:val="00526D9B"/>
    <w:rsid w:val="005309BE"/>
    <w:rsid w:val="00531E9B"/>
    <w:rsid w:val="00532F41"/>
    <w:rsid w:val="00532F7E"/>
    <w:rsid w:val="005330DD"/>
    <w:rsid w:val="00533798"/>
    <w:rsid w:val="005338C4"/>
    <w:rsid w:val="00533D1D"/>
    <w:rsid w:val="0053443C"/>
    <w:rsid w:val="0053497D"/>
    <w:rsid w:val="0053525B"/>
    <w:rsid w:val="00535A2B"/>
    <w:rsid w:val="005363A1"/>
    <w:rsid w:val="00536B6A"/>
    <w:rsid w:val="0053720A"/>
    <w:rsid w:val="00537332"/>
    <w:rsid w:val="00537879"/>
    <w:rsid w:val="00540DFF"/>
    <w:rsid w:val="00541690"/>
    <w:rsid w:val="00541EB2"/>
    <w:rsid w:val="00543404"/>
    <w:rsid w:val="005438E8"/>
    <w:rsid w:val="005439C2"/>
    <w:rsid w:val="005444E7"/>
    <w:rsid w:val="00544B69"/>
    <w:rsid w:val="00544FE3"/>
    <w:rsid w:val="005452D5"/>
    <w:rsid w:val="0054574A"/>
    <w:rsid w:val="005461C8"/>
    <w:rsid w:val="00546D26"/>
    <w:rsid w:val="00546DE8"/>
    <w:rsid w:val="0054754B"/>
    <w:rsid w:val="00550A76"/>
    <w:rsid w:val="00550ED2"/>
    <w:rsid w:val="00550F76"/>
    <w:rsid w:val="00551457"/>
    <w:rsid w:val="00551E18"/>
    <w:rsid w:val="00551FE2"/>
    <w:rsid w:val="00552167"/>
    <w:rsid w:val="005523AA"/>
    <w:rsid w:val="005525E9"/>
    <w:rsid w:val="00554102"/>
    <w:rsid w:val="0055449D"/>
    <w:rsid w:val="00554647"/>
    <w:rsid w:val="00556507"/>
    <w:rsid w:val="005566C3"/>
    <w:rsid w:val="00557151"/>
    <w:rsid w:val="005611C8"/>
    <w:rsid w:val="00561EB0"/>
    <w:rsid w:val="005635DD"/>
    <w:rsid w:val="00563A17"/>
    <w:rsid w:val="00563A88"/>
    <w:rsid w:val="00563BBA"/>
    <w:rsid w:val="00563D89"/>
    <w:rsid w:val="0056453B"/>
    <w:rsid w:val="00564B54"/>
    <w:rsid w:val="00564F11"/>
    <w:rsid w:val="00565494"/>
    <w:rsid w:val="0056589B"/>
    <w:rsid w:val="00565EAB"/>
    <w:rsid w:val="0056778D"/>
    <w:rsid w:val="0057099D"/>
    <w:rsid w:val="00570A71"/>
    <w:rsid w:val="00570DA4"/>
    <w:rsid w:val="005725F0"/>
    <w:rsid w:val="00572D56"/>
    <w:rsid w:val="005734D9"/>
    <w:rsid w:val="0057417A"/>
    <w:rsid w:val="00574241"/>
    <w:rsid w:val="00574B00"/>
    <w:rsid w:val="00574B44"/>
    <w:rsid w:val="00576618"/>
    <w:rsid w:val="00576823"/>
    <w:rsid w:val="00577512"/>
    <w:rsid w:val="00577883"/>
    <w:rsid w:val="00580CF9"/>
    <w:rsid w:val="00580E43"/>
    <w:rsid w:val="00581534"/>
    <w:rsid w:val="00581FB1"/>
    <w:rsid w:val="00582A47"/>
    <w:rsid w:val="00583904"/>
    <w:rsid w:val="005848DF"/>
    <w:rsid w:val="005848F3"/>
    <w:rsid w:val="00584DF5"/>
    <w:rsid w:val="005850EA"/>
    <w:rsid w:val="0058696A"/>
    <w:rsid w:val="00586FD0"/>
    <w:rsid w:val="00590D57"/>
    <w:rsid w:val="00590EAC"/>
    <w:rsid w:val="00591624"/>
    <w:rsid w:val="00591BE2"/>
    <w:rsid w:val="00591EA8"/>
    <w:rsid w:val="00592B47"/>
    <w:rsid w:val="00592D18"/>
    <w:rsid w:val="005930B8"/>
    <w:rsid w:val="00594994"/>
    <w:rsid w:val="0059569E"/>
    <w:rsid w:val="00595E8A"/>
    <w:rsid w:val="005A00D0"/>
    <w:rsid w:val="005A06A6"/>
    <w:rsid w:val="005A07E4"/>
    <w:rsid w:val="005A0F3D"/>
    <w:rsid w:val="005A0FFC"/>
    <w:rsid w:val="005A1CC5"/>
    <w:rsid w:val="005A1D5F"/>
    <w:rsid w:val="005A312B"/>
    <w:rsid w:val="005A3626"/>
    <w:rsid w:val="005A4911"/>
    <w:rsid w:val="005A50AA"/>
    <w:rsid w:val="005A5283"/>
    <w:rsid w:val="005A6025"/>
    <w:rsid w:val="005A643C"/>
    <w:rsid w:val="005A6500"/>
    <w:rsid w:val="005A6693"/>
    <w:rsid w:val="005A764E"/>
    <w:rsid w:val="005B11FC"/>
    <w:rsid w:val="005B1525"/>
    <w:rsid w:val="005B1AE5"/>
    <w:rsid w:val="005B1D06"/>
    <w:rsid w:val="005B1E30"/>
    <w:rsid w:val="005B20AE"/>
    <w:rsid w:val="005B26DD"/>
    <w:rsid w:val="005B29B4"/>
    <w:rsid w:val="005B2C04"/>
    <w:rsid w:val="005B315F"/>
    <w:rsid w:val="005B3407"/>
    <w:rsid w:val="005B37D1"/>
    <w:rsid w:val="005B381F"/>
    <w:rsid w:val="005B3903"/>
    <w:rsid w:val="005B41C8"/>
    <w:rsid w:val="005B4FCD"/>
    <w:rsid w:val="005B5640"/>
    <w:rsid w:val="005B60E8"/>
    <w:rsid w:val="005B7E9B"/>
    <w:rsid w:val="005B7EB0"/>
    <w:rsid w:val="005C1E24"/>
    <w:rsid w:val="005C2698"/>
    <w:rsid w:val="005C4061"/>
    <w:rsid w:val="005C44C3"/>
    <w:rsid w:val="005C4E2C"/>
    <w:rsid w:val="005C5690"/>
    <w:rsid w:val="005C5E93"/>
    <w:rsid w:val="005C7493"/>
    <w:rsid w:val="005C752D"/>
    <w:rsid w:val="005C7C30"/>
    <w:rsid w:val="005D0E52"/>
    <w:rsid w:val="005D13B2"/>
    <w:rsid w:val="005D1512"/>
    <w:rsid w:val="005D18CB"/>
    <w:rsid w:val="005D1D5C"/>
    <w:rsid w:val="005D24D9"/>
    <w:rsid w:val="005D36F3"/>
    <w:rsid w:val="005D39C1"/>
    <w:rsid w:val="005D4BEC"/>
    <w:rsid w:val="005D51D8"/>
    <w:rsid w:val="005D5E18"/>
    <w:rsid w:val="005D6827"/>
    <w:rsid w:val="005D6B5C"/>
    <w:rsid w:val="005D7170"/>
    <w:rsid w:val="005D7428"/>
    <w:rsid w:val="005D7BCD"/>
    <w:rsid w:val="005D7E6A"/>
    <w:rsid w:val="005D7F73"/>
    <w:rsid w:val="005E0074"/>
    <w:rsid w:val="005E04BC"/>
    <w:rsid w:val="005E0C55"/>
    <w:rsid w:val="005E1449"/>
    <w:rsid w:val="005E15FE"/>
    <w:rsid w:val="005E1CBE"/>
    <w:rsid w:val="005E1E0C"/>
    <w:rsid w:val="005E293D"/>
    <w:rsid w:val="005E30A5"/>
    <w:rsid w:val="005E39F5"/>
    <w:rsid w:val="005E3CF1"/>
    <w:rsid w:val="005E43C8"/>
    <w:rsid w:val="005E47F7"/>
    <w:rsid w:val="005E4B92"/>
    <w:rsid w:val="005E6B5A"/>
    <w:rsid w:val="005E6C4A"/>
    <w:rsid w:val="005E6C54"/>
    <w:rsid w:val="005F02ED"/>
    <w:rsid w:val="005F0E77"/>
    <w:rsid w:val="005F2C56"/>
    <w:rsid w:val="005F3D70"/>
    <w:rsid w:val="005F3E20"/>
    <w:rsid w:val="005F4FE7"/>
    <w:rsid w:val="005F5863"/>
    <w:rsid w:val="005F5B87"/>
    <w:rsid w:val="005F5D6A"/>
    <w:rsid w:val="005F6574"/>
    <w:rsid w:val="005F6CA7"/>
    <w:rsid w:val="005F7951"/>
    <w:rsid w:val="00600A6E"/>
    <w:rsid w:val="00600EE9"/>
    <w:rsid w:val="0060152E"/>
    <w:rsid w:val="006025E0"/>
    <w:rsid w:val="006027A2"/>
    <w:rsid w:val="00603781"/>
    <w:rsid w:val="00604D90"/>
    <w:rsid w:val="00605998"/>
    <w:rsid w:val="00606363"/>
    <w:rsid w:val="006072E4"/>
    <w:rsid w:val="006077FC"/>
    <w:rsid w:val="00610729"/>
    <w:rsid w:val="0061078D"/>
    <w:rsid w:val="00610A33"/>
    <w:rsid w:val="00610D4B"/>
    <w:rsid w:val="00611241"/>
    <w:rsid w:val="00611A74"/>
    <w:rsid w:val="00611C69"/>
    <w:rsid w:val="00612232"/>
    <w:rsid w:val="00613D92"/>
    <w:rsid w:val="0061405D"/>
    <w:rsid w:val="006142CA"/>
    <w:rsid w:val="00614560"/>
    <w:rsid w:val="00614AED"/>
    <w:rsid w:val="00615465"/>
    <w:rsid w:val="006158B2"/>
    <w:rsid w:val="006165E7"/>
    <w:rsid w:val="00616D48"/>
    <w:rsid w:val="006173C0"/>
    <w:rsid w:val="00620CF5"/>
    <w:rsid w:val="00620DA4"/>
    <w:rsid w:val="006235CE"/>
    <w:rsid w:val="00623F62"/>
    <w:rsid w:val="00624312"/>
    <w:rsid w:val="0062435C"/>
    <w:rsid w:val="00624635"/>
    <w:rsid w:val="00624BD2"/>
    <w:rsid w:val="00626314"/>
    <w:rsid w:val="0062662D"/>
    <w:rsid w:val="006272BA"/>
    <w:rsid w:val="006277B6"/>
    <w:rsid w:val="0063024B"/>
    <w:rsid w:val="00630C4D"/>
    <w:rsid w:val="0063119E"/>
    <w:rsid w:val="006315D0"/>
    <w:rsid w:val="006316AE"/>
    <w:rsid w:val="00631AFA"/>
    <w:rsid w:val="00631EEA"/>
    <w:rsid w:val="006321CA"/>
    <w:rsid w:val="00632E9E"/>
    <w:rsid w:val="0063348D"/>
    <w:rsid w:val="006345B8"/>
    <w:rsid w:val="00634BB3"/>
    <w:rsid w:val="00634CF2"/>
    <w:rsid w:val="0063668D"/>
    <w:rsid w:val="00636B2B"/>
    <w:rsid w:val="006373D6"/>
    <w:rsid w:val="0063752B"/>
    <w:rsid w:val="00642248"/>
    <w:rsid w:val="0064272E"/>
    <w:rsid w:val="00642D12"/>
    <w:rsid w:val="0064334B"/>
    <w:rsid w:val="0064395F"/>
    <w:rsid w:val="00643C09"/>
    <w:rsid w:val="00644722"/>
    <w:rsid w:val="00645EC8"/>
    <w:rsid w:val="00646A43"/>
    <w:rsid w:val="00646FDF"/>
    <w:rsid w:val="0064763E"/>
    <w:rsid w:val="00647676"/>
    <w:rsid w:val="00647AC5"/>
    <w:rsid w:val="00647B1B"/>
    <w:rsid w:val="00650ACD"/>
    <w:rsid w:val="00650D94"/>
    <w:rsid w:val="00651928"/>
    <w:rsid w:val="00651B95"/>
    <w:rsid w:val="00652070"/>
    <w:rsid w:val="0065218E"/>
    <w:rsid w:val="00652968"/>
    <w:rsid w:val="006530C6"/>
    <w:rsid w:val="00653DEB"/>
    <w:rsid w:val="00653EE7"/>
    <w:rsid w:val="006540DE"/>
    <w:rsid w:val="00654E3D"/>
    <w:rsid w:val="00655213"/>
    <w:rsid w:val="006554B0"/>
    <w:rsid w:val="00656B7F"/>
    <w:rsid w:val="00657A27"/>
    <w:rsid w:val="00657CC5"/>
    <w:rsid w:val="00660A24"/>
    <w:rsid w:val="00660E6F"/>
    <w:rsid w:val="006614C6"/>
    <w:rsid w:val="00661878"/>
    <w:rsid w:val="006620C8"/>
    <w:rsid w:val="00662391"/>
    <w:rsid w:val="006626F9"/>
    <w:rsid w:val="00662EBF"/>
    <w:rsid w:val="00664198"/>
    <w:rsid w:val="006646A6"/>
    <w:rsid w:val="006660D5"/>
    <w:rsid w:val="0066654B"/>
    <w:rsid w:val="006665A7"/>
    <w:rsid w:val="00666AA3"/>
    <w:rsid w:val="00666C7A"/>
    <w:rsid w:val="0066707E"/>
    <w:rsid w:val="006703C0"/>
    <w:rsid w:val="00671200"/>
    <w:rsid w:val="0067420A"/>
    <w:rsid w:val="006751FD"/>
    <w:rsid w:val="006753EB"/>
    <w:rsid w:val="00676045"/>
    <w:rsid w:val="0067626D"/>
    <w:rsid w:val="006769E2"/>
    <w:rsid w:val="00676C91"/>
    <w:rsid w:val="006771B4"/>
    <w:rsid w:val="00677BAA"/>
    <w:rsid w:val="006803F9"/>
    <w:rsid w:val="0068080C"/>
    <w:rsid w:val="006829B7"/>
    <w:rsid w:val="00682FDB"/>
    <w:rsid w:val="006833BD"/>
    <w:rsid w:val="00683654"/>
    <w:rsid w:val="00685349"/>
    <w:rsid w:val="00685612"/>
    <w:rsid w:val="00685EA2"/>
    <w:rsid w:val="00686196"/>
    <w:rsid w:val="0068623C"/>
    <w:rsid w:val="00686600"/>
    <w:rsid w:val="00686A6C"/>
    <w:rsid w:val="00687430"/>
    <w:rsid w:val="00687BB8"/>
    <w:rsid w:val="00690CA6"/>
    <w:rsid w:val="00692C61"/>
    <w:rsid w:val="0069328C"/>
    <w:rsid w:val="0069344E"/>
    <w:rsid w:val="00693513"/>
    <w:rsid w:val="006935EF"/>
    <w:rsid w:val="00693CF5"/>
    <w:rsid w:val="00694D95"/>
    <w:rsid w:val="006950CB"/>
    <w:rsid w:val="0069522A"/>
    <w:rsid w:val="00695B3C"/>
    <w:rsid w:val="006960FD"/>
    <w:rsid w:val="006978DE"/>
    <w:rsid w:val="00697DC3"/>
    <w:rsid w:val="00697DED"/>
    <w:rsid w:val="006A0ADF"/>
    <w:rsid w:val="006A165F"/>
    <w:rsid w:val="006A187E"/>
    <w:rsid w:val="006A1F9B"/>
    <w:rsid w:val="006A2108"/>
    <w:rsid w:val="006A21F1"/>
    <w:rsid w:val="006A2AA4"/>
    <w:rsid w:val="006A2CA8"/>
    <w:rsid w:val="006A3067"/>
    <w:rsid w:val="006A51B4"/>
    <w:rsid w:val="006A5363"/>
    <w:rsid w:val="006A54B8"/>
    <w:rsid w:val="006A5BAE"/>
    <w:rsid w:val="006A5F29"/>
    <w:rsid w:val="006A678E"/>
    <w:rsid w:val="006A71E1"/>
    <w:rsid w:val="006A7C3C"/>
    <w:rsid w:val="006B0CA3"/>
    <w:rsid w:val="006B15D8"/>
    <w:rsid w:val="006B16C7"/>
    <w:rsid w:val="006B20CF"/>
    <w:rsid w:val="006B235F"/>
    <w:rsid w:val="006B25B4"/>
    <w:rsid w:val="006B285B"/>
    <w:rsid w:val="006B29A5"/>
    <w:rsid w:val="006B2C52"/>
    <w:rsid w:val="006B30FA"/>
    <w:rsid w:val="006B3175"/>
    <w:rsid w:val="006B345D"/>
    <w:rsid w:val="006B3D00"/>
    <w:rsid w:val="006B43D1"/>
    <w:rsid w:val="006B4406"/>
    <w:rsid w:val="006B5C55"/>
    <w:rsid w:val="006B6800"/>
    <w:rsid w:val="006B797B"/>
    <w:rsid w:val="006C10AD"/>
    <w:rsid w:val="006C1FE6"/>
    <w:rsid w:val="006C307D"/>
    <w:rsid w:val="006C362E"/>
    <w:rsid w:val="006C3FA2"/>
    <w:rsid w:val="006C4375"/>
    <w:rsid w:val="006C45D9"/>
    <w:rsid w:val="006C49CB"/>
    <w:rsid w:val="006C515E"/>
    <w:rsid w:val="006C5714"/>
    <w:rsid w:val="006C5862"/>
    <w:rsid w:val="006C5AEA"/>
    <w:rsid w:val="006C5FDC"/>
    <w:rsid w:val="006C6080"/>
    <w:rsid w:val="006C619E"/>
    <w:rsid w:val="006C6AB8"/>
    <w:rsid w:val="006C74E0"/>
    <w:rsid w:val="006C7F92"/>
    <w:rsid w:val="006D0F77"/>
    <w:rsid w:val="006D1C26"/>
    <w:rsid w:val="006D1D72"/>
    <w:rsid w:val="006D1E9C"/>
    <w:rsid w:val="006D3474"/>
    <w:rsid w:val="006D3C26"/>
    <w:rsid w:val="006D3FD3"/>
    <w:rsid w:val="006D3FD7"/>
    <w:rsid w:val="006D46E2"/>
    <w:rsid w:val="006D498C"/>
    <w:rsid w:val="006D4FB6"/>
    <w:rsid w:val="006D54A8"/>
    <w:rsid w:val="006D794D"/>
    <w:rsid w:val="006D7EFC"/>
    <w:rsid w:val="006E1A8C"/>
    <w:rsid w:val="006E200D"/>
    <w:rsid w:val="006E30E1"/>
    <w:rsid w:val="006E519C"/>
    <w:rsid w:val="006E54AD"/>
    <w:rsid w:val="006E5568"/>
    <w:rsid w:val="006E57C0"/>
    <w:rsid w:val="006E57E5"/>
    <w:rsid w:val="006E5996"/>
    <w:rsid w:val="006E5A80"/>
    <w:rsid w:val="006E6041"/>
    <w:rsid w:val="006E65D4"/>
    <w:rsid w:val="006E7BE6"/>
    <w:rsid w:val="006E7E0D"/>
    <w:rsid w:val="006F05F9"/>
    <w:rsid w:val="006F0F0B"/>
    <w:rsid w:val="006F291C"/>
    <w:rsid w:val="006F2CEE"/>
    <w:rsid w:val="006F2DE3"/>
    <w:rsid w:val="006F3969"/>
    <w:rsid w:val="006F3AE5"/>
    <w:rsid w:val="006F47E1"/>
    <w:rsid w:val="006F4898"/>
    <w:rsid w:val="006F585C"/>
    <w:rsid w:val="006F5B5E"/>
    <w:rsid w:val="006F5B85"/>
    <w:rsid w:val="006F5E5E"/>
    <w:rsid w:val="006F5F3D"/>
    <w:rsid w:val="006F6560"/>
    <w:rsid w:val="006F680D"/>
    <w:rsid w:val="006F6895"/>
    <w:rsid w:val="006F7606"/>
    <w:rsid w:val="006F7B1F"/>
    <w:rsid w:val="0070023E"/>
    <w:rsid w:val="00701207"/>
    <w:rsid w:val="007013FF"/>
    <w:rsid w:val="00702B14"/>
    <w:rsid w:val="00702F94"/>
    <w:rsid w:val="00703738"/>
    <w:rsid w:val="007042E8"/>
    <w:rsid w:val="007043DA"/>
    <w:rsid w:val="0070452A"/>
    <w:rsid w:val="00704A1A"/>
    <w:rsid w:val="00704CEE"/>
    <w:rsid w:val="00705740"/>
    <w:rsid w:val="0070599A"/>
    <w:rsid w:val="00705B72"/>
    <w:rsid w:val="0070604E"/>
    <w:rsid w:val="00706309"/>
    <w:rsid w:val="00707884"/>
    <w:rsid w:val="00707ECC"/>
    <w:rsid w:val="00710911"/>
    <w:rsid w:val="007119A9"/>
    <w:rsid w:val="0071239C"/>
    <w:rsid w:val="007132E8"/>
    <w:rsid w:val="007146B2"/>
    <w:rsid w:val="00714C35"/>
    <w:rsid w:val="00714EAB"/>
    <w:rsid w:val="00716A91"/>
    <w:rsid w:val="00716DF8"/>
    <w:rsid w:val="00717A40"/>
    <w:rsid w:val="0072053E"/>
    <w:rsid w:val="007205BE"/>
    <w:rsid w:val="007206C4"/>
    <w:rsid w:val="00720725"/>
    <w:rsid w:val="00720B88"/>
    <w:rsid w:val="00720C84"/>
    <w:rsid w:val="0072232B"/>
    <w:rsid w:val="0072335D"/>
    <w:rsid w:val="00724C0E"/>
    <w:rsid w:val="00725401"/>
    <w:rsid w:val="00726D4D"/>
    <w:rsid w:val="00727C73"/>
    <w:rsid w:val="00730E85"/>
    <w:rsid w:val="0073119C"/>
    <w:rsid w:val="00731935"/>
    <w:rsid w:val="00732140"/>
    <w:rsid w:val="00732C0C"/>
    <w:rsid w:val="0073422E"/>
    <w:rsid w:val="00734508"/>
    <w:rsid w:val="00734556"/>
    <w:rsid w:val="00734693"/>
    <w:rsid w:val="00734B40"/>
    <w:rsid w:val="007354C2"/>
    <w:rsid w:val="0073694B"/>
    <w:rsid w:val="00736D75"/>
    <w:rsid w:val="00737152"/>
    <w:rsid w:val="00737680"/>
    <w:rsid w:val="00740796"/>
    <w:rsid w:val="0074095A"/>
    <w:rsid w:val="00740C5F"/>
    <w:rsid w:val="007414DA"/>
    <w:rsid w:val="00741B02"/>
    <w:rsid w:val="007426CD"/>
    <w:rsid w:val="00742CC9"/>
    <w:rsid w:val="007441EC"/>
    <w:rsid w:val="00744B40"/>
    <w:rsid w:val="00744B48"/>
    <w:rsid w:val="00744E1E"/>
    <w:rsid w:val="0074580D"/>
    <w:rsid w:val="00745B9A"/>
    <w:rsid w:val="00745C81"/>
    <w:rsid w:val="00747208"/>
    <w:rsid w:val="007473A2"/>
    <w:rsid w:val="0074755F"/>
    <w:rsid w:val="00747C11"/>
    <w:rsid w:val="00747C99"/>
    <w:rsid w:val="00750029"/>
    <w:rsid w:val="007504E4"/>
    <w:rsid w:val="00750722"/>
    <w:rsid w:val="00751253"/>
    <w:rsid w:val="00751B9E"/>
    <w:rsid w:val="00752ABF"/>
    <w:rsid w:val="00753037"/>
    <w:rsid w:val="00755385"/>
    <w:rsid w:val="0075582A"/>
    <w:rsid w:val="00755B59"/>
    <w:rsid w:val="00755C64"/>
    <w:rsid w:val="00756E7D"/>
    <w:rsid w:val="00756EAC"/>
    <w:rsid w:val="00760208"/>
    <w:rsid w:val="00760723"/>
    <w:rsid w:val="007607E4"/>
    <w:rsid w:val="00760FE4"/>
    <w:rsid w:val="007610F8"/>
    <w:rsid w:val="007612E2"/>
    <w:rsid w:val="007615A7"/>
    <w:rsid w:val="00761865"/>
    <w:rsid w:val="00761A00"/>
    <w:rsid w:val="00762C60"/>
    <w:rsid w:val="00762D0D"/>
    <w:rsid w:val="00763911"/>
    <w:rsid w:val="00763C55"/>
    <w:rsid w:val="007646DE"/>
    <w:rsid w:val="00764798"/>
    <w:rsid w:val="00764B3C"/>
    <w:rsid w:val="00766432"/>
    <w:rsid w:val="00767614"/>
    <w:rsid w:val="007704CA"/>
    <w:rsid w:val="0077124C"/>
    <w:rsid w:val="00773859"/>
    <w:rsid w:val="0077406B"/>
    <w:rsid w:val="00774141"/>
    <w:rsid w:val="007757FD"/>
    <w:rsid w:val="00775A77"/>
    <w:rsid w:val="00775FF9"/>
    <w:rsid w:val="0077679B"/>
    <w:rsid w:val="007767F5"/>
    <w:rsid w:val="00776926"/>
    <w:rsid w:val="00776FAA"/>
    <w:rsid w:val="007773B6"/>
    <w:rsid w:val="00777F65"/>
    <w:rsid w:val="00780408"/>
    <w:rsid w:val="007807C1"/>
    <w:rsid w:val="00781832"/>
    <w:rsid w:val="007818A8"/>
    <w:rsid w:val="007830A1"/>
    <w:rsid w:val="00783568"/>
    <w:rsid w:val="00784ED1"/>
    <w:rsid w:val="007858FE"/>
    <w:rsid w:val="00785B65"/>
    <w:rsid w:val="00786782"/>
    <w:rsid w:val="00786928"/>
    <w:rsid w:val="00787723"/>
    <w:rsid w:val="00787E91"/>
    <w:rsid w:val="00787F35"/>
    <w:rsid w:val="00790BCF"/>
    <w:rsid w:val="0079133B"/>
    <w:rsid w:val="00791A01"/>
    <w:rsid w:val="00791C90"/>
    <w:rsid w:val="00791FC6"/>
    <w:rsid w:val="00792EF5"/>
    <w:rsid w:val="007930F9"/>
    <w:rsid w:val="007944C5"/>
    <w:rsid w:val="00795277"/>
    <w:rsid w:val="00795702"/>
    <w:rsid w:val="00795D1E"/>
    <w:rsid w:val="00796D01"/>
    <w:rsid w:val="00796E7C"/>
    <w:rsid w:val="00797359"/>
    <w:rsid w:val="00797AEB"/>
    <w:rsid w:val="00797C07"/>
    <w:rsid w:val="007A0233"/>
    <w:rsid w:val="007A1A11"/>
    <w:rsid w:val="007A1A89"/>
    <w:rsid w:val="007A2227"/>
    <w:rsid w:val="007A2600"/>
    <w:rsid w:val="007A2AEE"/>
    <w:rsid w:val="007A2DC0"/>
    <w:rsid w:val="007A2DFA"/>
    <w:rsid w:val="007A34CA"/>
    <w:rsid w:val="007A3B63"/>
    <w:rsid w:val="007A58B8"/>
    <w:rsid w:val="007A5A33"/>
    <w:rsid w:val="007A5DD3"/>
    <w:rsid w:val="007A6E34"/>
    <w:rsid w:val="007A6EDC"/>
    <w:rsid w:val="007A7643"/>
    <w:rsid w:val="007A7FF7"/>
    <w:rsid w:val="007B0060"/>
    <w:rsid w:val="007B0EEB"/>
    <w:rsid w:val="007B1A78"/>
    <w:rsid w:val="007B3354"/>
    <w:rsid w:val="007B5A4A"/>
    <w:rsid w:val="007B5DC1"/>
    <w:rsid w:val="007B634F"/>
    <w:rsid w:val="007B6DB4"/>
    <w:rsid w:val="007B7FD9"/>
    <w:rsid w:val="007C049D"/>
    <w:rsid w:val="007C19FD"/>
    <w:rsid w:val="007C1D71"/>
    <w:rsid w:val="007C1F84"/>
    <w:rsid w:val="007C3D8D"/>
    <w:rsid w:val="007C3FA4"/>
    <w:rsid w:val="007C3FA8"/>
    <w:rsid w:val="007C4061"/>
    <w:rsid w:val="007C446B"/>
    <w:rsid w:val="007C45F8"/>
    <w:rsid w:val="007C4645"/>
    <w:rsid w:val="007C4747"/>
    <w:rsid w:val="007C4B71"/>
    <w:rsid w:val="007C5E4A"/>
    <w:rsid w:val="007C661F"/>
    <w:rsid w:val="007C6944"/>
    <w:rsid w:val="007C6F00"/>
    <w:rsid w:val="007D004D"/>
    <w:rsid w:val="007D018F"/>
    <w:rsid w:val="007D04E0"/>
    <w:rsid w:val="007D0D38"/>
    <w:rsid w:val="007D0F65"/>
    <w:rsid w:val="007D143C"/>
    <w:rsid w:val="007D144A"/>
    <w:rsid w:val="007D15E5"/>
    <w:rsid w:val="007D15F4"/>
    <w:rsid w:val="007D2088"/>
    <w:rsid w:val="007D2454"/>
    <w:rsid w:val="007D28A6"/>
    <w:rsid w:val="007D3063"/>
    <w:rsid w:val="007D339C"/>
    <w:rsid w:val="007D3888"/>
    <w:rsid w:val="007D4E4E"/>
    <w:rsid w:val="007D4E4F"/>
    <w:rsid w:val="007D521B"/>
    <w:rsid w:val="007D61E3"/>
    <w:rsid w:val="007D6316"/>
    <w:rsid w:val="007D64C8"/>
    <w:rsid w:val="007D6BD6"/>
    <w:rsid w:val="007D730E"/>
    <w:rsid w:val="007D73C9"/>
    <w:rsid w:val="007DAF08"/>
    <w:rsid w:val="007E175D"/>
    <w:rsid w:val="007E1E9A"/>
    <w:rsid w:val="007E237C"/>
    <w:rsid w:val="007E32E3"/>
    <w:rsid w:val="007E387C"/>
    <w:rsid w:val="007E4FA0"/>
    <w:rsid w:val="007E5301"/>
    <w:rsid w:val="007E56E0"/>
    <w:rsid w:val="007E5EE6"/>
    <w:rsid w:val="007E654D"/>
    <w:rsid w:val="007E6625"/>
    <w:rsid w:val="007E679A"/>
    <w:rsid w:val="007E7607"/>
    <w:rsid w:val="007E7F34"/>
    <w:rsid w:val="007F0F38"/>
    <w:rsid w:val="007F130F"/>
    <w:rsid w:val="007F13ED"/>
    <w:rsid w:val="007F1CC9"/>
    <w:rsid w:val="007F1D09"/>
    <w:rsid w:val="007F2442"/>
    <w:rsid w:val="007F2458"/>
    <w:rsid w:val="007F3099"/>
    <w:rsid w:val="007F37BB"/>
    <w:rsid w:val="007F3A42"/>
    <w:rsid w:val="007F3A53"/>
    <w:rsid w:val="007F3B04"/>
    <w:rsid w:val="007F3D33"/>
    <w:rsid w:val="007F3D59"/>
    <w:rsid w:val="007F43BB"/>
    <w:rsid w:val="007F4D42"/>
    <w:rsid w:val="007F61F2"/>
    <w:rsid w:val="007F69F0"/>
    <w:rsid w:val="007F6EC7"/>
    <w:rsid w:val="007F737D"/>
    <w:rsid w:val="007F738C"/>
    <w:rsid w:val="008000D9"/>
    <w:rsid w:val="00800D79"/>
    <w:rsid w:val="00802C24"/>
    <w:rsid w:val="00803A80"/>
    <w:rsid w:val="00803D5B"/>
    <w:rsid w:val="008043B6"/>
    <w:rsid w:val="00804A7C"/>
    <w:rsid w:val="008056C8"/>
    <w:rsid w:val="008065CF"/>
    <w:rsid w:val="008076C2"/>
    <w:rsid w:val="00807912"/>
    <w:rsid w:val="00807B5F"/>
    <w:rsid w:val="00807D6D"/>
    <w:rsid w:val="00807EE7"/>
    <w:rsid w:val="008113EB"/>
    <w:rsid w:val="00812914"/>
    <w:rsid w:val="008133EE"/>
    <w:rsid w:val="00813966"/>
    <w:rsid w:val="008139BC"/>
    <w:rsid w:val="00814ED9"/>
    <w:rsid w:val="00815615"/>
    <w:rsid w:val="00815929"/>
    <w:rsid w:val="0081693E"/>
    <w:rsid w:val="008200AB"/>
    <w:rsid w:val="0082125E"/>
    <w:rsid w:val="0082184E"/>
    <w:rsid w:val="00821E20"/>
    <w:rsid w:val="00821E50"/>
    <w:rsid w:val="00821F05"/>
    <w:rsid w:val="008227DB"/>
    <w:rsid w:val="0082287F"/>
    <w:rsid w:val="008231EF"/>
    <w:rsid w:val="0082394D"/>
    <w:rsid w:val="00823AEC"/>
    <w:rsid w:val="00823CE2"/>
    <w:rsid w:val="00825375"/>
    <w:rsid w:val="00826156"/>
    <w:rsid w:val="00826A34"/>
    <w:rsid w:val="0082792C"/>
    <w:rsid w:val="00827ED0"/>
    <w:rsid w:val="00830007"/>
    <w:rsid w:val="00830619"/>
    <w:rsid w:val="00830AA2"/>
    <w:rsid w:val="00830D77"/>
    <w:rsid w:val="008322B9"/>
    <w:rsid w:val="00832E8D"/>
    <w:rsid w:val="0083332D"/>
    <w:rsid w:val="00833341"/>
    <w:rsid w:val="00833CE4"/>
    <w:rsid w:val="00834862"/>
    <w:rsid w:val="00834A49"/>
    <w:rsid w:val="00834C4D"/>
    <w:rsid w:val="00835C75"/>
    <w:rsid w:val="008360BF"/>
    <w:rsid w:val="00837D50"/>
    <w:rsid w:val="00840DE2"/>
    <w:rsid w:val="008418B1"/>
    <w:rsid w:val="00841B8A"/>
    <w:rsid w:val="008421A7"/>
    <w:rsid w:val="00842C3F"/>
    <w:rsid w:val="008430CE"/>
    <w:rsid w:val="0084381C"/>
    <w:rsid w:val="008440D9"/>
    <w:rsid w:val="0084461F"/>
    <w:rsid w:val="008447D5"/>
    <w:rsid w:val="00844D08"/>
    <w:rsid w:val="00844DF4"/>
    <w:rsid w:val="00844F56"/>
    <w:rsid w:val="00845178"/>
    <w:rsid w:val="0084557C"/>
    <w:rsid w:val="00846188"/>
    <w:rsid w:val="00846CAA"/>
    <w:rsid w:val="00847828"/>
    <w:rsid w:val="00850150"/>
    <w:rsid w:val="00850392"/>
    <w:rsid w:val="008509A7"/>
    <w:rsid w:val="008527E3"/>
    <w:rsid w:val="00852F9B"/>
    <w:rsid w:val="008536A9"/>
    <w:rsid w:val="00853869"/>
    <w:rsid w:val="008549A1"/>
    <w:rsid w:val="0085500A"/>
    <w:rsid w:val="008553C6"/>
    <w:rsid w:val="008553F9"/>
    <w:rsid w:val="008554F6"/>
    <w:rsid w:val="0085624F"/>
    <w:rsid w:val="00856403"/>
    <w:rsid w:val="00857128"/>
    <w:rsid w:val="00857859"/>
    <w:rsid w:val="0086084D"/>
    <w:rsid w:val="00860F1D"/>
    <w:rsid w:val="00860FA4"/>
    <w:rsid w:val="00861B1F"/>
    <w:rsid w:val="00861C79"/>
    <w:rsid w:val="00862A70"/>
    <w:rsid w:val="00862FD0"/>
    <w:rsid w:val="00863B45"/>
    <w:rsid w:val="00864E4D"/>
    <w:rsid w:val="00864E68"/>
    <w:rsid w:val="00865099"/>
    <w:rsid w:val="00865538"/>
    <w:rsid w:val="00865783"/>
    <w:rsid w:val="00866812"/>
    <w:rsid w:val="00866CB5"/>
    <w:rsid w:val="00866EF2"/>
    <w:rsid w:val="0086719C"/>
    <w:rsid w:val="00867460"/>
    <w:rsid w:val="008675C0"/>
    <w:rsid w:val="00867CBD"/>
    <w:rsid w:val="008705A4"/>
    <w:rsid w:val="00870709"/>
    <w:rsid w:val="008708AC"/>
    <w:rsid w:val="008711DF"/>
    <w:rsid w:val="008715EC"/>
    <w:rsid w:val="00871792"/>
    <w:rsid w:val="008717D9"/>
    <w:rsid w:val="00871E96"/>
    <w:rsid w:val="00873F81"/>
    <w:rsid w:val="0087418A"/>
    <w:rsid w:val="008741C8"/>
    <w:rsid w:val="0087471A"/>
    <w:rsid w:val="0087518A"/>
    <w:rsid w:val="00875ABF"/>
    <w:rsid w:val="008768E6"/>
    <w:rsid w:val="00876B91"/>
    <w:rsid w:val="00877951"/>
    <w:rsid w:val="0087D113"/>
    <w:rsid w:val="008806DD"/>
    <w:rsid w:val="00880B75"/>
    <w:rsid w:val="00880D06"/>
    <w:rsid w:val="00880E30"/>
    <w:rsid w:val="00880FB6"/>
    <w:rsid w:val="008818A9"/>
    <w:rsid w:val="00881C98"/>
    <w:rsid w:val="0088207A"/>
    <w:rsid w:val="00882C7A"/>
    <w:rsid w:val="008831CD"/>
    <w:rsid w:val="008854A5"/>
    <w:rsid w:val="00885DAE"/>
    <w:rsid w:val="00885E44"/>
    <w:rsid w:val="008871DC"/>
    <w:rsid w:val="008908B4"/>
    <w:rsid w:val="00891FEA"/>
    <w:rsid w:val="008921FC"/>
    <w:rsid w:val="00892FA7"/>
    <w:rsid w:val="0089314C"/>
    <w:rsid w:val="00893757"/>
    <w:rsid w:val="00893EE4"/>
    <w:rsid w:val="008940D0"/>
    <w:rsid w:val="00894FDE"/>
    <w:rsid w:val="00896836"/>
    <w:rsid w:val="00896B36"/>
    <w:rsid w:val="0089754C"/>
    <w:rsid w:val="00897E2F"/>
    <w:rsid w:val="008A063F"/>
    <w:rsid w:val="008A08B2"/>
    <w:rsid w:val="008A0DB1"/>
    <w:rsid w:val="008A14DE"/>
    <w:rsid w:val="008A1CC6"/>
    <w:rsid w:val="008A20EF"/>
    <w:rsid w:val="008A23B5"/>
    <w:rsid w:val="008A2477"/>
    <w:rsid w:val="008A26E1"/>
    <w:rsid w:val="008A280F"/>
    <w:rsid w:val="008A6131"/>
    <w:rsid w:val="008A69D9"/>
    <w:rsid w:val="008A716F"/>
    <w:rsid w:val="008A7212"/>
    <w:rsid w:val="008A78A8"/>
    <w:rsid w:val="008A7B8C"/>
    <w:rsid w:val="008A7DF0"/>
    <w:rsid w:val="008B01A9"/>
    <w:rsid w:val="008B0D48"/>
    <w:rsid w:val="008B10EF"/>
    <w:rsid w:val="008B1822"/>
    <w:rsid w:val="008B1A82"/>
    <w:rsid w:val="008B4824"/>
    <w:rsid w:val="008B5216"/>
    <w:rsid w:val="008B73DD"/>
    <w:rsid w:val="008C0C3F"/>
    <w:rsid w:val="008C173A"/>
    <w:rsid w:val="008C1F07"/>
    <w:rsid w:val="008C27B3"/>
    <w:rsid w:val="008C2BCC"/>
    <w:rsid w:val="008C3235"/>
    <w:rsid w:val="008C360B"/>
    <w:rsid w:val="008C43B5"/>
    <w:rsid w:val="008C4578"/>
    <w:rsid w:val="008C498E"/>
    <w:rsid w:val="008C4C54"/>
    <w:rsid w:val="008C5A11"/>
    <w:rsid w:val="008C5B7B"/>
    <w:rsid w:val="008C6115"/>
    <w:rsid w:val="008C72AC"/>
    <w:rsid w:val="008D0D5F"/>
    <w:rsid w:val="008D1221"/>
    <w:rsid w:val="008D1A14"/>
    <w:rsid w:val="008D2813"/>
    <w:rsid w:val="008D48AE"/>
    <w:rsid w:val="008D506E"/>
    <w:rsid w:val="008D5939"/>
    <w:rsid w:val="008D7CC0"/>
    <w:rsid w:val="008E15C7"/>
    <w:rsid w:val="008E271B"/>
    <w:rsid w:val="008E27AE"/>
    <w:rsid w:val="008E2A91"/>
    <w:rsid w:val="008E2CF2"/>
    <w:rsid w:val="008E3FDF"/>
    <w:rsid w:val="008E4DF7"/>
    <w:rsid w:val="008E53F1"/>
    <w:rsid w:val="008E5678"/>
    <w:rsid w:val="008E571B"/>
    <w:rsid w:val="008E7681"/>
    <w:rsid w:val="008F0830"/>
    <w:rsid w:val="008F08CE"/>
    <w:rsid w:val="008F21ED"/>
    <w:rsid w:val="008F3F02"/>
    <w:rsid w:val="008F3FB0"/>
    <w:rsid w:val="008F4548"/>
    <w:rsid w:val="008F4765"/>
    <w:rsid w:val="008F5AE3"/>
    <w:rsid w:val="008F6D2C"/>
    <w:rsid w:val="009010D4"/>
    <w:rsid w:val="0090165E"/>
    <w:rsid w:val="009023BA"/>
    <w:rsid w:val="009023EA"/>
    <w:rsid w:val="009023ED"/>
    <w:rsid w:val="00902539"/>
    <w:rsid w:val="0090284A"/>
    <w:rsid w:val="00902FDE"/>
    <w:rsid w:val="00903C08"/>
    <w:rsid w:val="0090517B"/>
    <w:rsid w:val="0090527F"/>
    <w:rsid w:val="00905765"/>
    <w:rsid w:val="00906B6E"/>
    <w:rsid w:val="00906E61"/>
    <w:rsid w:val="00906FF0"/>
    <w:rsid w:val="00907172"/>
    <w:rsid w:val="00907721"/>
    <w:rsid w:val="00910237"/>
    <w:rsid w:val="009104C9"/>
    <w:rsid w:val="00910624"/>
    <w:rsid w:val="009123DF"/>
    <w:rsid w:val="00912444"/>
    <w:rsid w:val="00912CFB"/>
    <w:rsid w:val="009139CE"/>
    <w:rsid w:val="00913E44"/>
    <w:rsid w:val="0091401F"/>
    <w:rsid w:val="009148D6"/>
    <w:rsid w:val="00914CEF"/>
    <w:rsid w:val="00915A46"/>
    <w:rsid w:val="00916214"/>
    <w:rsid w:val="00916967"/>
    <w:rsid w:val="00916FE7"/>
    <w:rsid w:val="0091777D"/>
    <w:rsid w:val="00917D52"/>
    <w:rsid w:val="00917E64"/>
    <w:rsid w:val="0092082B"/>
    <w:rsid w:val="00920C49"/>
    <w:rsid w:val="0092130F"/>
    <w:rsid w:val="0092153B"/>
    <w:rsid w:val="00921E40"/>
    <w:rsid w:val="009220BF"/>
    <w:rsid w:val="00922416"/>
    <w:rsid w:val="0092248C"/>
    <w:rsid w:val="009224D2"/>
    <w:rsid w:val="00922753"/>
    <w:rsid w:val="00922ED6"/>
    <w:rsid w:val="0092309D"/>
    <w:rsid w:val="00923A20"/>
    <w:rsid w:val="00923BF8"/>
    <w:rsid w:val="00923C53"/>
    <w:rsid w:val="00924932"/>
    <w:rsid w:val="00924C83"/>
    <w:rsid w:val="0092551A"/>
    <w:rsid w:val="00927245"/>
    <w:rsid w:val="009276EA"/>
    <w:rsid w:val="00927A92"/>
    <w:rsid w:val="009315DB"/>
    <w:rsid w:val="009316BE"/>
    <w:rsid w:val="00931BE6"/>
    <w:rsid w:val="00932A07"/>
    <w:rsid w:val="00933E9B"/>
    <w:rsid w:val="0093439D"/>
    <w:rsid w:val="0093465D"/>
    <w:rsid w:val="009353D6"/>
    <w:rsid w:val="00935D26"/>
    <w:rsid w:val="009366CE"/>
    <w:rsid w:val="00936A57"/>
    <w:rsid w:val="00940294"/>
    <w:rsid w:val="009402D8"/>
    <w:rsid w:val="00940509"/>
    <w:rsid w:val="00941160"/>
    <w:rsid w:val="00942529"/>
    <w:rsid w:val="00942605"/>
    <w:rsid w:val="009427EC"/>
    <w:rsid w:val="00942A00"/>
    <w:rsid w:val="00942DA6"/>
    <w:rsid w:val="00943282"/>
    <w:rsid w:val="00943A1A"/>
    <w:rsid w:val="009442F8"/>
    <w:rsid w:val="00946C1E"/>
    <w:rsid w:val="00947341"/>
    <w:rsid w:val="00947A04"/>
    <w:rsid w:val="0095182B"/>
    <w:rsid w:val="0095185F"/>
    <w:rsid w:val="009520AC"/>
    <w:rsid w:val="00952321"/>
    <w:rsid w:val="00953036"/>
    <w:rsid w:val="00953F49"/>
    <w:rsid w:val="009546F6"/>
    <w:rsid w:val="00954F4E"/>
    <w:rsid w:val="00956B95"/>
    <w:rsid w:val="00957136"/>
    <w:rsid w:val="00960725"/>
    <w:rsid w:val="00961102"/>
    <w:rsid w:val="009617E8"/>
    <w:rsid w:val="00963DE0"/>
    <w:rsid w:val="00964F28"/>
    <w:rsid w:val="0096539D"/>
    <w:rsid w:val="00965A30"/>
    <w:rsid w:val="00965B0C"/>
    <w:rsid w:val="00966FCF"/>
    <w:rsid w:val="009674B2"/>
    <w:rsid w:val="00970DFC"/>
    <w:rsid w:val="00971C7B"/>
    <w:rsid w:val="00971E71"/>
    <w:rsid w:val="0097217C"/>
    <w:rsid w:val="00972E0C"/>
    <w:rsid w:val="009730CF"/>
    <w:rsid w:val="00974493"/>
    <w:rsid w:val="00974BDE"/>
    <w:rsid w:val="00974D85"/>
    <w:rsid w:val="0097538B"/>
    <w:rsid w:val="009758E2"/>
    <w:rsid w:val="0097633F"/>
    <w:rsid w:val="00976BA7"/>
    <w:rsid w:val="00977A54"/>
    <w:rsid w:val="0098073F"/>
    <w:rsid w:val="00981DE4"/>
    <w:rsid w:val="00982295"/>
    <w:rsid w:val="009831D6"/>
    <w:rsid w:val="00984225"/>
    <w:rsid w:val="009847A2"/>
    <w:rsid w:val="00984B50"/>
    <w:rsid w:val="00984E73"/>
    <w:rsid w:val="0098508A"/>
    <w:rsid w:val="0098545B"/>
    <w:rsid w:val="00986239"/>
    <w:rsid w:val="0098644A"/>
    <w:rsid w:val="0098666D"/>
    <w:rsid w:val="009871B7"/>
    <w:rsid w:val="009877B3"/>
    <w:rsid w:val="009879EA"/>
    <w:rsid w:val="00990305"/>
    <w:rsid w:val="00991180"/>
    <w:rsid w:val="00991BCF"/>
    <w:rsid w:val="009923B8"/>
    <w:rsid w:val="009925E4"/>
    <w:rsid w:val="009928F1"/>
    <w:rsid w:val="00992DDA"/>
    <w:rsid w:val="00993E69"/>
    <w:rsid w:val="009947C6"/>
    <w:rsid w:val="00995F4E"/>
    <w:rsid w:val="009961F4"/>
    <w:rsid w:val="00997147"/>
    <w:rsid w:val="00997E36"/>
    <w:rsid w:val="009A1480"/>
    <w:rsid w:val="009A17C4"/>
    <w:rsid w:val="009A1E91"/>
    <w:rsid w:val="009A2CF4"/>
    <w:rsid w:val="009A3F5F"/>
    <w:rsid w:val="009A4EC4"/>
    <w:rsid w:val="009A5071"/>
    <w:rsid w:val="009A52A3"/>
    <w:rsid w:val="009A58D8"/>
    <w:rsid w:val="009A7998"/>
    <w:rsid w:val="009A7A9E"/>
    <w:rsid w:val="009B0A91"/>
    <w:rsid w:val="009B0CDE"/>
    <w:rsid w:val="009B1D47"/>
    <w:rsid w:val="009B2155"/>
    <w:rsid w:val="009B276F"/>
    <w:rsid w:val="009B2C30"/>
    <w:rsid w:val="009B3AD8"/>
    <w:rsid w:val="009B41AE"/>
    <w:rsid w:val="009B4B92"/>
    <w:rsid w:val="009B57C7"/>
    <w:rsid w:val="009B57F2"/>
    <w:rsid w:val="009B5ABC"/>
    <w:rsid w:val="009B5AD9"/>
    <w:rsid w:val="009B683C"/>
    <w:rsid w:val="009C0DC9"/>
    <w:rsid w:val="009C1526"/>
    <w:rsid w:val="009C1B65"/>
    <w:rsid w:val="009C2474"/>
    <w:rsid w:val="009C2707"/>
    <w:rsid w:val="009C3969"/>
    <w:rsid w:val="009C4BAB"/>
    <w:rsid w:val="009C5470"/>
    <w:rsid w:val="009C54B2"/>
    <w:rsid w:val="009C582D"/>
    <w:rsid w:val="009C5F07"/>
    <w:rsid w:val="009C719E"/>
    <w:rsid w:val="009D18C5"/>
    <w:rsid w:val="009D2253"/>
    <w:rsid w:val="009D2450"/>
    <w:rsid w:val="009D2C69"/>
    <w:rsid w:val="009D43EB"/>
    <w:rsid w:val="009D4444"/>
    <w:rsid w:val="009D49A1"/>
    <w:rsid w:val="009D4A8F"/>
    <w:rsid w:val="009D52AF"/>
    <w:rsid w:val="009D5E17"/>
    <w:rsid w:val="009D60B6"/>
    <w:rsid w:val="009D618F"/>
    <w:rsid w:val="009D6FBE"/>
    <w:rsid w:val="009D73A1"/>
    <w:rsid w:val="009E04CC"/>
    <w:rsid w:val="009E088B"/>
    <w:rsid w:val="009E0BCC"/>
    <w:rsid w:val="009E116A"/>
    <w:rsid w:val="009E1636"/>
    <w:rsid w:val="009E2386"/>
    <w:rsid w:val="009E27B8"/>
    <w:rsid w:val="009E34B7"/>
    <w:rsid w:val="009E358F"/>
    <w:rsid w:val="009E363F"/>
    <w:rsid w:val="009E3E4F"/>
    <w:rsid w:val="009E49B9"/>
    <w:rsid w:val="009E509B"/>
    <w:rsid w:val="009E553E"/>
    <w:rsid w:val="009E5D07"/>
    <w:rsid w:val="009E5D95"/>
    <w:rsid w:val="009E5E01"/>
    <w:rsid w:val="009E60C9"/>
    <w:rsid w:val="009E6D6C"/>
    <w:rsid w:val="009E78FF"/>
    <w:rsid w:val="009F00E2"/>
    <w:rsid w:val="009F171E"/>
    <w:rsid w:val="009F2999"/>
    <w:rsid w:val="009F2AEE"/>
    <w:rsid w:val="009F2BF7"/>
    <w:rsid w:val="009F3BA2"/>
    <w:rsid w:val="009F3F64"/>
    <w:rsid w:val="009F5253"/>
    <w:rsid w:val="009F645F"/>
    <w:rsid w:val="009F69DB"/>
    <w:rsid w:val="009F6BDB"/>
    <w:rsid w:val="009F6F92"/>
    <w:rsid w:val="009F7469"/>
    <w:rsid w:val="009F7656"/>
    <w:rsid w:val="009F7ADA"/>
    <w:rsid w:val="009F7ED0"/>
    <w:rsid w:val="00A00BD3"/>
    <w:rsid w:val="00A00DC9"/>
    <w:rsid w:val="00A01477"/>
    <w:rsid w:val="00A0245B"/>
    <w:rsid w:val="00A02BD4"/>
    <w:rsid w:val="00A0392E"/>
    <w:rsid w:val="00A03F0C"/>
    <w:rsid w:val="00A04D5F"/>
    <w:rsid w:val="00A04F69"/>
    <w:rsid w:val="00A0556B"/>
    <w:rsid w:val="00A05AE4"/>
    <w:rsid w:val="00A0618D"/>
    <w:rsid w:val="00A0685F"/>
    <w:rsid w:val="00A06971"/>
    <w:rsid w:val="00A1002A"/>
    <w:rsid w:val="00A104D2"/>
    <w:rsid w:val="00A10A3F"/>
    <w:rsid w:val="00A11401"/>
    <w:rsid w:val="00A11E41"/>
    <w:rsid w:val="00A12149"/>
    <w:rsid w:val="00A133AA"/>
    <w:rsid w:val="00A134C3"/>
    <w:rsid w:val="00A138A7"/>
    <w:rsid w:val="00A1442C"/>
    <w:rsid w:val="00A16A24"/>
    <w:rsid w:val="00A1756D"/>
    <w:rsid w:val="00A178F7"/>
    <w:rsid w:val="00A17CB7"/>
    <w:rsid w:val="00A215FA"/>
    <w:rsid w:val="00A224C4"/>
    <w:rsid w:val="00A22DDB"/>
    <w:rsid w:val="00A2334F"/>
    <w:rsid w:val="00A243BB"/>
    <w:rsid w:val="00A25349"/>
    <w:rsid w:val="00A2579F"/>
    <w:rsid w:val="00A26BA6"/>
    <w:rsid w:val="00A26DBF"/>
    <w:rsid w:val="00A272C4"/>
    <w:rsid w:val="00A272C9"/>
    <w:rsid w:val="00A30808"/>
    <w:rsid w:val="00A32B4F"/>
    <w:rsid w:val="00A33245"/>
    <w:rsid w:val="00A3476F"/>
    <w:rsid w:val="00A34C79"/>
    <w:rsid w:val="00A355AD"/>
    <w:rsid w:val="00A35771"/>
    <w:rsid w:val="00A358CE"/>
    <w:rsid w:val="00A35A1F"/>
    <w:rsid w:val="00A3631A"/>
    <w:rsid w:val="00A37329"/>
    <w:rsid w:val="00A376A1"/>
    <w:rsid w:val="00A37D86"/>
    <w:rsid w:val="00A401DC"/>
    <w:rsid w:val="00A4059C"/>
    <w:rsid w:val="00A40962"/>
    <w:rsid w:val="00A412B4"/>
    <w:rsid w:val="00A418C7"/>
    <w:rsid w:val="00A42AE8"/>
    <w:rsid w:val="00A42DA9"/>
    <w:rsid w:val="00A4540B"/>
    <w:rsid w:val="00A45668"/>
    <w:rsid w:val="00A46186"/>
    <w:rsid w:val="00A46B61"/>
    <w:rsid w:val="00A471AD"/>
    <w:rsid w:val="00A472C0"/>
    <w:rsid w:val="00A47391"/>
    <w:rsid w:val="00A473CB"/>
    <w:rsid w:val="00A47638"/>
    <w:rsid w:val="00A47944"/>
    <w:rsid w:val="00A47C2E"/>
    <w:rsid w:val="00A506C0"/>
    <w:rsid w:val="00A50E52"/>
    <w:rsid w:val="00A510C8"/>
    <w:rsid w:val="00A5198C"/>
    <w:rsid w:val="00A524A8"/>
    <w:rsid w:val="00A524F9"/>
    <w:rsid w:val="00A52628"/>
    <w:rsid w:val="00A526A4"/>
    <w:rsid w:val="00A52966"/>
    <w:rsid w:val="00A529E6"/>
    <w:rsid w:val="00A5387E"/>
    <w:rsid w:val="00A53D9F"/>
    <w:rsid w:val="00A541A0"/>
    <w:rsid w:val="00A5471F"/>
    <w:rsid w:val="00A54F0D"/>
    <w:rsid w:val="00A55B6F"/>
    <w:rsid w:val="00A5641D"/>
    <w:rsid w:val="00A568AE"/>
    <w:rsid w:val="00A57975"/>
    <w:rsid w:val="00A6017E"/>
    <w:rsid w:val="00A601A7"/>
    <w:rsid w:val="00A609C3"/>
    <w:rsid w:val="00A633AD"/>
    <w:rsid w:val="00A63C87"/>
    <w:rsid w:val="00A63DB3"/>
    <w:rsid w:val="00A63DC0"/>
    <w:rsid w:val="00A64652"/>
    <w:rsid w:val="00A650AF"/>
    <w:rsid w:val="00A65835"/>
    <w:rsid w:val="00A65B3B"/>
    <w:rsid w:val="00A65E4A"/>
    <w:rsid w:val="00A6606E"/>
    <w:rsid w:val="00A6670A"/>
    <w:rsid w:val="00A6681B"/>
    <w:rsid w:val="00A71972"/>
    <w:rsid w:val="00A71CC8"/>
    <w:rsid w:val="00A72593"/>
    <w:rsid w:val="00A728E3"/>
    <w:rsid w:val="00A72CDF"/>
    <w:rsid w:val="00A72E39"/>
    <w:rsid w:val="00A73C56"/>
    <w:rsid w:val="00A73E5B"/>
    <w:rsid w:val="00A742FB"/>
    <w:rsid w:val="00A7511A"/>
    <w:rsid w:val="00A752EB"/>
    <w:rsid w:val="00A75B85"/>
    <w:rsid w:val="00A76D2D"/>
    <w:rsid w:val="00A800E7"/>
    <w:rsid w:val="00A80163"/>
    <w:rsid w:val="00A80FC7"/>
    <w:rsid w:val="00A81291"/>
    <w:rsid w:val="00A81DB5"/>
    <w:rsid w:val="00A81F76"/>
    <w:rsid w:val="00A82643"/>
    <w:rsid w:val="00A8299C"/>
    <w:rsid w:val="00A83D9E"/>
    <w:rsid w:val="00A85D65"/>
    <w:rsid w:val="00A86492"/>
    <w:rsid w:val="00A86717"/>
    <w:rsid w:val="00A867AD"/>
    <w:rsid w:val="00A904C8"/>
    <w:rsid w:val="00A904D0"/>
    <w:rsid w:val="00A9147B"/>
    <w:rsid w:val="00A914CD"/>
    <w:rsid w:val="00A91A78"/>
    <w:rsid w:val="00A91EF6"/>
    <w:rsid w:val="00A92420"/>
    <w:rsid w:val="00A927B6"/>
    <w:rsid w:val="00A927CA"/>
    <w:rsid w:val="00A9301A"/>
    <w:rsid w:val="00A930B8"/>
    <w:rsid w:val="00A936CA"/>
    <w:rsid w:val="00A93E85"/>
    <w:rsid w:val="00A944CA"/>
    <w:rsid w:val="00A94638"/>
    <w:rsid w:val="00A94EDE"/>
    <w:rsid w:val="00A94F36"/>
    <w:rsid w:val="00A95651"/>
    <w:rsid w:val="00A95700"/>
    <w:rsid w:val="00A95DF7"/>
    <w:rsid w:val="00A97053"/>
    <w:rsid w:val="00A97354"/>
    <w:rsid w:val="00A9743B"/>
    <w:rsid w:val="00A9765E"/>
    <w:rsid w:val="00AA1D46"/>
    <w:rsid w:val="00AA2280"/>
    <w:rsid w:val="00AA28C5"/>
    <w:rsid w:val="00AA298F"/>
    <w:rsid w:val="00AA2E9C"/>
    <w:rsid w:val="00AA3156"/>
    <w:rsid w:val="00AA33AA"/>
    <w:rsid w:val="00AA3CAA"/>
    <w:rsid w:val="00AA597D"/>
    <w:rsid w:val="00AA5A39"/>
    <w:rsid w:val="00AA6759"/>
    <w:rsid w:val="00AA690C"/>
    <w:rsid w:val="00AA6916"/>
    <w:rsid w:val="00AA6E02"/>
    <w:rsid w:val="00AA705D"/>
    <w:rsid w:val="00AA7282"/>
    <w:rsid w:val="00AA7C59"/>
    <w:rsid w:val="00AB0658"/>
    <w:rsid w:val="00AB1654"/>
    <w:rsid w:val="00AB1B59"/>
    <w:rsid w:val="00AB1D19"/>
    <w:rsid w:val="00AB34C6"/>
    <w:rsid w:val="00AB3ABC"/>
    <w:rsid w:val="00AB51DA"/>
    <w:rsid w:val="00AB6BE8"/>
    <w:rsid w:val="00AC0CC9"/>
    <w:rsid w:val="00AC11E0"/>
    <w:rsid w:val="00AC1FE8"/>
    <w:rsid w:val="00AC236A"/>
    <w:rsid w:val="00AC2495"/>
    <w:rsid w:val="00AC24B3"/>
    <w:rsid w:val="00AC24C3"/>
    <w:rsid w:val="00AC35ED"/>
    <w:rsid w:val="00AC497F"/>
    <w:rsid w:val="00AC51FD"/>
    <w:rsid w:val="00AC5FD0"/>
    <w:rsid w:val="00AC6166"/>
    <w:rsid w:val="00AC707E"/>
    <w:rsid w:val="00AD19D1"/>
    <w:rsid w:val="00AD2559"/>
    <w:rsid w:val="00AD2B9F"/>
    <w:rsid w:val="00AD317E"/>
    <w:rsid w:val="00AD33FC"/>
    <w:rsid w:val="00AD34CA"/>
    <w:rsid w:val="00AD353C"/>
    <w:rsid w:val="00AD39AA"/>
    <w:rsid w:val="00AD3C47"/>
    <w:rsid w:val="00AD3F29"/>
    <w:rsid w:val="00AD3FB5"/>
    <w:rsid w:val="00AD3FF3"/>
    <w:rsid w:val="00AD525E"/>
    <w:rsid w:val="00AD5FDB"/>
    <w:rsid w:val="00AD616A"/>
    <w:rsid w:val="00AD619A"/>
    <w:rsid w:val="00AD69BD"/>
    <w:rsid w:val="00AD7260"/>
    <w:rsid w:val="00AE0AF5"/>
    <w:rsid w:val="00AE0B91"/>
    <w:rsid w:val="00AE1078"/>
    <w:rsid w:val="00AE1558"/>
    <w:rsid w:val="00AE200D"/>
    <w:rsid w:val="00AE2662"/>
    <w:rsid w:val="00AE2E19"/>
    <w:rsid w:val="00AE3D54"/>
    <w:rsid w:val="00AE408C"/>
    <w:rsid w:val="00AE4853"/>
    <w:rsid w:val="00AE5243"/>
    <w:rsid w:val="00AE5854"/>
    <w:rsid w:val="00AE5D5A"/>
    <w:rsid w:val="00AE61A0"/>
    <w:rsid w:val="00AE690D"/>
    <w:rsid w:val="00AE6942"/>
    <w:rsid w:val="00AE788E"/>
    <w:rsid w:val="00AF0217"/>
    <w:rsid w:val="00AF023A"/>
    <w:rsid w:val="00AF05F2"/>
    <w:rsid w:val="00AF070D"/>
    <w:rsid w:val="00AF11C6"/>
    <w:rsid w:val="00AF232C"/>
    <w:rsid w:val="00AF2D49"/>
    <w:rsid w:val="00AF3461"/>
    <w:rsid w:val="00AF362D"/>
    <w:rsid w:val="00AF3F0C"/>
    <w:rsid w:val="00AF3F7E"/>
    <w:rsid w:val="00AF45D6"/>
    <w:rsid w:val="00AF4C76"/>
    <w:rsid w:val="00AF589D"/>
    <w:rsid w:val="00AF63B9"/>
    <w:rsid w:val="00AF6C4E"/>
    <w:rsid w:val="00AF7459"/>
    <w:rsid w:val="00B004DD"/>
    <w:rsid w:val="00B00D62"/>
    <w:rsid w:val="00B029B8"/>
    <w:rsid w:val="00B0348A"/>
    <w:rsid w:val="00B03680"/>
    <w:rsid w:val="00B04029"/>
    <w:rsid w:val="00B05036"/>
    <w:rsid w:val="00B0549A"/>
    <w:rsid w:val="00B0610B"/>
    <w:rsid w:val="00B067B3"/>
    <w:rsid w:val="00B0687B"/>
    <w:rsid w:val="00B06AD3"/>
    <w:rsid w:val="00B07708"/>
    <w:rsid w:val="00B07C21"/>
    <w:rsid w:val="00B07D1A"/>
    <w:rsid w:val="00B105C1"/>
    <w:rsid w:val="00B107DC"/>
    <w:rsid w:val="00B10BA9"/>
    <w:rsid w:val="00B10C76"/>
    <w:rsid w:val="00B11405"/>
    <w:rsid w:val="00B1181A"/>
    <w:rsid w:val="00B11BB1"/>
    <w:rsid w:val="00B11BE3"/>
    <w:rsid w:val="00B11E30"/>
    <w:rsid w:val="00B123BD"/>
    <w:rsid w:val="00B12682"/>
    <w:rsid w:val="00B1268D"/>
    <w:rsid w:val="00B12B76"/>
    <w:rsid w:val="00B1308F"/>
    <w:rsid w:val="00B13E66"/>
    <w:rsid w:val="00B1438C"/>
    <w:rsid w:val="00B15387"/>
    <w:rsid w:val="00B15599"/>
    <w:rsid w:val="00B15836"/>
    <w:rsid w:val="00B16C45"/>
    <w:rsid w:val="00B1736D"/>
    <w:rsid w:val="00B20168"/>
    <w:rsid w:val="00B20A26"/>
    <w:rsid w:val="00B2208B"/>
    <w:rsid w:val="00B223B3"/>
    <w:rsid w:val="00B24033"/>
    <w:rsid w:val="00B2469A"/>
    <w:rsid w:val="00B25087"/>
    <w:rsid w:val="00B2551F"/>
    <w:rsid w:val="00B25563"/>
    <w:rsid w:val="00B25F49"/>
    <w:rsid w:val="00B26937"/>
    <w:rsid w:val="00B26B09"/>
    <w:rsid w:val="00B26BDB"/>
    <w:rsid w:val="00B26C30"/>
    <w:rsid w:val="00B27D02"/>
    <w:rsid w:val="00B30035"/>
    <w:rsid w:val="00B30639"/>
    <w:rsid w:val="00B310F7"/>
    <w:rsid w:val="00B31480"/>
    <w:rsid w:val="00B31813"/>
    <w:rsid w:val="00B319FB"/>
    <w:rsid w:val="00B33B36"/>
    <w:rsid w:val="00B35B57"/>
    <w:rsid w:val="00B36DF7"/>
    <w:rsid w:val="00B37924"/>
    <w:rsid w:val="00B37AA9"/>
    <w:rsid w:val="00B40F59"/>
    <w:rsid w:val="00B41D8B"/>
    <w:rsid w:val="00B430DA"/>
    <w:rsid w:val="00B430F3"/>
    <w:rsid w:val="00B4365C"/>
    <w:rsid w:val="00B43984"/>
    <w:rsid w:val="00B43BA7"/>
    <w:rsid w:val="00B449F1"/>
    <w:rsid w:val="00B45531"/>
    <w:rsid w:val="00B457EF"/>
    <w:rsid w:val="00B464A0"/>
    <w:rsid w:val="00B46E66"/>
    <w:rsid w:val="00B46EF0"/>
    <w:rsid w:val="00B474F4"/>
    <w:rsid w:val="00B477D6"/>
    <w:rsid w:val="00B47F9E"/>
    <w:rsid w:val="00B50AFD"/>
    <w:rsid w:val="00B50F1F"/>
    <w:rsid w:val="00B51FB7"/>
    <w:rsid w:val="00B52D70"/>
    <w:rsid w:val="00B53183"/>
    <w:rsid w:val="00B53257"/>
    <w:rsid w:val="00B533EA"/>
    <w:rsid w:val="00B549C1"/>
    <w:rsid w:val="00B55084"/>
    <w:rsid w:val="00B5599C"/>
    <w:rsid w:val="00B55D01"/>
    <w:rsid w:val="00B560B4"/>
    <w:rsid w:val="00B5629E"/>
    <w:rsid w:val="00B56BF8"/>
    <w:rsid w:val="00B56DDF"/>
    <w:rsid w:val="00B604A5"/>
    <w:rsid w:val="00B605B6"/>
    <w:rsid w:val="00B6117F"/>
    <w:rsid w:val="00B611F5"/>
    <w:rsid w:val="00B612C8"/>
    <w:rsid w:val="00B62F57"/>
    <w:rsid w:val="00B62F91"/>
    <w:rsid w:val="00B63593"/>
    <w:rsid w:val="00B65125"/>
    <w:rsid w:val="00B659E5"/>
    <w:rsid w:val="00B663F6"/>
    <w:rsid w:val="00B664E0"/>
    <w:rsid w:val="00B671C1"/>
    <w:rsid w:val="00B67814"/>
    <w:rsid w:val="00B6788F"/>
    <w:rsid w:val="00B70060"/>
    <w:rsid w:val="00B70157"/>
    <w:rsid w:val="00B70C5A"/>
    <w:rsid w:val="00B70F66"/>
    <w:rsid w:val="00B7180C"/>
    <w:rsid w:val="00B7237F"/>
    <w:rsid w:val="00B72FE5"/>
    <w:rsid w:val="00B736A8"/>
    <w:rsid w:val="00B74067"/>
    <w:rsid w:val="00B742C5"/>
    <w:rsid w:val="00B7491B"/>
    <w:rsid w:val="00B74E37"/>
    <w:rsid w:val="00B75FD9"/>
    <w:rsid w:val="00B76590"/>
    <w:rsid w:val="00B768C4"/>
    <w:rsid w:val="00B76A5D"/>
    <w:rsid w:val="00B76E64"/>
    <w:rsid w:val="00B76F44"/>
    <w:rsid w:val="00B77610"/>
    <w:rsid w:val="00B800A8"/>
    <w:rsid w:val="00B8047B"/>
    <w:rsid w:val="00B81B50"/>
    <w:rsid w:val="00B83F7B"/>
    <w:rsid w:val="00B83FEE"/>
    <w:rsid w:val="00B84575"/>
    <w:rsid w:val="00B85974"/>
    <w:rsid w:val="00B86304"/>
    <w:rsid w:val="00B86F63"/>
    <w:rsid w:val="00B86FF6"/>
    <w:rsid w:val="00B87443"/>
    <w:rsid w:val="00B87DCD"/>
    <w:rsid w:val="00B91650"/>
    <w:rsid w:val="00B91B19"/>
    <w:rsid w:val="00B938B2"/>
    <w:rsid w:val="00B93BAE"/>
    <w:rsid w:val="00B93C98"/>
    <w:rsid w:val="00B93F9F"/>
    <w:rsid w:val="00B9412A"/>
    <w:rsid w:val="00B94907"/>
    <w:rsid w:val="00B94AD6"/>
    <w:rsid w:val="00B958B8"/>
    <w:rsid w:val="00B965A9"/>
    <w:rsid w:val="00B97944"/>
    <w:rsid w:val="00BA0B9E"/>
    <w:rsid w:val="00BA13FC"/>
    <w:rsid w:val="00BA17CF"/>
    <w:rsid w:val="00BA180A"/>
    <w:rsid w:val="00BA1B75"/>
    <w:rsid w:val="00BA1E92"/>
    <w:rsid w:val="00BA470F"/>
    <w:rsid w:val="00BA57D8"/>
    <w:rsid w:val="00BA5A82"/>
    <w:rsid w:val="00BA5C8F"/>
    <w:rsid w:val="00BA6358"/>
    <w:rsid w:val="00BA6888"/>
    <w:rsid w:val="00BA7488"/>
    <w:rsid w:val="00BB08EB"/>
    <w:rsid w:val="00BB0DB2"/>
    <w:rsid w:val="00BB1280"/>
    <w:rsid w:val="00BB159F"/>
    <w:rsid w:val="00BB16D1"/>
    <w:rsid w:val="00BB1A45"/>
    <w:rsid w:val="00BB1A8E"/>
    <w:rsid w:val="00BB24F6"/>
    <w:rsid w:val="00BB2616"/>
    <w:rsid w:val="00BB2790"/>
    <w:rsid w:val="00BB2B55"/>
    <w:rsid w:val="00BB2DAB"/>
    <w:rsid w:val="00BB32BC"/>
    <w:rsid w:val="00BB3741"/>
    <w:rsid w:val="00BB41F9"/>
    <w:rsid w:val="00BB4223"/>
    <w:rsid w:val="00BB459F"/>
    <w:rsid w:val="00BB4D2F"/>
    <w:rsid w:val="00BB4E46"/>
    <w:rsid w:val="00BB56C6"/>
    <w:rsid w:val="00BB645E"/>
    <w:rsid w:val="00BB651C"/>
    <w:rsid w:val="00BB6839"/>
    <w:rsid w:val="00BB7474"/>
    <w:rsid w:val="00BB7D26"/>
    <w:rsid w:val="00BB7FD1"/>
    <w:rsid w:val="00BC1424"/>
    <w:rsid w:val="00BC1BD8"/>
    <w:rsid w:val="00BC211F"/>
    <w:rsid w:val="00BC22A0"/>
    <w:rsid w:val="00BC2FEC"/>
    <w:rsid w:val="00BC3496"/>
    <w:rsid w:val="00BC34A5"/>
    <w:rsid w:val="00BC3899"/>
    <w:rsid w:val="00BC3D7C"/>
    <w:rsid w:val="00BC5438"/>
    <w:rsid w:val="00BC5938"/>
    <w:rsid w:val="00BC687D"/>
    <w:rsid w:val="00BD1B07"/>
    <w:rsid w:val="00BD1DFC"/>
    <w:rsid w:val="00BD1E29"/>
    <w:rsid w:val="00BD21FF"/>
    <w:rsid w:val="00BD241E"/>
    <w:rsid w:val="00BD2D09"/>
    <w:rsid w:val="00BD368E"/>
    <w:rsid w:val="00BD38D5"/>
    <w:rsid w:val="00BD43F4"/>
    <w:rsid w:val="00BD4539"/>
    <w:rsid w:val="00BD51FC"/>
    <w:rsid w:val="00BD57D5"/>
    <w:rsid w:val="00BD5921"/>
    <w:rsid w:val="00BD72CB"/>
    <w:rsid w:val="00BD734C"/>
    <w:rsid w:val="00BE0249"/>
    <w:rsid w:val="00BE10DF"/>
    <w:rsid w:val="00BE194C"/>
    <w:rsid w:val="00BE20B5"/>
    <w:rsid w:val="00BE228F"/>
    <w:rsid w:val="00BE2668"/>
    <w:rsid w:val="00BE2A0D"/>
    <w:rsid w:val="00BE3111"/>
    <w:rsid w:val="00BE3AB0"/>
    <w:rsid w:val="00BE3C83"/>
    <w:rsid w:val="00BE4345"/>
    <w:rsid w:val="00BE5C62"/>
    <w:rsid w:val="00BE6653"/>
    <w:rsid w:val="00BE68A3"/>
    <w:rsid w:val="00BE70A9"/>
    <w:rsid w:val="00BF0002"/>
    <w:rsid w:val="00BF0B8B"/>
    <w:rsid w:val="00BF26E9"/>
    <w:rsid w:val="00BF2A1D"/>
    <w:rsid w:val="00BF3CF1"/>
    <w:rsid w:val="00BF49C4"/>
    <w:rsid w:val="00BF591C"/>
    <w:rsid w:val="00BF61B9"/>
    <w:rsid w:val="00BF6766"/>
    <w:rsid w:val="00BF6898"/>
    <w:rsid w:val="00BF6AA1"/>
    <w:rsid w:val="00BF72DC"/>
    <w:rsid w:val="00C009F4"/>
    <w:rsid w:val="00C00F91"/>
    <w:rsid w:val="00C017FC"/>
    <w:rsid w:val="00C033AE"/>
    <w:rsid w:val="00C04198"/>
    <w:rsid w:val="00C04345"/>
    <w:rsid w:val="00C0435E"/>
    <w:rsid w:val="00C05367"/>
    <w:rsid w:val="00C053E5"/>
    <w:rsid w:val="00C068E7"/>
    <w:rsid w:val="00C0690D"/>
    <w:rsid w:val="00C07FAA"/>
    <w:rsid w:val="00C104C6"/>
    <w:rsid w:val="00C11EA7"/>
    <w:rsid w:val="00C14EE6"/>
    <w:rsid w:val="00C14F0F"/>
    <w:rsid w:val="00C15A52"/>
    <w:rsid w:val="00C164AF"/>
    <w:rsid w:val="00C17A6A"/>
    <w:rsid w:val="00C17CAD"/>
    <w:rsid w:val="00C17E2A"/>
    <w:rsid w:val="00C22A24"/>
    <w:rsid w:val="00C22B7E"/>
    <w:rsid w:val="00C22DAB"/>
    <w:rsid w:val="00C230BC"/>
    <w:rsid w:val="00C23366"/>
    <w:rsid w:val="00C23457"/>
    <w:rsid w:val="00C23C49"/>
    <w:rsid w:val="00C23D39"/>
    <w:rsid w:val="00C23F2F"/>
    <w:rsid w:val="00C24693"/>
    <w:rsid w:val="00C24853"/>
    <w:rsid w:val="00C25106"/>
    <w:rsid w:val="00C25123"/>
    <w:rsid w:val="00C26339"/>
    <w:rsid w:val="00C268DC"/>
    <w:rsid w:val="00C26D8D"/>
    <w:rsid w:val="00C27112"/>
    <w:rsid w:val="00C2711E"/>
    <w:rsid w:val="00C31996"/>
    <w:rsid w:val="00C31E7F"/>
    <w:rsid w:val="00C32753"/>
    <w:rsid w:val="00C328D2"/>
    <w:rsid w:val="00C32E60"/>
    <w:rsid w:val="00C333D1"/>
    <w:rsid w:val="00C349CC"/>
    <w:rsid w:val="00C352BC"/>
    <w:rsid w:val="00C35655"/>
    <w:rsid w:val="00C35D5A"/>
    <w:rsid w:val="00C40AF3"/>
    <w:rsid w:val="00C414F5"/>
    <w:rsid w:val="00C41C2B"/>
    <w:rsid w:val="00C42A59"/>
    <w:rsid w:val="00C42D46"/>
    <w:rsid w:val="00C43A26"/>
    <w:rsid w:val="00C4519F"/>
    <w:rsid w:val="00C453AB"/>
    <w:rsid w:val="00C454F1"/>
    <w:rsid w:val="00C457E3"/>
    <w:rsid w:val="00C46254"/>
    <w:rsid w:val="00C4625B"/>
    <w:rsid w:val="00C464B8"/>
    <w:rsid w:val="00C46509"/>
    <w:rsid w:val="00C46CD5"/>
    <w:rsid w:val="00C46DE0"/>
    <w:rsid w:val="00C47588"/>
    <w:rsid w:val="00C50B88"/>
    <w:rsid w:val="00C51302"/>
    <w:rsid w:val="00C51A96"/>
    <w:rsid w:val="00C5382A"/>
    <w:rsid w:val="00C53DA9"/>
    <w:rsid w:val="00C5400C"/>
    <w:rsid w:val="00C54637"/>
    <w:rsid w:val="00C54B84"/>
    <w:rsid w:val="00C55824"/>
    <w:rsid w:val="00C55FA6"/>
    <w:rsid w:val="00C56694"/>
    <w:rsid w:val="00C56A95"/>
    <w:rsid w:val="00C56C1C"/>
    <w:rsid w:val="00C57917"/>
    <w:rsid w:val="00C57941"/>
    <w:rsid w:val="00C60C43"/>
    <w:rsid w:val="00C60C49"/>
    <w:rsid w:val="00C610DA"/>
    <w:rsid w:val="00C614FF"/>
    <w:rsid w:val="00C61DC3"/>
    <w:rsid w:val="00C62FFA"/>
    <w:rsid w:val="00C63062"/>
    <w:rsid w:val="00C63BB2"/>
    <w:rsid w:val="00C64434"/>
    <w:rsid w:val="00C64B10"/>
    <w:rsid w:val="00C64C32"/>
    <w:rsid w:val="00C65362"/>
    <w:rsid w:val="00C65440"/>
    <w:rsid w:val="00C6588C"/>
    <w:rsid w:val="00C65B45"/>
    <w:rsid w:val="00C65E81"/>
    <w:rsid w:val="00C65EF7"/>
    <w:rsid w:val="00C66321"/>
    <w:rsid w:val="00C6640F"/>
    <w:rsid w:val="00C669A8"/>
    <w:rsid w:val="00C669E6"/>
    <w:rsid w:val="00C67392"/>
    <w:rsid w:val="00C67486"/>
    <w:rsid w:val="00C67FF9"/>
    <w:rsid w:val="00C70BAD"/>
    <w:rsid w:val="00C70BB6"/>
    <w:rsid w:val="00C720D4"/>
    <w:rsid w:val="00C727AB"/>
    <w:rsid w:val="00C727D9"/>
    <w:rsid w:val="00C72F88"/>
    <w:rsid w:val="00C73FBC"/>
    <w:rsid w:val="00C7403D"/>
    <w:rsid w:val="00C7429E"/>
    <w:rsid w:val="00C74580"/>
    <w:rsid w:val="00C7508C"/>
    <w:rsid w:val="00C75230"/>
    <w:rsid w:val="00C75FBC"/>
    <w:rsid w:val="00C76622"/>
    <w:rsid w:val="00C76EE7"/>
    <w:rsid w:val="00C774A5"/>
    <w:rsid w:val="00C7774F"/>
    <w:rsid w:val="00C77BAF"/>
    <w:rsid w:val="00C77EDF"/>
    <w:rsid w:val="00C806A9"/>
    <w:rsid w:val="00C8135C"/>
    <w:rsid w:val="00C81CDD"/>
    <w:rsid w:val="00C81D7E"/>
    <w:rsid w:val="00C81F26"/>
    <w:rsid w:val="00C822DA"/>
    <w:rsid w:val="00C82C5E"/>
    <w:rsid w:val="00C83086"/>
    <w:rsid w:val="00C843D7"/>
    <w:rsid w:val="00C84F73"/>
    <w:rsid w:val="00C85C81"/>
    <w:rsid w:val="00C864AF"/>
    <w:rsid w:val="00C86B1D"/>
    <w:rsid w:val="00C878E1"/>
    <w:rsid w:val="00C902CA"/>
    <w:rsid w:val="00C905FE"/>
    <w:rsid w:val="00C91435"/>
    <w:rsid w:val="00C9177B"/>
    <w:rsid w:val="00C9181D"/>
    <w:rsid w:val="00C919AC"/>
    <w:rsid w:val="00C919F5"/>
    <w:rsid w:val="00C92D39"/>
    <w:rsid w:val="00C92EB0"/>
    <w:rsid w:val="00C93487"/>
    <w:rsid w:val="00C94BE1"/>
    <w:rsid w:val="00C94DF5"/>
    <w:rsid w:val="00C94F16"/>
    <w:rsid w:val="00C971E5"/>
    <w:rsid w:val="00CA013C"/>
    <w:rsid w:val="00CA0515"/>
    <w:rsid w:val="00CA090A"/>
    <w:rsid w:val="00CA0C38"/>
    <w:rsid w:val="00CA20AC"/>
    <w:rsid w:val="00CA20D3"/>
    <w:rsid w:val="00CA2FDC"/>
    <w:rsid w:val="00CA3A71"/>
    <w:rsid w:val="00CA40AC"/>
    <w:rsid w:val="00CA40E1"/>
    <w:rsid w:val="00CA4172"/>
    <w:rsid w:val="00CA4D20"/>
    <w:rsid w:val="00CA4F21"/>
    <w:rsid w:val="00CA56E0"/>
    <w:rsid w:val="00CA5D93"/>
    <w:rsid w:val="00CA6D97"/>
    <w:rsid w:val="00CA71A8"/>
    <w:rsid w:val="00CA7444"/>
    <w:rsid w:val="00CA7DA1"/>
    <w:rsid w:val="00CB09B8"/>
    <w:rsid w:val="00CB11E6"/>
    <w:rsid w:val="00CB15B1"/>
    <w:rsid w:val="00CB1F6F"/>
    <w:rsid w:val="00CB22F8"/>
    <w:rsid w:val="00CB27D9"/>
    <w:rsid w:val="00CB2967"/>
    <w:rsid w:val="00CB2EC8"/>
    <w:rsid w:val="00CB3EBE"/>
    <w:rsid w:val="00CB4C36"/>
    <w:rsid w:val="00CB54EA"/>
    <w:rsid w:val="00CB552B"/>
    <w:rsid w:val="00CB5C8A"/>
    <w:rsid w:val="00CB5CBA"/>
    <w:rsid w:val="00CB67A7"/>
    <w:rsid w:val="00CC0A7C"/>
    <w:rsid w:val="00CC15DD"/>
    <w:rsid w:val="00CC1FEA"/>
    <w:rsid w:val="00CC2510"/>
    <w:rsid w:val="00CC2548"/>
    <w:rsid w:val="00CC25F7"/>
    <w:rsid w:val="00CC30BE"/>
    <w:rsid w:val="00CC4254"/>
    <w:rsid w:val="00CC438D"/>
    <w:rsid w:val="00CC461A"/>
    <w:rsid w:val="00CC497E"/>
    <w:rsid w:val="00CC49A2"/>
    <w:rsid w:val="00CC5613"/>
    <w:rsid w:val="00CC638F"/>
    <w:rsid w:val="00CC63AF"/>
    <w:rsid w:val="00CC63BF"/>
    <w:rsid w:val="00CC7103"/>
    <w:rsid w:val="00CD03FC"/>
    <w:rsid w:val="00CD0B74"/>
    <w:rsid w:val="00CD1C1A"/>
    <w:rsid w:val="00CD264E"/>
    <w:rsid w:val="00CD2C70"/>
    <w:rsid w:val="00CD3041"/>
    <w:rsid w:val="00CD3775"/>
    <w:rsid w:val="00CD38EB"/>
    <w:rsid w:val="00CD396B"/>
    <w:rsid w:val="00CD467F"/>
    <w:rsid w:val="00CD4846"/>
    <w:rsid w:val="00CD779A"/>
    <w:rsid w:val="00CD7D17"/>
    <w:rsid w:val="00CE00F4"/>
    <w:rsid w:val="00CE0A67"/>
    <w:rsid w:val="00CE18C3"/>
    <w:rsid w:val="00CE1A69"/>
    <w:rsid w:val="00CE2A4D"/>
    <w:rsid w:val="00CE2BA3"/>
    <w:rsid w:val="00CE33E5"/>
    <w:rsid w:val="00CE4B31"/>
    <w:rsid w:val="00CE556F"/>
    <w:rsid w:val="00CE5778"/>
    <w:rsid w:val="00CE5BE9"/>
    <w:rsid w:val="00CE5FDF"/>
    <w:rsid w:val="00CE680C"/>
    <w:rsid w:val="00CE6B05"/>
    <w:rsid w:val="00CE713E"/>
    <w:rsid w:val="00CE75DE"/>
    <w:rsid w:val="00CE772F"/>
    <w:rsid w:val="00CF020C"/>
    <w:rsid w:val="00CF0D65"/>
    <w:rsid w:val="00CF1138"/>
    <w:rsid w:val="00CF1CB8"/>
    <w:rsid w:val="00CF1FF3"/>
    <w:rsid w:val="00CF20BC"/>
    <w:rsid w:val="00CF2B35"/>
    <w:rsid w:val="00CF31EF"/>
    <w:rsid w:val="00CF3EDF"/>
    <w:rsid w:val="00CF4661"/>
    <w:rsid w:val="00CF52D2"/>
    <w:rsid w:val="00CF6069"/>
    <w:rsid w:val="00CF68F8"/>
    <w:rsid w:val="00CF709C"/>
    <w:rsid w:val="00CF7229"/>
    <w:rsid w:val="00CF7328"/>
    <w:rsid w:val="00CF7600"/>
    <w:rsid w:val="00CF7D8D"/>
    <w:rsid w:val="00D00D54"/>
    <w:rsid w:val="00D00ED5"/>
    <w:rsid w:val="00D012D3"/>
    <w:rsid w:val="00D02FE8"/>
    <w:rsid w:val="00D036A1"/>
    <w:rsid w:val="00D04B60"/>
    <w:rsid w:val="00D04CD9"/>
    <w:rsid w:val="00D04D42"/>
    <w:rsid w:val="00D04EE3"/>
    <w:rsid w:val="00D05206"/>
    <w:rsid w:val="00D05363"/>
    <w:rsid w:val="00D0555C"/>
    <w:rsid w:val="00D05BC3"/>
    <w:rsid w:val="00D05E1C"/>
    <w:rsid w:val="00D076AD"/>
    <w:rsid w:val="00D07836"/>
    <w:rsid w:val="00D10023"/>
    <w:rsid w:val="00D1036A"/>
    <w:rsid w:val="00D10824"/>
    <w:rsid w:val="00D1129F"/>
    <w:rsid w:val="00D1227F"/>
    <w:rsid w:val="00D127DD"/>
    <w:rsid w:val="00D136EF"/>
    <w:rsid w:val="00D13FE4"/>
    <w:rsid w:val="00D14ADE"/>
    <w:rsid w:val="00D14E59"/>
    <w:rsid w:val="00D1558A"/>
    <w:rsid w:val="00D15DDD"/>
    <w:rsid w:val="00D16261"/>
    <w:rsid w:val="00D165B9"/>
    <w:rsid w:val="00D167C8"/>
    <w:rsid w:val="00D16E16"/>
    <w:rsid w:val="00D174EB"/>
    <w:rsid w:val="00D174F2"/>
    <w:rsid w:val="00D17E33"/>
    <w:rsid w:val="00D20011"/>
    <w:rsid w:val="00D20331"/>
    <w:rsid w:val="00D205B8"/>
    <w:rsid w:val="00D20969"/>
    <w:rsid w:val="00D20E52"/>
    <w:rsid w:val="00D227C2"/>
    <w:rsid w:val="00D22B16"/>
    <w:rsid w:val="00D22E46"/>
    <w:rsid w:val="00D239E0"/>
    <w:rsid w:val="00D25C0B"/>
    <w:rsid w:val="00D26474"/>
    <w:rsid w:val="00D26B19"/>
    <w:rsid w:val="00D26E48"/>
    <w:rsid w:val="00D26FF7"/>
    <w:rsid w:val="00D27DB6"/>
    <w:rsid w:val="00D27E4E"/>
    <w:rsid w:val="00D30750"/>
    <w:rsid w:val="00D30E22"/>
    <w:rsid w:val="00D321B7"/>
    <w:rsid w:val="00D32524"/>
    <w:rsid w:val="00D335AC"/>
    <w:rsid w:val="00D33697"/>
    <w:rsid w:val="00D338C9"/>
    <w:rsid w:val="00D33D59"/>
    <w:rsid w:val="00D34568"/>
    <w:rsid w:val="00D34F06"/>
    <w:rsid w:val="00D3500D"/>
    <w:rsid w:val="00D3626C"/>
    <w:rsid w:val="00D365A1"/>
    <w:rsid w:val="00D36AE7"/>
    <w:rsid w:val="00D36D8D"/>
    <w:rsid w:val="00D370F2"/>
    <w:rsid w:val="00D3719E"/>
    <w:rsid w:val="00D420F4"/>
    <w:rsid w:val="00D428E2"/>
    <w:rsid w:val="00D42A49"/>
    <w:rsid w:val="00D43D6D"/>
    <w:rsid w:val="00D4436E"/>
    <w:rsid w:val="00D46F83"/>
    <w:rsid w:val="00D478FC"/>
    <w:rsid w:val="00D47E4A"/>
    <w:rsid w:val="00D5030D"/>
    <w:rsid w:val="00D511A2"/>
    <w:rsid w:val="00D514BF"/>
    <w:rsid w:val="00D51C27"/>
    <w:rsid w:val="00D51F1F"/>
    <w:rsid w:val="00D52031"/>
    <w:rsid w:val="00D5569A"/>
    <w:rsid w:val="00D56399"/>
    <w:rsid w:val="00D565A2"/>
    <w:rsid w:val="00D56CA4"/>
    <w:rsid w:val="00D577FF"/>
    <w:rsid w:val="00D57814"/>
    <w:rsid w:val="00D57AA3"/>
    <w:rsid w:val="00D601EE"/>
    <w:rsid w:val="00D6116E"/>
    <w:rsid w:val="00D612EF"/>
    <w:rsid w:val="00D61A2D"/>
    <w:rsid w:val="00D62CA4"/>
    <w:rsid w:val="00D62D41"/>
    <w:rsid w:val="00D631A5"/>
    <w:rsid w:val="00D63282"/>
    <w:rsid w:val="00D63330"/>
    <w:rsid w:val="00D63940"/>
    <w:rsid w:val="00D652B6"/>
    <w:rsid w:val="00D654A0"/>
    <w:rsid w:val="00D65EFC"/>
    <w:rsid w:val="00D6666C"/>
    <w:rsid w:val="00D66739"/>
    <w:rsid w:val="00D66A1B"/>
    <w:rsid w:val="00D674A3"/>
    <w:rsid w:val="00D67569"/>
    <w:rsid w:val="00D678D4"/>
    <w:rsid w:val="00D67E78"/>
    <w:rsid w:val="00D70532"/>
    <w:rsid w:val="00D70907"/>
    <w:rsid w:val="00D70AC0"/>
    <w:rsid w:val="00D71824"/>
    <w:rsid w:val="00D71850"/>
    <w:rsid w:val="00D71B92"/>
    <w:rsid w:val="00D71C59"/>
    <w:rsid w:val="00D72C0D"/>
    <w:rsid w:val="00D731B3"/>
    <w:rsid w:val="00D73FB1"/>
    <w:rsid w:val="00D7615D"/>
    <w:rsid w:val="00D76513"/>
    <w:rsid w:val="00D809D2"/>
    <w:rsid w:val="00D80DB8"/>
    <w:rsid w:val="00D824E9"/>
    <w:rsid w:val="00D828AF"/>
    <w:rsid w:val="00D82961"/>
    <w:rsid w:val="00D8336F"/>
    <w:rsid w:val="00D853FB"/>
    <w:rsid w:val="00D85C66"/>
    <w:rsid w:val="00D86536"/>
    <w:rsid w:val="00D866E5"/>
    <w:rsid w:val="00D86A07"/>
    <w:rsid w:val="00D86ED6"/>
    <w:rsid w:val="00D90037"/>
    <w:rsid w:val="00D90446"/>
    <w:rsid w:val="00D9056D"/>
    <w:rsid w:val="00D90E50"/>
    <w:rsid w:val="00D92A64"/>
    <w:rsid w:val="00D938E4"/>
    <w:rsid w:val="00D93D4A"/>
    <w:rsid w:val="00D9461C"/>
    <w:rsid w:val="00D94782"/>
    <w:rsid w:val="00D94924"/>
    <w:rsid w:val="00D95774"/>
    <w:rsid w:val="00D96E14"/>
    <w:rsid w:val="00D976E4"/>
    <w:rsid w:val="00D97A59"/>
    <w:rsid w:val="00D97C9F"/>
    <w:rsid w:val="00D97DC3"/>
    <w:rsid w:val="00DA04BE"/>
    <w:rsid w:val="00DA0B34"/>
    <w:rsid w:val="00DA0CFD"/>
    <w:rsid w:val="00DA1475"/>
    <w:rsid w:val="00DA2B0E"/>
    <w:rsid w:val="00DA2F0E"/>
    <w:rsid w:val="00DA3A70"/>
    <w:rsid w:val="00DA3E14"/>
    <w:rsid w:val="00DA411B"/>
    <w:rsid w:val="00DA57EF"/>
    <w:rsid w:val="00DA5AAF"/>
    <w:rsid w:val="00DA628D"/>
    <w:rsid w:val="00DB08C5"/>
    <w:rsid w:val="00DB08DE"/>
    <w:rsid w:val="00DB0983"/>
    <w:rsid w:val="00DB09FF"/>
    <w:rsid w:val="00DB0B5B"/>
    <w:rsid w:val="00DB1A0E"/>
    <w:rsid w:val="00DB21A6"/>
    <w:rsid w:val="00DB2540"/>
    <w:rsid w:val="00DB2884"/>
    <w:rsid w:val="00DB30C6"/>
    <w:rsid w:val="00DB383A"/>
    <w:rsid w:val="00DB3B6D"/>
    <w:rsid w:val="00DB3DD3"/>
    <w:rsid w:val="00DB4D36"/>
    <w:rsid w:val="00DB699E"/>
    <w:rsid w:val="00DC0066"/>
    <w:rsid w:val="00DC079C"/>
    <w:rsid w:val="00DC0B52"/>
    <w:rsid w:val="00DC176B"/>
    <w:rsid w:val="00DC2454"/>
    <w:rsid w:val="00DC28E9"/>
    <w:rsid w:val="00DC2EE3"/>
    <w:rsid w:val="00DC350A"/>
    <w:rsid w:val="00DC3588"/>
    <w:rsid w:val="00DC3A27"/>
    <w:rsid w:val="00DC3E45"/>
    <w:rsid w:val="00DC3FEA"/>
    <w:rsid w:val="00DC473E"/>
    <w:rsid w:val="00DC4B91"/>
    <w:rsid w:val="00DC4F6C"/>
    <w:rsid w:val="00DC5292"/>
    <w:rsid w:val="00DC5E5A"/>
    <w:rsid w:val="00DC6301"/>
    <w:rsid w:val="00DC6353"/>
    <w:rsid w:val="00DC707A"/>
    <w:rsid w:val="00DC7C3D"/>
    <w:rsid w:val="00DD0947"/>
    <w:rsid w:val="00DD119B"/>
    <w:rsid w:val="00DD20EA"/>
    <w:rsid w:val="00DD250F"/>
    <w:rsid w:val="00DD40C7"/>
    <w:rsid w:val="00DD4140"/>
    <w:rsid w:val="00DD4F0A"/>
    <w:rsid w:val="00DD530B"/>
    <w:rsid w:val="00DD5467"/>
    <w:rsid w:val="00DD579D"/>
    <w:rsid w:val="00DD57D6"/>
    <w:rsid w:val="00DD6948"/>
    <w:rsid w:val="00DD78F8"/>
    <w:rsid w:val="00DD7D9F"/>
    <w:rsid w:val="00DE01FF"/>
    <w:rsid w:val="00DE18FA"/>
    <w:rsid w:val="00DE266C"/>
    <w:rsid w:val="00DE2AF5"/>
    <w:rsid w:val="00DE2FDB"/>
    <w:rsid w:val="00DE32BA"/>
    <w:rsid w:val="00DE3399"/>
    <w:rsid w:val="00DE33A4"/>
    <w:rsid w:val="00DE370C"/>
    <w:rsid w:val="00DE3CFA"/>
    <w:rsid w:val="00DE4676"/>
    <w:rsid w:val="00DE469B"/>
    <w:rsid w:val="00DE6F56"/>
    <w:rsid w:val="00DE704F"/>
    <w:rsid w:val="00DE7945"/>
    <w:rsid w:val="00DF051D"/>
    <w:rsid w:val="00DF0992"/>
    <w:rsid w:val="00DF0B06"/>
    <w:rsid w:val="00DF0BB5"/>
    <w:rsid w:val="00DF0D32"/>
    <w:rsid w:val="00DF44C3"/>
    <w:rsid w:val="00DF6014"/>
    <w:rsid w:val="00DF7142"/>
    <w:rsid w:val="00DF7368"/>
    <w:rsid w:val="00DF7EA3"/>
    <w:rsid w:val="00E012D4"/>
    <w:rsid w:val="00E013C7"/>
    <w:rsid w:val="00E01D88"/>
    <w:rsid w:val="00E02ACE"/>
    <w:rsid w:val="00E03087"/>
    <w:rsid w:val="00E03252"/>
    <w:rsid w:val="00E04577"/>
    <w:rsid w:val="00E04B03"/>
    <w:rsid w:val="00E04C8D"/>
    <w:rsid w:val="00E04F84"/>
    <w:rsid w:val="00E06066"/>
    <w:rsid w:val="00E06247"/>
    <w:rsid w:val="00E0658C"/>
    <w:rsid w:val="00E06B72"/>
    <w:rsid w:val="00E06E25"/>
    <w:rsid w:val="00E1066B"/>
    <w:rsid w:val="00E10722"/>
    <w:rsid w:val="00E11143"/>
    <w:rsid w:val="00E113AA"/>
    <w:rsid w:val="00E11746"/>
    <w:rsid w:val="00E11CA2"/>
    <w:rsid w:val="00E124DC"/>
    <w:rsid w:val="00E12606"/>
    <w:rsid w:val="00E132B1"/>
    <w:rsid w:val="00E1417A"/>
    <w:rsid w:val="00E148E2"/>
    <w:rsid w:val="00E14E49"/>
    <w:rsid w:val="00E150FD"/>
    <w:rsid w:val="00E15296"/>
    <w:rsid w:val="00E16363"/>
    <w:rsid w:val="00E16BB6"/>
    <w:rsid w:val="00E16DF1"/>
    <w:rsid w:val="00E171B2"/>
    <w:rsid w:val="00E21201"/>
    <w:rsid w:val="00E21596"/>
    <w:rsid w:val="00E2239D"/>
    <w:rsid w:val="00E229DD"/>
    <w:rsid w:val="00E22CE6"/>
    <w:rsid w:val="00E23125"/>
    <w:rsid w:val="00E247C6"/>
    <w:rsid w:val="00E2486D"/>
    <w:rsid w:val="00E25B04"/>
    <w:rsid w:val="00E260DC"/>
    <w:rsid w:val="00E261A7"/>
    <w:rsid w:val="00E301F9"/>
    <w:rsid w:val="00E305A5"/>
    <w:rsid w:val="00E30C1B"/>
    <w:rsid w:val="00E3321A"/>
    <w:rsid w:val="00E3398D"/>
    <w:rsid w:val="00E34434"/>
    <w:rsid w:val="00E355BC"/>
    <w:rsid w:val="00E36748"/>
    <w:rsid w:val="00E37683"/>
    <w:rsid w:val="00E37791"/>
    <w:rsid w:val="00E40354"/>
    <w:rsid w:val="00E40622"/>
    <w:rsid w:val="00E40757"/>
    <w:rsid w:val="00E408BE"/>
    <w:rsid w:val="00E40F00"/>
    <w:rsid w:val="00E423A9"/>
    <w:rsid w:val="00E42AF5"/>
    <w:rsid w:val="00E42FED"/>
    <w:rsid w:val="00E43BA0"/>
    <w:rsid w:val="00E442C9"/>
    <w:rsid w:val="00E444F3"/>
    <w:rsid w:val="00E4522F"/>
    <w:rsid w:val="00E45A65"/>
    <w:rsid w:val="00E45F11"/>
    <w:rsid w:val="00E47C9F"/>
    <w:rsid w:val="00E5006C"/>
    <w:rsid w:val="00E50FE2"/>
    <w:rsid w:val="00E523CD"/>
    <w:rsid w:val="00E52778"/>
    <w:rsid w:val="00E53438"/>
    <w:rsid w:val="00E53D74"/>
    <w:rsid w:val="00E5484B"/>
    <w:rsid w:val="00E54BCC"/>
    <w:rsid w:val="00E55318"/>
    <w:rsid w:val="00E553E7"/>
    <w:rsid w:val="00E5549C"/>
    <w:rsid w:val="00E5569A"/>
    <w:rsid w:val="00E56E33"/>
    <w:rsid w:val="00E57DB9"/>
    <w:rsid w:val="00E60557"/>
    <w:rsid w:val="00E6056A"/>
    <w:rsid w:val="00E60A30"/>
    <w:rsid w:val="00E60B19"/>
    <w:rsid w:val="00E61531"/>
    <w:rsid w:val="00E61547"/>
    <w:rsid w:val="00E62151"/>
    <w:rsid w:val="00E621A4"/>
    <w:rsid w:val="00E62BE7"/>
    <w:rsid w:val="00E62FEB"/>
    <w:rsid w:val="00E63036"/>
    <w:rsid w:val="00E63209"/>
    <w:rsid w:val="00E6375F"/>
    <w:rsid w:val="00E639D9"/>
    <w:rsid w:val="00E64431"/>
    <w:rsid w:val="00E64ACF"/>
    <w:rsid w:val="00E65E37"/>
    <w:rsid w:val="00E678E7"/>
    <w:rsid w:val="00E71777"/>
    <w:rsid w:val="00E71C12"/>
    <w:rsid w:val="00E71CA3"/>
    <w:rsid w:val="00E72F6A"/>
    <w:rsid w:val="00E74BFD"/>
    <w:rsid w:val="00E751CB"/>
    <w:rsid w:val="00E76442"/>
    <w:rsid w:val="00E76B6F"/>
    <w:rsid w:val="00E76CD9"/>
    <w:rsid w:val="00E80706"/>
    <w:rsid w:val="00E80979"/>
    <w:rsid w:val="00E8178E"/>
    <w:rsid w:val="00E81845"/>
    <w:rsid w:val="00E81A56"/>
    <w:rsid w:val="00E81F0C"/>
    <w:rsid w:val="00E8252D"/>
    <w:rsid w:val="00E82ECB"/>
    <w:rsid w:val="00E82FAC"/>
    <w:rsid w:val="00E8300D"/>
    <w:rsid w:val="00E83358"/>
    <w:rsid w:val="00E835F4"/>
    <w:rsid w:val="00E83912"/>
    <w:rsid w:val="00E83E9B"/>
    <w:rsid w:val="00E84288"/>
    <w:rsid w:val="00E847C0"/>
    <w:rsid w:val="00E852E6"/>
    <w:rsid w:val="00E87D85"/>
    <w:rsid w:val="00E90431"/>
    <w:rsid w:val="00E904EC"/>
    <w:rsid w:val="00E91367"/>
    <w:rsid w:val="00E91C7C"/>
    <w:rsid w:val="00E91CB1"/>
    <w:rsid w:val="00E9232B"/>
    <w:rsid w:val="00E9279B"/>
    <w:rsid w:val="00E93D34"/>
    <w:rsid w:val="00E93F5B"/>
    <w:rsid w:val="00E946B4"/>
    <w:rsid w:val="00E94BC8"/>
    <w:rsid w:val="00E9551D"/>
    <w:rsid w:val="00E9568B"/>
    <w:rsid w:val="00E95B30"/>
    <w:rsid w:val="00E95E63"/>
    <w:rsid w:val="00E96767"/>
    <w:rsid w:val="00E96989"/>
    <w:rsid w:val="00E9795C"/>
    <w:rsid w:val="00EA01DD"/>
    <w:rsid w:val="00EA0C49"/>
    <w:rsid w:val="00EA104C"/>
    <w:rsid w:val="00EA68D6"/>
    <w:rsid w:val="00EA6C24"/>
    <w:rsid w:val="00EA7055"/>
    <w:rsid w:val="00EB002D"/>
    <w:rsid w:val="00EB07B6"/>
    <w:rsid w:val="00EB07EE"/>
    <w:rsid w:val="00EB27CB"/>
    <w:rsid w:val="00EB280E"/>
    <w:rsid w:val="00EB2D5F"/>
    <w:rsid w:val="00EB3809"/>
    <w:rsid w:val="00EB46B3"/>
    <w:rsid w:val="00EB4A44"/>
    <w:rsid w:val="00EB4E2D"/>
    <w:rsid w:val="00EB4FC1"/>
    <w:rsid w:val="00EB557C"/>
    <w:rsid w:val="00EB587F"/>
    <w:rsid w:val="00EB67D3"/>
    <w:rsid w:val="00EB6D8A"/>
    <w:rsid w:val="00EB7550"/>
    <w:rsid w:val="00EB7C12"/>
    <w:rsid w:val="00EB7C17"/>
    <w:rsid w:val="00EC014D"/>
    <w:rsid w:val="00EC0318"/>
    <w:rsid w:val="00EC0600"/>
    <w:rsid w:val="00EC0695"/>
    <w:rsid w:val="00EC12F8"/>
    <w:rsid w:val="00EC156D"/>
    <w:rsid w:val="00EC1662"/>
    <w:rsid w:val="00EC1CB3"/>
    <w:rsid w:val="00EC1D10"/>
    <w:rsid w:val="00EC22F2"/>
    <w:rsid w:val="00EC24ED"/>
    <w:rsid w:val="00EC2D62"/>
    <w:rsid w:val="00EC3AC8"/>
    <w:rsid w:val="00EC64C7"/>
    <w:rsid w:val="00EC70B9"/>
    <w:rsid w:val="00EC71EF"/>
    <w:rsid w:val="00EC77FA"/>
    <w:rsid w:val="00EC7D96"/>
    <w:rsid w:val="00ED0FB9"/>
    <w:rsid w:val="00ED1051"/>
    <w:rsid w:val="00ED11C6"/>
    <w:rsid w:val="00ED1887"/>
    <w:rsid w:val="00ED1DCF"/>
    <w:rsid w:val="00ED2A6F"/>
    <w:rsid w:val="00ED2F42"/>
    <w:rsid w:val="00ED41FC"/>
    <w:rsid w:val="00ED4557"/>
    <w:rsid w:val="00ED4C86"/>
    <w:rsid w:val="00ED4D4B"/>
    <w:rsid w:val="00ED5174"/>
    <w:rsid w:val="00ED5991"/>
    <w:rsid w:val="00ED5AD5"/>
    <w:rsid w:val="00ED6048"/>
    <w:rsid w:val="00ED6232"/>
    <w:rsid w:val="00ED6314"/>
    <w:rsid w:val="00ED74A9"/>
    <w:rsid w:val="00ED7636"/>
    <w:rsid w:val="00ED7BAB"/>
    <w:rsid w:val="00ED7D78"/>
    <w:rsid w:val="00ED7E13"/>
    <w:rsid w:val="00EE0567"/>
    <w:rsid w:val="00EE0E03"/>
    <w:rsid w:val="00EE14F8"/>
    <w:rsid w:val="00EE2328"/>
    <w:rsid w:val="00EE2CB7"/>
    <w:rsid w:val="00EE2D9E"/>
    <w:rsid w:val="00EE2E50"/>
    <w:rsid w:val="00EE3242"/>
    <w:rsid w:val="00EE339A"/>
    <w:rsid w:val="00EE358F"/>
    <w:rsid w:val="00EE370D"/>
    <w:rsid w:val="00EE5968"/>
    <w:rsid w:val="00EE6620"/>
    <w:rsid w:val="00EE6C5C"/>
    <w:rsid w:val="00EE6F22"/>
    <w:rsid w:val="00EE7C96"/>
    <w:rsid w:val="00EE7EA1"/>
    <w:rsid w:val="00EF01DC"/>
    <w:rsid w:val="00EF04E5"/>
    <w:rsid w:val="00EF1ED0"/>
    <w:rsid w:val="00EF232C"/>
    <w:rsid w:val="00EF2675"/>
    <w:rsid w:val="00EF2991"/>
    <w:rsid w:val="00EF2B76"/>
    <w:rsid w:val="00EF2C3B"/>
    <w:rsid w:val="00EF3C4D"/>
    <w:rsid w:val="00EF3E26"/>
    <w:rsid w:val="00EF3F2E"/>
    <w:rsid w:val="00EF4581"/>
    <w:rsid w:val="00EF4E47"/>
    <w:rsid w:val="00EF61F6"/>
    <w:rsid w:val="00EF69F7"/>
    <w:rsid w:val="00EF6D9F"/>
    <w:rsid w:val="00EF6ECD"/>
    <w:rsid w:val="00EF7892"/>
    <w:rsid w:val="00EF7CA1"/>
    <w:rsid w:val="00EF7DC4"/>
    <w:rsid w:val="00F01A1F"/>
    <w:rsid w:val="00F01FB0"/>
    <w:rsid w:val="00F02672"/>
    <w:rsid w:val="00F03A21"/>
    <w:rsid w:val="00F03B82"/>
    <w:rsid w:val="00F03D73"/>
    <w:rsid w:val="00F0492B"/>
    <w:rsid w:val="00F049C3"/>
    <w:rsid w:val="00F04A3D"/>
    <w:rsid w:val="00F04E49"/>
    <w:rsid w:val="00F05C51"/>
    <w:rsid w:val="00F05EE8"/>
    <w:rsid w:val="00F065B9"/>
    <w:rsid w:val="00F0663D"/>
    <w:rsid w:val="00F070C1"/>
    <w:rsid w:val="00F07FE5"/>
    <w:rsid w:val="00F1003D"/>
    <w:rsid w:val="00F10E89"/>
    <w:rsid w:val="00F10FC4"/>
    <w:rsid w:val="00F11BF6"/>
    <w:rsid w:val="00F1321E"/>
    <w:rsid w:val="00F13A34"/>
    <w:rsid w:val="00F14255"/>
    <w:rsid w:val="00F15235"/>
    <w:rsid w:val="00F15352"/>
    <w:rsid w:val="00F154EB"/>
    <w:rsid w:val="00F15776"/>
    <w:rsid w:val="00F20013"/>
    <w:rsid w:val="00F2030D"/>
    <w:rsid w:val="00F20FE9"/>
    <w:rsid w:val="00F21908"/>
    <w:rsid w:val="00F219CD"/>
    <w:rsid w:val="00F21FFC"/>
    <w:rsid w:val="00F23B4C"/>
    <w:rsid w:val="00F23FF7"/>
    <w:rsid w:val="00F24BF1"/>
    <w:rsid w:val="00F252D3"/>
    <w:rsid w:val="00F25CFD"/>
    <w:rsid w:val="00F25F54"/>
    <w:rsid w:val="00F26386"/>
    <w:rsid w:val="00F269FE"/>
    <w:rsid w:val="00F26B51"/>
    <w:rsid w:val="00F26FF3"/>
    <w:rsid w:val="00F27C6C"/>
    <w:rsid w:val="00F27DC4"/>
    <w:rsid w:val="00F27F31"/>
    <w:rsid w:val="00F309A7"/>
    <w:rsid w:val="00F31B0C"/>
    <w:rsid w:val="00F31E9A"/>
    <w:rsid w:val="00F3268C"/>
    <w:rsid w:val="00F32D1C"/>
    <w:rsid w:val="00F32DB2"/>
    <w:rsid w:val="00F32FBF"/>
    <w:rsid w:val="00F35187"/>
    <w:rsid w:val="00F35CB7"/>
    <w:rsid w:val="00F35E10"/>
    <w:rsid w:val="00F37C79"/>
    <w:rsid w:val="00F37DE2"/>
    <w:rsid w:val="00F416A9"/>
    <w:rsid w:val="00F41889"/>
    <w:rsid w:val="00F426B9"/>
    <w:rsid w:val="00F4349F"/>
    <w:rsid w:val="00F43CC3"/>
    <w:rsid w:val="00F44891"/>
    <w:rsid w:val="00F44B21"/>
    <w:rsid w:val="00F455EC"/>
    <w:rsid w:val="00F45912"/>
    <w:rsid w:val="00F473AA"/>
    <w:rsid w:val="00F502EC"/>
    <w:rsid w:val="00F5077C"/>
    <w:rsid w:val="00F5092D"/>
    <w:rsid w:val="00F50AD9"/>
    <w:rsid w:val="00F51473"/>
    <w:rsid w:val="00F51F16"/>
    <w:rsid w:val="00F52161"/>
    <w:rsid w:val="00F52198"/>
    <w:rsid w:val="00F53139"/>
    <w:rsid w:val="00F5481B"/>
    <w:rsid w:val="00F54B2D"/>
    <w:rsid w:val="00F567DE"/>
    <w:rsid w:val="00F56AA7"/>
    <w:rsid w:val="00F56E71"/>
    <w:rsid w:val="00F605DF"/>
    <w:rsid w:val="00F610E8"/>
    <w:rsid w:val="00F61E42"/>
    <w:rsid w:val="00F6243B"/>
    <w:rsid w:val="00F62A58"/>
    <w:rsid w:val="00F62F98"/>
    <w:rsid w:val="00F640FA"/>
    <w:rsid w:val="00F64D75"/>
    <w:rsid w:val="00F65238"/>
    <w:rsid w:val="00F657C6"/>
    <w:rsid w:val="00F661CA"/>
    <w:rsid w:val="00F665E9"/>
    <w:rsid w:val="00F70573"/>
    <w:rsid w:val="00F7176E"/>
    <w:rsid w:val="00F71810"/>
    <w:rsid w:val="00F72066"/>
    <w:rsid w:val="00F72A05"/>
    <w:rsid w:val="00F72B85"/>
    <w:rsid w:val="00F74C19"/>
    <w:rsid w:val="00F75452"/>
    <w:rsid w:val="00F756D0"/>
    <w:rsid w:val="00F7583A"/>
    <w:rsid w:val="00F76988"/>
    <w:rsid w:val="00F76EE1"/>
    <w:rsid w:val="00F77CDD"/>
    <w:rsid w:val="00F80FE2"/>
    <w:rsid w:val="00F819AF"/>
    <w:rsid w:val="00F820CC"/>
    <w:rsid w:val="00F82347"/>
    <w:rsid w:val="00F8380B"/>
    <w:rsid w:val="00F8389A"/>
    <w:rsid w:val="00F839B9"/>
    <w:rsid w:val="00F8472D"/>
    <w:rsid w:val="00F85489"/>
    <w:rsid w:val="00F85CE3"/>
    <w:rsid w:val="00F85F5D"/>
    <w:rsid w:val="00F86120"/>
    <w:rsid w:val="00F86DB0"/>
    <w:rsid w:val="00F877DA"/>
    <w:rsid w:val="00F87911"/>
    <w:rsid w:val="00F9063A"/>
    <w:rsid w:val="00F90AE0"/>
    <w:rsid w:val="00F91598"/>
    <w:rsid w:val="00F9165B"/>
    <w:rsid w:val="00F9275A"/>
    <w:rsid w:val="00F93516"/>
    <w:rsid w:val="00F94EFC"/>
    <w:rsid w:val="00FA0B2E"/>
    <w:rsid w:val="00FA0C95"/>
    <w:rsid w:val="00FA0F0E"/>
    <w:rsid w:val="00FA21BB"/>
    <w:rsid w:val="00FA3105"/>
    <w:rsid w:val="00FA3142"/>
    <w:rsid w:val="00FA3C7A"/>
    <w:rsid w:val="00FA5923"/>
    <w:rsid w:val="00FA5D2A"/>
    <w:rsid w:val="00FA5E26"/>
    <w:rsid w:val="00FA611D"/>
    <w:rsid w:val="00FA7379"/>
    <w:rsid w:val="00FA7A4D"/>
    <w:rsid w:val="00FA7F36"/>
    <w:rsid w:val="00FB03FC"/>
    <w:rsid w:val="00FB13F6"/>
    <w:rsid w:val="00FB1DB0"/>
    <w:rsid w:val="00FB2747"/>
    <w:rsid w:val="00FB2867"/>
    <w:rsid w:val="00FB2D98"/>
    <w:rsid w:val="00FB3065"/>
    <w:rsid w:val="00FB388F"/>
    <w:rsid w:val="00FB3CEC"/>
    <w:rsid w:val="00FB4940"/>
    <w:rsid w:val="00FB4C98"/>
    <w:rsid w:val="00FB4CFE"/>
    <w:rsid w:val="00FB5227"/>
    <w:rsid w:val="00FB5599"/>
    <w:rsid w:val="00FB561D"/>
    <w:rsid w:val="00FB6355"/>
    <w:rsid w:val="00FB6CB3"/>
    <w:rsid w:val="00FB6E23"/>
    <w:rsid w:val="00FB6E44"/>
    <w:rsid w:val="00FB7105"/>
    <w:rsid w:val="00FB73A7"/>
    <w:rsid w:val="00FB75F2"/>
    <w:rsid w:val="00FB7E59"/>
    <w:rsid w:val="00FC08F0"/>
    <w:rsid w:val="00FC0A2D"/>
    <w:rsid w:val="00FC139B"/>
    <w:rsid w:val="00FC1E1E"/>
    <w:rsid w:val="00FC2342"/>
    <w:rsid w:val="00FC3E1A"/>
    <w:rsid w:val="00FC4223"/>
    <w:rsid w:val="00FC4915"/>
    <w:rsid w:val="00FC6D1F"/>
    <w:rsid w:val="00FC7534"/>
    <w:rsid w:val="00FC7D3A"/>
    <w:rsid w:val="00FC7E63"/>
    <w:rsid w:val="00FD09EF"/>
    <w:rsid w:val="00FD10B3"/>
    <w:rsid w:val="00FD140F"/>
    <w:rsid w:val="00FD1FB5"/>
    <w:rsid w:val="00FD2BCF"/>
    <w:rsid w:val="00FD3CFC"/>
    <w:rsid w:val="00FD3F69"/>
    <w:rsid w:val="00FD4F3D"/>
    <w:rsid w:val="00FD5315"/>
    <w:rsid w:val="00FD6576"/>
    <w:rsid w:val="00FE0223"/>
    <w:rsid w:val="00FE0B39"/>
    <w:rsid w:val="00FE2CF5"/>
    <w:rsid w:val="00FE3FE6"/>
    <w:rsid w:val="00FE4043"/>
    <w:rsid w:val="00FE463A"/>
    <w:rsid w:val="00FE4DCA"/>
    <w:rsid w:val="00FE4F03"/>
    <w:rsid w:val="00FE4F70"/>
    <w:rsid w:val="00FE5213"/>
    <w:rsid w:val="00FE5C84"/>
    <w:rsid w:val="00FE5EE0"/>
    <w:rsid w:val="00FE68FE"/>
    <w:rsid w:val="00FE7081"/>
    <w:rsid w:val="00FE7893"/>
    <w:rsid w:val="00FF08BD"/>
    <w:rsid w:val="00FF0A9C"/>
    <w:rsid w:val="00FF0AAE"/>
    <w:rsid w:val="00FF0BB2"/>
    <w:rsid w:val="00FF2502"/>
    <w:rsid w:val="00FF2882"/>
    <w:rsid w:val="00FF2E12"/>
    <w:rsid w:val="00FF3E12"/>
    <w:rsid w:val="00FF4221"/>
    <w:rsid w:val="00FF4248"/>
    <w:rsid w:val="00FF44EB"/>
    <w:rsid w:val="00FF460A"/>
    <w:rsid w:val="00FF6BE0"/>
    <w:rsid w:val="014D3F36"/>
    <w:rsid w:val="016EBC6B"/>
    <w:rsid w:val="01EAE2AF"/>
    <w:rsid w:val="01F3DA41"/>
    <w:rsid w:val="022651D0"/>
    <w:rsid w:val="02337CE8"/>
    <w:rsid w:val="024F2E42"/>
    <w:rsid w:val="02838A61"/>
    <w:rsid w:val="02C42C27"/>
    <w:rsid w:val="02CB6EA0"/>
    <w:rsid w:val="02D5C52C"/>
    <w:rsid w:val="02F45430"/>
    <w:rsid w:val="030254E1"/>
    <w:rsid w:val="031A0357"/>
    <w:rsid w:val="032EE11F"/>
    <w:rsid w:val="03433DF8"/>
    <w:rsid w:val="03574A36"/>
    <w:rsid w:val="035DD8DF"/>
    <w:rsid w:val="0372F4BE"/>
    <w:rsid w:val="037D08E6"/>
    <w:rsid w:val="039F2CB2"/>
    <w:rsid w:val="03AFA274"/>
    <w:rsid w:val="03E4C08F"/>
    <w:rsid w:val="03E66047"/>
    <w:rsid w:val="03FC0F5B"/>
    <w:rsid w:val="042B7977"/>
    <w:rsid w:val="04734476"/>
    <w:rsid w:val="048E411E"/>
    <w:rsid w:val="049C162E"/>
    <w:rsid w:val="04BFB3DA"/>
    <w:rsid w:val="04DBBE76"/>
    <w:rsid w:val="04DDD2DE"/>
    <w:rsid w:val="05216533"/>
    <w:rsid w:val="0542E783"/>
    <w:rsid w:val="0555CE9F"/>
    <w:rsid w:val="058CCB78"/>
    <w:rsid w:val="05C3B903"/>
    <w:rsid w:val="05D69152"/>
    <w:rsid w:val="05F7EBA4"/>
    <w:rsid w:val="05FD92E7"/>
    <w:rsid w:val="06194F55"/>
    <w:rsid w:val="061A3C20"/>
    <w:rsid w:val="061D264A"/>
    <w:rsid w:val="061E9EBF"/>
    <w:rsid w:val="063F68D9"/>
    <w:rsid w:val="065A58CC"/>
    <w:rsid w:val="0694FAB8"/>
    <w:rsid w:val="0695F6A6"/>
    <w:rsid w:val="06989D49"/>
    <w:rsid w:val="06A1388C"/>
    <w:rsid w:val="06AAB1DF"/>
    <w:rsid w:val="07307B09"/>
    <w:rsid w:val="073263BE"/>
    <w:rsid w:val="073800EB"/>
    <w:rsid w:val="07569892"/>
    <w:rsid w:val="076AA635"/>
    <w:rsid w:val="0771160D"/>
    <w:rsid w:val="07A7754F"/>
    <w:rsid w:val="07B0220C"/>
    <w:rsid w:val="07C08524"/>
    <w:rsid w:val="07C9BB53"/>
    <w:rsid w:val="07E44F34"/>
    <w:rsid w:val="07EDBB68"/>
    <w:rsid w:val="07EF2DF9"/>
    <w:rsid w:val="0809D5E3"/>
    <w:rsid w:val="081F1D4E"/>
    <w:rsid w:val="08362288"/>
    <w:rsid w:val="084AA45B"/>
    <w:rsid w:val="085203FC"/>
    <w:rsid w:val="087B27FF"/>
    <w:rsid w:val="088C9027"/>
    <w:rsid w:val="08AC3ADC"/>
    <w:rsid w:val="08B3F428"/>
    <w:rsid w:val="08D685C5"/>
    <w:rsid w:val="08F399DB"/>
    <w:rsid w:val="092B7964"/>
    <w:rsid w:val="0951AA9B"/>
    <w:rsid w:val="096251A8"/>
    <w:rsid w:val="097BEC36"/>
    <w:rsid w:val="098F2D55"/>
    <w:rsid w:val="09990AA3"/>
    <w:rsid w:val="09BA8EE3"/>
    <w:rsid w:val="09D4F36F"/>
    <w:rsid w:val="09D9562E"/>
    <w:rsid w:val="09F4E57B"/>
    <w:rsid w:val="0A26C080"/>
    <w:rsid w:val="0A3398CC"/>
    <w:rsid w:val="0A41CCDA"/>
    <w:rsid w:val="0A6A8C63"/>
    <w:rsid w:val="0AB33E09"/>
    <w:rsid w:val="0AF19020"/>
    <w:rsid w:val="0B031702"/>
    <w:rsid w:val="0B0FDD23"/>
    <w:rsid w:val="0B6ACC4B"/>
    <w:rsid w:val="0B6CDFEE"/>
    <w:rsid w:val="0BA0303F"/>
    <w:rsid w:val="0BA6A6A1"/>
    <w:rsid w:val="0BCC0C42"/>
    <w:rsid w:val="0BFA5301"/>
    <w:rsid w:val="0C1D87B7"/>
    <w:rsid w:val="0C4DF5D4"/>
    <w:rsid w:val="0C7A0156"/>
    <w:rsid w:val="0C84A8BD"/>
    <w:rsid w:val="0C903615"/>
    <w:rsid w:val="0C944B78"/>
    <w:rsid w:val="0CCA8965"/>
    <w:rsid w:val="0CDB5EE2"/>
    <w:rsid w:val="0D145EAD"/>
    <w:rsid w:val="0D777877"/>
    <w:rsid w:val="0DBD47B6"/>
    <w:rsid w:val="0DCDCA56"/>
    <w:rsid w:val="0DE3D523"/>
    <w:rsid w:val="0E1D2E05"/>
    <w:rsid w:val="0E3329E4"/>
    <w:rsid w:val="0E5D0FF8"/>
    <w:rsid w:val="0E8BED23"/>
    <w:rsid w:val="0EA0E955"/>
    <w:rsid w:val="0ED6848F"/>
    <w:rsid w:val="0F15C8CC"/>
    <w:rsid w:val="0F1EAACC"/>
    <w:rsid w:val="0F923943"/>
    <w:rsid w:val="0FD34C93"/>
    <w:rsid w:val="0FD4E84B"/>
    <w:rsid w:val="0FE1499A"/>
    <w:rsid w:val="10162873"/>
    <w:rsid w:val="1022CA6E"/>
    <w:rsid w:val="107A4AF1"/>
    <w:rsid w:val="108424B7"/>
    <w:rsid w:val="1091CEE6"/>
    <w:rsid w:val="10A4C2D2"/>
    <w:rsid w:val="10EA1B94"/>
    <w:rsid w:val="110741FF"/>
    <w:rsid w:val="110C5275"/>
    <w:rsid w:val="11ADB9C3"/>
    <w:rsid w:val="11BB936F"/>
    <w:rsid w:val="11CF83D6"/>
    <w:rsid w:val="12B05324"/>
    <w:rsid w:val="12C512BA"/>
    <w:rsid w:val="12F1F1A4"/>
    <w:rsid w:val="1327D93B"/>
    <w:rsid w:val="1339C96E"/>
    <w:rsid w:val="13637D2B"/>
    <w:rsid w:val="138FA882"/>
    <w:rsid w:val="140192AF"/>
    <w:rsid w:val="1423BE9F"/>
    <w:rsid w:val="142AE3C6"/>
    <w:rsid w:val="1488E4AC"/>
    <w:rsid w:val="148AE54B"/>
    <w:rsid w:val="14F08DA7"/>
    <w:rsid w:val="14F82A2D"/>
    <w:rsid w:val="150199C1"/>
    <w:rsid w:val="1589F06A"/>
    <w:rsid w:val="15DC62A2"/>
    <w:rsid w:val="15EAC04B"/>
    <w:rsid w:val="15F17887"/>
    <w:rsid w:val="1633B5B5"/>
    <w:rsid w:val="16547ED6"/>
    <w:rsid w:val="167265F9"/>
    <w:rsid w:val="16F35036"/>
    <w:rsid w:val="170988F1"/>
    <w:rsid w:val="1737D5F1"/>
    <w:rsid w:val="175BA4FF"/>
    <w:rsid w:val="177A87F4"/>
    <w:rsid w:val="1785BD2F"/>
    <w:rsid w:val="1793F552"/>
    <w:rsid w:val="17A2DB2E"/>
    <w:rsid w:val="17ABA127"/>
    <w:rsid w:val="17C28D50"/>
    <w:rsid w:val="17C3397A"/>
    <w:rsid w:val="17D52E04"/>
    <w:rsid w:val="1815651F"/>
    <w:rsid w:val="183CAAD4"/>
    <w:rsid w:val="189DE567"/>
    <w:rsid w:val="18B8FD05"/>
    <w:rsid w:val="18CB5B2B"/>
    <w:rsid w:val="18D24DEC"/>
    <w:rsid w:val="18DFFB63"/>
    <w:rsid w:val="190AB492"/>
    <w:rsid w:val="1977F69A"/>
    <w:rsid w:val="1985FC01"/>
    <w:rsid w:val="19B2B472"/>
    <w:rsid w:val="1A12E826"/>
    <w:rsid w:val="1A2E9E3F"/>
    <w:rsid w:val="1A380E94"/>
    <w:rsid w:val="1A3E4257"/>
    <w:rsid w:val="1AA56883"/>
    <w:rsid w:val="1AD5F365"/>
    <w:rsid w:val="1AE4DAE6"/>
    <w:rsid w:val="1AE6B3C8"/>
    <w:rsid w:val="1AE7B59E"/>
    <w:rsid w:val="1AEA6A99"/>
    <w:rsid w:val="1AEEB9B6"/>
    <w:rsid w:val="1B23F6F2"/>
    <w:rsid w:val="1B86FA35"/>
    <w:rsid w:val="1BB39BD2"/>
    <w:rsid w:val="1BBFB5BE"/>
    <w:rsid w:val="1BC93737"/>
    <w:rsid w:val="1C0D2B6C"/>
    <w:rsid w:val="1C15C2B7"/>
    <w:rsid w:val="1C19017D"/>
    <w:rsid w:val="1C199789"/>
    <w:rsid w:val="1C4B43DC"/>
    <w:rsid w:val="1C6993DF"/>
    <w:rsid w:val="1C69D8B1"/>
    <w:rsid w:val="1C9E0A61"/>
    <w:rsid w:val="1CBAA91D"/>
    <w:rsid w:val="1CBCB123"/>
    <w:rsid w:val="1CCCB54C"/>
    <w:rsid w:val="1CCFAA0D"/>
    <w:rsid w:val="1D04EFB8"/>
    <w:rsid w:val="1D8F1EB2"/>
    <w:rsid w:val="1DC8DD01"/>
    <w:rsid w:val="1DF87711"/>
    <w:rsid w:val="1E2245B9"/>
    <w:rsid w:val="1E64F8C6"/>
    <w:rsid w:val="1E789D6E"/>
    <w:rsid w:val="1E9CB61C"/>
    <w:rsid w:val="1EAAFDC4"/>
    <w:rsid w:val="1EB6710D"/>
    <w:rsid w:val="1EC96191"/>
    <w:rsid w:val="1F05013D"/>
    <w:rsid w:val="1F3E55D6"/>
    <w:rsid w:val="1F988006"/>
    <w:rsid w:val="1FB89F5A"/>
    <w:rsid w:val="1FBC2F88"/>
    <w:rsid w:val="1FC4C2B8"/>
    <w:rsid w:val="1FC9D052"/>
    <w:rsid w:val="1FD793D4"/>
    <w:rsid w:val="1FD9D142"/>
    <w:rsid w:val="2039B424"/>
    <w:rsid w:val="20725066"/>
    <w:rsid w:val="2073E282"/>
    <w:rsid w:val="20BFDEBE"/>
    <w:rsid w:val="20C1CD6E"/>
    <w:rsid w:val="210E682A"/>
    <w:rsid w:val="212B9B84"/>
    <w:rsid w:val="216571E4"/>
    <w:rsid w:val="216D4050"/>
    <w:rsid w:val="21710492"/>
    <w:rsid w:val="2183B58D"/>
    <w:rsid w:val="2190B823"/>
    <w:rsid w:val="21A98FF3"/>
    <w:rsid w:val="21AE0A91"/>
    <w:rsid w:val="21AE7CF1"/>
    <w:rsid w:val="21E6D0A7"/>
    <w:rsid w:val="221C8D80"/>
    <w:rsid w:val="222EC735"/>
    <w:rsid w:val="223B3AF5"/>
    <w:rsid w:val="227FBC03"/>
    <w:rsid w:val="22C592AF"/>
    <w:rsid w:val="22DA53BD"/>
    <w:rsid w:val="22DAB536"/>
    <w:rsid w:val="22E2F3CF"/>
    <w:rsid w:val="233F2A45"/>
    <w:rsid w:val="2389DFFB"/>
    <w:rsid w:val="23951EBF"/>
    <w:rsid w:val="23D21B48"/>
    <w:rsid w:val="23E4D643"/>
    <w:rsid w:val="23F81CA3"/>
    <w:rsid w:val="2415F950"/>
    <w:rsid w:val="241E8361"/>
    <w:rsid w:val="241F6C90"/>
    <w:rsid w:val="246D8D36"/>
    <w:rsid w:val="2472E69A"/>
    <w:rsid w:val="247EA254"/>
    <w:rsid w:val="2491CBB6"/>
    <w:rsid w:val="24C9FFE6"/>
    <w:rsid w:val="24DFBFFE"/>
    <w:rsid w:val="24E49D7B"/>
    <w:rsid w:val="252F456E"/>
    <w:rsid w:val="25364E2D"/>
    <w:rsid w:val="2544D557"/>
    <w:rsid w:val="25743436"/>
    <w:rsid w:val="257C11C5"/>
    <w:rsid w:val="25880C11"/>
    <w:rsid w:val="25929CE8"/>
    <w:rsid w:val="25B50EB9"/>
    <w:rsid w:val="25F7A354"/>
    <w:rsid w:val="26230569"/>
    <w:rsid w:val="263043E4"/>
    <w:rsid w:val="2655A120"/>
    <w:rsid w:val="26651A78"/>
    <w:rsid w:val="2665F9AA"/>
    <w:rsid w:val="266A2DDC"/>
    <w:rsid w:val="267D78CD"/>
    <w:rsid w:val="26857C68"/>
    <w:rsid w:val="26B20D29"/>
    <w:rsid w:val="26C0A3DA"/>
    <w:rsid w:val="271E527C"/>
    <w:rsid w:val="276610C0"/>
    <w:rsid w:val="278F616D"/>
    <w:rsid w:val="27B2E01C"/>
    <w:rsid w:val="2805E67E"/>
    <w:rsid w:val="2810F19F"/>
    <w:rsid w:val="28595788"/>
    <w:rsid w:val="28856075"/>
    <w:rsid w:val="288B01C1"/>
    <w:rsid w:val="28B17225"/>
    <w:rsid w:val="28CD51D3"/>
    <w:rsid w:val="28E7BD67"/>
    <w:rsid w:val="29090307"/>
    <w:rsid w:val="2917BCAB"/>
    <w:rsid w:val="292312FB"/>
    <w:rsid w:val="292B1F87"/>
    <w:rsid w:val="2965CC9B"/>
    <w:rsid w:val="296821D0"/>
    <w:rsid w:val="297B13D0"/>
    <w:rsid w:val="29E20D5B"/>
    <w:rsid w:val="2A032FBE"/>
    <w:rsid w:val="2A120498"/>
    <w:rsid w:val="2A363A5E"/>
    <w:rsid w:val="2A3C734F"/>
    <w:rsid w:val="2A4CADDB"/>
    <w:rsid w:val="2A5717B6"/>
    <w:rsid w:val="2A93627A"/>
    <w:rsid w:val="2A9B2759"/>
    <w:rsid w:val="2AB7B21C"/>
    <w:rsid w:val="2ADDBD61"/>
    <w:rsid w:val="2AE73EF3"/>
    <w:rsid w:val="2B2A4449"/>
    <w:rsid w:val="2B4C7209"/>
    <w:rsid w:val="2B823CED"/>
    <w:rsid w:val="2B9D24F5"/>
    <w:rsid w:val="2C0CFE73"/>
    <w:rsid w:val="2C1B422C"/>
    <w:rsid w:val="2C2B0DFB"/>
    <w:rsid w:val="2C36D775"/>
    <w:rsid w:val="2C3EBF27"/>
    <w:rsid w:val="2C432BB7"/>
    <w:rsid w:val="2C5B906C"/>
    <w:rsid w:val="2CA99F06"/>
    <w:rsid w:val="2CC4E8EA"/>
    <w:rsid w:val="2CCF741E"/>
    <w:rsid w:val="2CE7288A"/>
    <w:rsid w:val="2CEFB6DF"/>
    <w:rsid w:val="2CF884EF"/>
    <w:rsid w:val="2D26A057"/>
    <w:rsid w:val="2D3DD6AE"/>
    <w:rsid w:val="2D523AA8"/>
    <w:rsid w:val="2D97DD0E"/>
    <w:rsid w:val="2DAD08F0"/>
    <w:rsid w:val="2DE19FAB"/>
    <w:rsid w:val="2DFECB01"/>
    <w:rsid w:val="2E0A8108"/>
    <w:rsid w:val="2E43F38B"/>
    <w:rsid w:val="2E607EA8"/>
    <w:rsid w:val="2E7DD8C1"/>
    <w:rsid w:val="2E84C4AC"/>
    <w:rsid w:val="2E99F00C"/>
    <w:rsid w:val="2EA5E9D7"/>
    <w:rsid w:val="2EB1834E"/>
    <w:rsid w:val="2ECE66E1"/>
    <w:rsid w:val="2ED97818"/>
    <w:rsid w:val="2EF9B5D8"/>
    <w:rsid w:val="2F090A3C"/>
    <w:rsid w:val="2F5148BA"/>
    <w:rsid w:val="2F67CA53"/>
    <w:rsid w:val="2F6DC0D8"/>
    <w:rsid w:val="2F88F2B9"/>
    <w:rsid w:val="2F9204F8"/>
    <w:rsid w:val="2FACFF37"/>
    <w:rsid w:val="3035F590"/>
    <w:rsid w:val="3039832F"/>
    <w:rsid w:val="30607533"/>
    <w:rsid w:val="30675D73"/>
    <w:rsid w:val="3085C5C5"/>
    <w:rsid w:val="30ACAB7C"/>
    <w:rsid w:val="30D1BE95"/>
    <w:rsid w:val="31D1A20D"/>
    <w:rsid w:val="31FAB49D"/>
    <w:rsid w:val="31FED82E"/>
    <w:rsid w:val="321CBD51"/>
    <w:rsid w:val="3224F335"/>
    <w:rsid w:val="3271569C"/>
    <w:rsid w:val="328DD69D"/>
    <w:rsid w:val="32E89791"/>
    <w:rsid w:val="3324A974"/>
    <w:rsid w:val="3336B4A8"/>
    <w:rsid w:val="333D50B8"/>
    <w:rsid w:val="3351A7EF"/>
    <w:rsid w:val="3353C038"/>
    <w:rsid w:val="33597453"/>
    <w:rsid w:val="33606275"/>
    <w:rsid w:val="336DE0E0"/>
    <w:rsid w:val="337BE382"/>
    <w:rsid w:val="33BFC5CA"/>
    <w:rsid w:val="33D23C57"/>
    <w:rsid w:val="33E8B57F"/>
    <w:rsid w:val="33EF03D4"/>
    <w:rsid w:val="343A9712"/>
    <w:rsid w:val="3486770B"/>
    <w:rsid w:val="348C5DF1"/>
    <w:rsid w:val="34E5CFF0"/>
    <w:rsid w:val="34EAAE40"/>
    <w:rsid w:val="34F0EF23"/>
    <w:rsid w:val="34FB8930"/>
    <w:rsid w:val="35205E8C"/>
    <w:rsid w:val="352F4A58"/>
    <w:rsid w:val="3548C6A4"/>
    <w:rsid w:val="3560B63A"/>
    <w:rsid w:val="357A607F"/>
    <w:rsid w:val="35858AAC"/>
    <w:rsid w:val="359A97C9"/>
    <w:rsid w:val="35C590EC"/>
    <w:rsid w:val="364D922D"/>
    <w:rsid w:val="368ACDF7"/>
    <w:rsid w:val="36956373"/>
    <w:rsid w:val="36B1A8AE"/>
    <w:rsid w:val="36B4EB07"/>
    <w:rsid w:val="3713E945"/>
    <w:rsid w:val="37293C3B"/>
    <w:rsid w:val="374B8071"/>
    <w:rsid w:val="37AAF9E4"/>
    <w:rsid w:val="37B52E8C"/>
    <w:rsid w:val="37CF7FA0"/>
    <w:rsid w:val="37DE4996"/>
    <w:rsid w:val="381C2840"/>
    <w:rsid w:val="3833A1DA"/>
    <w:rsid w:val="389B30F4"/>
    <w:rsid w:val="38A8991E"/>
    <w:rsid w:val="38DDC2A7"/>
    <w:rsid w:val="3909FF57"/>
    <w:rsid w:val="3931EC74"/>
    <w:rsid w:val="396EFD97"/>
    <w:rsid w:val="398FE4C4"/>
    <w:rsid w:val="39C050C8"/>
    <w:rsid w:val="39FA25BE"/>
    <w:rsid w:val="3A0E48CB"/>
    <w:rsid w:val="3A134619"/>
    <w:rsid w:val="3A334D82"/>
    <w:rsid w:val="3A5A957F"/>
    <w:rsid w:val="3A5CF09A"/>
    <w:rsid w:val="3AA6116B"/>
    <w:rsid w:val="3AA943E6"/>
    <w:rsid w:val="3AA97561"/>
    <w:rsid w:val="3AFB288F"/>
    <w:rsid w:val="3B1E21F2"/>
    <w:rsid w:val="3B51FAAE"/>
    <w:rsid w:val="3BB30C63"/>
    <w:rsid w:val="3BB75D58"/>
    <w:rsid w:val="3BC40819"/>
    <w:rsid w:val="3BCBF6AE"/>
    <w:rsid w:val="3BE98136"/>
    <w:rsid w:val="3C1EFFEE"/>
    <w:rsid w:val="3C3B7D35"/>
    <w:rsid w:val="3C49EBDF"/>
    <w:rsid w:val="3C66D5C1"/>
    <w:rsid w:val="3C70AD67"/>
    <w:rsid w:val="3C7AA7EA"/>
    <w:rsid w:val="3C94E5FD"/>
    <w:rsid w:val="3C9A21E6"/>
    <w:rsid w:val="3C9B6D94"/>
    <w:rsid w:val="3CBB284B"/>
    <w:rsid w:val="3CD1DD73"/>
    <w:rsid w:val="3CEC858B"/>
    <w:rsid w:val="3CF88D48"/>
    <w:rsid w:val="3D12EADE"/>
    <w:rsid w:val="3D4E2CC3"/>
    <w:rsid w:val="3D569293"/>
    <w:rsid w:val="3D57FE30"/>
    <w:rsid w:val="3D5A6CD5"/>
    <w:rsid w:val="3DBE60DB"/>
    <w:rsid w:val="3DD59921"/>
    <w:rsid w:val="3E2FBE48"/>
    <w:rsid w:val="3E3F20DD"/>
    <w:rsid w:val="3E49C25B"/>
    <w:rsid w:val="3E5A3FFA"/>
    <w:rsid w:val="3EE77677"/>
    <w:rsid w:val="3EF73D63"/>
    <w:rsid w:val="3EFC77B5"/>
    <w:rsid w:val="3F070E67"/>
    <w:rsid w:val="3F38BE71"/>
    <w:rsid w:val="3F6AB785"/>
    <w:rsid w:val="3F7DEEB7"/>
    <w:rsid w:val="3F86A3FF"/>
    <w:rsid w:val="3F875F14"/>
    <w:rsid w:val="3F8831F8"/>
    <w:rsid w:val="3FBACFC2"/>
    <w:rsid w:val="3FCCE2F6"/>
    <w:rsid w:val="3FD658F7"/>
    <w:rsid w:val="3FF56E0E"/>
    <w:rsid w:val="40192EC1"/>
    <w:rsid w:val="401E4F4D"/>
    <w:rsid w:val="402598E2"/>
    <w:rsid w:val="40451AEF"/>
    <w:rsid w:val="4082A2CB"/>
    <w:rsid w:val="4090F165"/>
    <w:rsid w:val="409AB430"/>
    <w:rsid w:val="40B384FD"/>
    <w:rsid w:val="40BFB0C7"/>
    <w:rsid w:val="40F6796E"/>
    <w:rsid w:val="40F82EDD"/>
    <w:rsid w:val="40FAC554"/>
    <w:rsid w:val="41419B14"/>
    <w:rsid w:val="416655E9"/>
    <w:rsid w:val="4189E361"/>
    <w:rsid w:val="41A8EA81"/>
    <w:rsid w:val="41A9B2D1"/>
    <w:rsid w:val="41B6E5BE"/>
    <w:rsid w:val="41CE4318"/>
    <w:rsid w:val="41CF9121"/>
    <w:rsid w:val="41EE1A24"/>
    <w:rsid w:val="4223F87D"/>
    <w:rsid w:val="42279EFA"/>
    <w:rsid w:val="4238FEDB"/>
    <w:rsid w:val="423BB029"/>
    <w:rsid w:val="42E82EF5"/>
    <w:rsid w:val="42F9003F"/>
    <w:rsid w:val="431CCB3D"/>
    <w:rsid w:val="4325D575"/>
    <w:rsid w:val="4340D754"/>
    <w:rsid w:val="434A442A"/>
    <w:rsid w:val="43A8E61C"/>
    <w:rsid w:val="43FE2606"/>
    <w:rsid w:val="441AD779"/>
    <w:rsid w:val="4489FC62"/>
    <w:rsid w:val="44ACAA04"/>
    <w:rsid w:val="44B11845"/>
    <w:rsid w:val="44E4B3F1"/>
    <w:rsid w:val="4548D971"/>
    <w:rsid w:val="454CBA7B"/>
    <w:rsid w:val="4564C0F2"/>
    <w:rsid w:val="4568E138"/>
    <w:rsid w:val="45920BC9"/>
    <w:rsid w:val="45B88153"/>
    <w:rsid w:val="45E813DA"/>
    <w:rsid w:val="45FCD70E"/>
    <w:rsid w:val="460FCC8F"/>
    <w:rsid w:val="464BB433"/>
    <w:rsid w:val="4686FB0F"/>
    <w:rsid w:val="4693C0CB"/>
    <w:rsid w:val="46BE5820"/>
    <w:rsid w:val="46C39B45"/>
    <w:rsid w:val="470BCFC8"/>
    <w:rsid w:val="4719102D"/>
    <w:rsid w:val="471E213E"/>
    <w:rsid w:val="47799DCE"/>
    <w:rsid w:val="4789F7BF"/>
    <w:rsid w:val="47A43444"/>
    <w:rsid w:val="47B6302E"/>
    <w:rsid w:val="4821A4FC"/>
    <w:rsid w:val="4825F936"/>
    <w:rsid w:val="4829DD97"/>
    <w:rsid w:val="48303777"/>
    <w:rsid w:val="483733C1"/>
    <w:rsid w:val="48532A82"/>
    <w:rsid w:val="4856C31D"/>
    <w:rsid w:val="48586115"/>
    <w:rsid w:val="48D7CAB3"/>
    <w:rsid w:val="48DFD630"/>
    <w:rsid w:val="48EA591E"/>
    <w:rsid w:val="490ABDB6"/>
    <w:rsid w:val="4913CADF"/>
    <w:rsid w:val="491446F7"/>
    <w:rsid w:val="49203A42"/>
    <w:rsid w:val="492416CE"/>
    <w:rsid w:val="49386D07"/>
    <w:rsid w:val="49501F58"/>
    <w:rsid w:val="49675A32"/>
    <w:rsid w:val="498D6CA1"/>
    <w:rsid w:val="49BD85B6"/>
    <w:rsid w:val="49C04A5D"/>
    <w:rsid w:val="49E0CEB6"/>
    <w:rsid w:val="49EE86DB"/>
    <w:rsid w:val="49F99366"/>
    <w:rsid w:val="49FC02AB"/>
    <w:rsid w:val="4A307DC4"/>
    <w:rsid w:val="4A3FCF36"/>
    <w:rsid w:val="4A4089A6"/>
    <w:rsid w:val="4A692B32"/>
    <w:rsid w:val="4AA4C8E8"/>
    <w:rsid w:val="4AD034EE"/>
    <w:rsid w:val="4AF75B97"/>
    <w:rsid w:val="4B4036EC"/>
    <w:rsid w:val="4BB2A18D"/>
    <w:rsid w:val="4BB7C941"/>
    <w:rsid w:val="4BCC3D51"/>
    <w:rsid w:val="4BF63905"/>
    <w:rsid w:val="4C0826A3"/>
    <w:rsid w:val="4C0A66A9"/>
    <w:rsid w:val="4C35A7E5"/>
    <w:rsid w:val="4C3EE7EC"/>
    <w:rsid w:val="4C65BE0A"/>
    <w:rsid w:val="4C73A7A0"/>
    <w:rsid w:val="4C74F320"/>
    <w:rsid w:val="4C7C21E3"/>
    <w:rsid w:val="4C94CA9F"/>
    <w:rsid w:val="4C9ABAC1"/>
    <w:rsid w:val="4C9F0358"/>
    <w:rsid w:val="4CA8BF2A"/>
    <w:rsid w:val="4CAF2508"/>
    <w:rsid w:val="4CC2F88E"/>
    <w:rsid w:val="4CC8BD2D"/>
    <w:rsid w:val="4CE7D1CA"/>
    <w:rsid w:val="4CF53BF6"/>
    <w:rsid w:val="4CFF3DD1"/>
    <w:rsid w:val="4D11CAB4"/>
    <w:rsid w:val="4D55BCFB"/>
    <w:rsid w:val="4D97E1A5"/>
    <w:rsid w:val="4DACE959"/>
    <w:rsid w:val="4DC62F70"/>
    <w:rsid w:val="4DD81190"/>
    <w:rsid w:val="4DE1E47B"/>
    <w:rsid w:val="4E121425"/>
    <w:rsid w:val="4E2D616C"/>
    <w:rsid w:val="4E339416"/>
    <w:rsid w:val="4E37DB48"/>
    <w:rsid w:val="4E99B940"/>
    <w:rsid w:val="4EA33A17"/>
    <w:rsid w:val="4EB6EB91"/>
    <w:rsid w:val="4ECDF5EE"/>
    <w:rsid w:val="4ECED361"/>
    <w:rsid w:val="4F41D704"/>
    <w:rsid w:val="4F60358B"/>
    <w:rsid w:val="4F66C134"/>
    <w:rsid w:val="4F88F297"/>
    <w:rsid w:val="4F8A6515"/>
    <w:rsid w:val="4F9425F4"/>
    <w:rsid w:val="4FA1BFE2"/>
    <w:rsid w:val="4FA9EE2D"/>
    <w:rsid w:val="4FAB4957"/>
    <w:rsid w:val="4FD2ED02"/>
    <w:rsid w:val="5062BB13"/>
    <w:rsid w:val="5071B37F"/>
    <w:rsid w:val="5083D879"/>
    <w:rsid w:val="50B0FA3F"/>
    <w:rsid w:val="50D1AED9"/>
    <w:rsid w:val="50EDF99A"/>
    <w:rsid w:val="5108CD6B"/>
    <w:rsid w:val="51CF4AA2"/>
    <w:rsid w:val="51DE2ADE"/>
    <w:rsid w:val="51F2298C"/>
    <w:rsid w:val="522E0264"/>
    <w:rsid w:val="525C4FEF"/>
    <w:rsid w:val="52B2C565"/>
    <w:rsid w:val="52E8EB87"/>
    <w:rsid w:val="53360399"/>
    <w:rsid w:val="5339B202"/>
    <w:rsid w:val="537C095E"/>
    <w:rsid w:val="537E749A"/>
    <w:rsid w:val="53B4F9B7"/>
    <w:rsid w:val="53F1CCCB"/>
    <w:rsid w:val="5428FA87"/>
    <w:rsid w:val="5439750F"/>
    <w:rsid w:val="543A8EE8"/>
    <w:rsid w:val="546E36B2"/>
    <w:rsid w:val="547608C9"/>
    <w:rsid w:val="547AA4F2"/>
    <w:rsid w:val="5487A827"/>
    <w:rsid w:val="549F8F40"/>
    <w:rsid w:val="54D602D7"/>
    <w:rsid w:val="54E54646"/>
    <w:rsid w:val="54FA0E20"/>
    <w:rsid w:val="550458CE"/>
    <w:rsid w:val="55359386"/>
    <w:rsid w:val="55940E6C"/>
    <w:rsid w:val="55DC5976"/>
    <w:rsid w:val="55F196DE"/>
    <w:rsid w:val="5605B4CB"/>
    <w:rsid w:val="56127F4D"/>
    <w:rsid w:val="5621BF3B"/>
    <w:rsid w:val="562BF3C8"/>
    <w:rsid w:val="56916965"/>
    <w:rsid w:val="569FFE2C"/>
    <w:rsid w:val="56BBA8BD"/>
    <w:rsid w:val="56DF0F5E"/>
    <w:rsid w:val="56DFE114"/>
    <w:rsid w:val="56E4D48D"/>
    <w:rsid w:val="57585B0B"/>
    <w:rsid w:val="5772E734"/>
    <w:rsid w:val="577AF5C3"/>
    <w:rsid w:val="57901C4F"/>
    <w:rsid w:val="57C2C369"/>
    <w:rsid w:val="57DC0A9C"/>
    <w:rsid w:val="580A2AFC"/>
    <w:rsid w:val="582A937D"/>
    <w:rsid w:val="584D8DD2"/>
    <w:rsid w:val="584FA9FD"/>
    <w:rsid w:val="5865DB6C"/>
    <w:rsid w:val="586C2A80"/>
    <w:rsid w:val="58773803"/>
    <w:rsid w:val="589CC90E"/>
    <w:rsid w:val="58A5D3C3"/>
    <w:rsid w:val="58B02DE4"/>
    <w:rsid w:val="58B4C28C"/>
    <w:rsid w:val="58EF4EF4"/>
    <w:rsid w:val="58FA82B6"/>
    <w:rsid w:val="5978FAFE"/>
    <w:rsid w:val="597DB506"/>
    <w:rsid w:val="59EFE7F9"/>
    <w:rsid w:val="5A1D5033"/>
    <w:rsid w:val="5A5CB3F3"/>
    <w:rsid w:val="5A85077F"/>
    <w:rsid w:val="5AD86055"/>
    <w:rsid w:val="5ADCE230"/>
    <w:rsid w:val="5B0CF60A"/>
    <w:rsid w:val="5B1E2477"/>
    <w:rsid w:val="5B33B2F1"/>
    <w:rsid w:val="5B68F19A"/>
    <w:rsid w:val="5B6EC0DF"/>
    <w:rsid w:val="5B808412"/>
    <w:rsid w:val="5BB44A59"/>
    <w:rsid w:val="5BBDCEA6"/>
    <w:rsid w:val="5BF72CF2"/>
    <w:rsid w:val="5C0F10E9"/>
    <w:rsid w:val="5C372D53"/>
    <w:rsid w:val="5C4B80A0"/>
    <w:rsid w:val="5C6D7DE8"/>
    <w:rsid w:val="5C83FA54"/>
    <w:rsid w:val="5C8A32A3"/>
    <w:rsid w:val="5C949CC4"/>
    <w:rsid w:val="5CA4A6F2"/>
    <w:rsid w:val="5CA7904F"/>
    <w:rsid w:val="5CBB2987"/>
    <w:rsid w:val="5D2CCD65"/>
    <w:rsid w:val="5D43BD2F"/>
    <w:rsid w:val="5D49D362"/>
    <w:rsid w:val="5D4D95EC"/>
    <w:rsid w:val="5D6D43CD"/>
    <w:rsid w:val="5D770498"/>
    <w:rsid w:val="5DEB7552"/>
    <w:rsid w:val="5DEE7536"/>
    <w:rsid w:val="5E037F98"/>
    <w:rsid w:val="5E03F797"/>
    <w:rsid w:val="5E073817"/>
    <w:rsid w:val="5E376589"/>
    <w:rsid w:val="5EDF6992"/>
    <w:rsid w:val="5F016628"/>
    <w:rsid w:val="5F33FF72"/>
    <w:rsid w:val="5F4484ED"/>
    <w:rsid w:val="5F6AADA3"/>
    <w:rsid w:val="5F7ED981"/>
    <w:rsid w:val="5F9A6D63"/>
    <w:rsid w:val="5FBD09DE"/>
    <w:rsid w:val="5FDB2241"/>
    <w:rsid w:val="60058492"/>
    <w:rsid w:val="602C8400"/>
    <w:rsid w:val="6031B3F3"/>
    <w:rsid w:val="60476271"/>
    <w:rsid w:val="6048A864"/>
    <w:rsid w:val="6048CC4E"/>
    <w:rsid w:val="6056138F"/>
    <w:rsid w:val="606A1551"/>
    <w:rsid w:val="60ADE005"/>
    <w:rsid w:val="60D434E9"/>
    <w:rsid w:val="60F2F60B"/>
    <w:rsid w:val="60F40CF0"/>
    <w:rsid w:val="6101C4EF"/>
    <w:rsid w:val="610B8BDC"/>
    <w:rsid w:val="61401BD7"/>
    <w:rsid w:val="6159AA39"/>
    <w:rsid w:val="61CE7E63"/>
    <w:rsid w:val="61E0A7E4"/>
    <w:rsid w:val="61FFB310"/>
    <w:rsid w:val="62161287"/>
    <w:rsid w:val="6216BE30"/>
    <w:rsid w:val="6239920C"/>
    <w:rsid w:val="624FF54E"/>
    <w:rsid w:val="629DE212"/>
    <w:rsid w:val="62CD5A36"/>
    <w:rsid w:val="62DBB589"/>
    <w:rsid w:val="62E3A8D7"/>
    <w:rsid w:val="632644D5"/>
    <w:rsid w:val="635F7F9B"/>
    <w:rsid w:val="637D5796"/>
    <w:rsid w:val="6382A4B1"/>
    <w:rsid w:val="63A9A978"/>
    <w:rsid w:val="63EC6074"/>
    <w:rsid w:val="64822C1D"/>
    <w:rsid w:val="6497A89C"/>
    <w:rsid w:val="64B01C37"/>
    <w:rsid w:val="64D3AC92"/>
    <w:rsid w:val="64D91375"/>
    <w:rsid w:val="64DEE701"/>
    <w:rsid w:val="64FDDCDB"/>
    <w:rsid w:val="65039108"/>
    <w:rsid w:val="65671F39"/>
    <w:rsid w:val="656D35FB"/>
    <w:rsid w:val="657E6076"/>
    <w:rsid w:val="65BE08B1"/>
    <w:rsid w:val="65CD2D35"/>
    <w:rsid w:val="6620EDE0"/>
    <w:rsid w:val="6629D476"/>
    <w:rsid w:val="662E9F57"/>
    <w:rsid w:val="665BD8F1"/>
    <w:rsid w:val="6666901B"/>
    <w:rsid w:val="66720681"/>
    <w:rsid w:val="66751338"/>
    <w:rsid w:val="6677208E"/>
    <w:rsid w:val="66C863BD"/>
    <w:rsid w:val="66E32692"/>
    <w:rsid w:val="66F0E259"/>
    <w:rsid w:val="6734F4FD"/>
    <w:rsid w:val="674C3775"/>
    <w:rsid w:val="67A6E79B"/>
    <w:rsid w:val="67D00B86"/>
    <w:rsid w:val="67D5B08F"/>
    <w:rsid w:val="68554B34"/>
    <w:rsid w:val="688E963C"/>
    <w:rsid w:val="689E520F"/>
    <w:rsid w:val="689E9B0C"/>
    <w:rsid w:val="68C4A617"/>
    <w:rsid w:val="68C5BD18"/>
    <w:rsid w:val="6921C39A"/>
    <w:rsid w:val="69327D76"/>
    <w:rsid w:val="69537649"/>
    <w:rsid w:val="698F96D8"/>
    <w:rsid w:val="69C7C4EA"/>
    <w:rsid w:val="69CDFCC8"/>
    <w:rsid w:val="69EDA11E"/>
    <w:rsid w:val="6A04D4D9"/>
    <w:rsid w:val="6A7E3000"/>
    <w:rsid w:val="6AA575AF"/>
    <w:rsid w:val="6AA77B77"/>
    <w:rsid w:val="6AEE9E46"/>
    <w:rsid w:val="6AFE3DE7"/>
    <w:rsid w:val="6B19D60B"/>
    <w:rsid w:val="6B1EEFA9"/>
    <w:rsid w:val="6B22B3C5"/>
    <w:rsid w:val="6B2A90BF"/>
    <w:rsid w:val="6B40655D"/>
    <w:rsid w:val="6B612623"/>
    <w:rsid w:val="6B956B6A"/>
    <w:rsid w:val="6B98AD25"/>
    <w:rsid w:val="6BADEDEA"/>
    <w:rsid w:val="6BE0A313"/>
    <w:rsid w:val="6BFDDA22"/>
    <w:rsid w:val="6C73C41F"/>
    <w:rsid w:val="6CBC6933"/>
    <w:rsid w:val="6CC34B77"/>
    <w:rsid w:val="6CEEB6C0"/>
    <w:rsid w:val="6DB489D3"/>
    <w:rsid w:val="6DC65B10"/>
    <w:rsid w:val="6DE52AD1"/>
    <w:rsid w:val="6DEC3BE1"/>
    <w:rsid w:val="6E285DBE"/>
    <w:rsid w:val="6E29FB4F"/>
    <w:rsid w:val="6E373F33"/>
    <w:rsid w:val="6ECC2906"/>
    <w:rsid w:val="6ED8ADB3"/>
    <w:rsid w:val="6EFA1496"/>
    <w:rsid w:val="6EFAF545"/>
    <w:rsid w:val="6F0F8AA3"/>
    <w:rsid w:val="6F7B37F1"/>
    <w:rsid w:val="6F821460"/>
    <w:rsid w:val="6F8F434D"/>
    <w:rsid w:val="6FB9E069"/>
    <w:rsid w:val="6FBBB357"/>
    <w:rsid w:val="6FED3CE2"/>
    <w:rsid w:val="70292C0E"/>
    <w:rsid w:val="704FA2B4"/>
    <w:rsid w:val="7059A9D3"/>
    <w:rsid w:val="70B58647"/>
    <w:rsid w:val="7110DF12"/>
    <w:rsid w:val="71288419"/>
    <w:rsid w:val="712DD843"/>
    <w:rsid w:val="7132A672"/>
    <w:rsid w:val="715E0F6C"/>
    <w:rsid w:val="715E6B3A"/>
    <w:rsid w:val="718FE3F9"/>
    <w:rsid w:val="71A04BEF"/>
    <w:rsid w:val="71D897F9"/>
    <w:rsid w:val="71EB960F"/>
    <w:rsid w:val="721C7DE4"/>
    <w:rsid w:val="72295AFB"/>
    <w:rsid w:val="723E4CE2"/>
    <w:rsid w:val="72682068"/>
    <w:rsid w:val="726AAFF8"/>
    <w:rsid w:val="72A823B9"/>
    <w:rsid w:val="72BEF513"/>
    <w:rsid w:val="73384F44"/>
    <w:rsid w:val="733D4D62"/>
    <w:rsid w:val="736C86E8"/>
    <w:rsid w:val="736F39AD"/>
    <w:rsid w:val="73744C18"/>
    <w:rsid w:val="738CB446"/>
    <w:rsid w:val="739FCE60"/>
    <w:rsid w:val="740B370B"/>
    <w:rsid w:val="7421DC44"/>
    <w:rsid w:val="7445F52E"/>
    <w:rsid w:val="74590587"/>
    <w:rsid w:val="746B3558"/>
    <w:rsid w:val="749673D2"/>
    <w:rsid w:val="749AA742"/>
    <w:rsid w:val="749D05F6"/>
    <w:rsid w:val="74ADCF2C"/>
    <w:rsid w:val="74BBD338"/>
    <w:rsid w:val="74C0285A"/>
    <w:rsid w:val="74C732F8"/>
    <w:rsid w:val="7504B350"/>
    <w:rsid w:val="750551B1"/>
    <w:rsid w:val="75145BAB"/>
    <w:rsid w:val="7521DF3E"/>
    <w:rsid w:val="75284342"/>
    <w:rsid w:val="7539392E"/>
    <w:rsid w:val="753B5136"/>
    <w:rsid w:val="755F9B4E"/>
    <w:rsid w:val="75793421"/>
    <w:rsid w:val="758753FA"/>
    <w:rsid w:val="75CD30E2"/>
    <w:rsid w:val="75D820AE"/>
    <w:rsid w:val="75EB68D9"/>
    <w:rsid w:val="75FFFB74"/>
    <w:rsid w:val="7604AC68"/>
    <w:rsid w:val="7612D519"/>
    <w:rsid w:val="761799F5"/>
    <w:rsid w:val="7671531F"/>
    <w:rsid w:val="76B89C14"/>
    <w:rsid w:val="76F3DBFA"/>
    <w:rsid w:val="76FC5F9B"/>
    <w:rsid w:val="76FD04B7"/>
    <w:rsid w:val="772F640E"/>
    <w:rsid w:val="773C08AE"/>
    <w:rsid w:val="7784F48C"/>
    <w:rsid w:val="77A9E283"/>
    <w:rsid w:val="77BB9855"/>
    <w:rsid w:val="77CF1D90"/>
    <w:rsid w:val="77FB6A9B"/>
    <w:rsid w:val="77FFE39B"/>
    <w:rsid w:val="780463DB"/>
    <w:rsid w:val="782C7F14"/>
    <w:rsid w:val="7847366C"/>
    <w:rsid w:val="784E2C26"/>
    <w:rsid w:val="786858DF"/>
    <w:rsid w:val="7871933B"/>
    <w:rsid w:val="7876E929"/>
    <w:rsid w:val="78826786"/>
    <w:rsid w:val="78897F1F"/>
    <w:rsid w:val="789F9BF6"/>
    <w:rsid w:val="78B6F764"/>
    <w:rsid w:val="78C6964A"/>
    <w:rsid w:val="78D1101E"/>
    <w:rsid w:val="793149A9"/>
    <w:rsid w:val="794426BD"/>
    <w:rsid w:val="798316C4"/>
    <w:rsid w:val="79A3C2E5"/>
    <w:rsid w:val="79DD13A0"/>
    <w:rsid w:val="79E65D60"/>
    <w:rsid w:val="79EA2FF6"/>
    <w:rsid w:val="7A7FD642"/>
    <w:rsid w:val="7ABF948C"/>
    <w:rsid w:val="7B195E0E"/>
    <w:rsid w:val="7B3749C8"/>
    <w:rsid w:val="7B5CD221"/>
    <w:rsid w:val="7B65339F"/>
    <w:rsid w:val="7B723098"/>
    <w:rsid w:val="7B740D84"/>
    <w:rsid w:val="7B948A3D"/>
    <w:rsid w:val="7BA7079E"/>
    <w:rsid w:val="7BA9B1EE"/>
    <w:rsid w:val="7BE9E418"/>
    <w:rsid w:val="7BF55567"/>
    <w:rsid w:val="7C1F9024"/>
    <w:rsid w:val="7C58B0D5"/>
    <w:rsid w:val="7C771E83"/>
    <w:rsid w:val="7C7DD14A"/>
    <w:rsid w:val="7C87C572"/>
    <w:rsid w:val="7C87DF18"/>
    <w:rsid w:val="7C8EFE8D"/>
    <w:rsid w:val="7C8F4CA5"/>
    <w:rsid w:val="7CB8C1B2"/>
    <w:rsid w:val="7CC5B168"/>
    <w:rsid w:val="7CFB1617"/>
    <w:rsid w:val="7D46C034"/>
    <w:rsid w:val="7D6E1B4F"/>
    <w:rsid w:val="7D74AD14"/>
    <w:rsid w:val="7D7ED2ED"/>
    <w:rsid w:val="7D862574"/>
    <w:rsid w:val="7DD03479"/>
    <w:rsid w:val="7E05BD7F"/>
    <w:rsid w:val="7E60DEC5"/>
    <w:rsid w:val="7E6AACAC"/>
    <w:rsid w:val="7EB9C722"/>
    <w:rsid w:val="7EC9A491"/>
    <w:rsid w:val="7ECFCED3"/>
    <w:rsid w:val="7F158C30"/>
    <w:rsid w:val="7F238F4C"/>
    <w:rsid w:val="7F6B9029"/>
    <w:rsid w:val="7F97CF2A"/>
    <w:rsid w:val="7FAE6797"/>
    <w:rsid w:val="7FB4506A"/>
    <w:rsid w:val="7FDD0053"/>
    <w:rsid w:val="7FED914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32D31"/>
  <w15:chartTrackingRefBased/>
  <w15:docId w15:val="{E455EAFC-22D7-4378-B045-1222C6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6D48"/>
    <w:pPr>
      <w:spacing w:after="120" w:line="360" w:lineRule="auto"/>
      <w:ind w:firstLine="709"/>
      <w:jc w:val="both"/>
    </w:pPr>
    <w:rPr>
      <w:rFonts w:ascii="Times New Roman" w:hAnsi="Times New Roman" w:cs="Calibri"/>
      <w:sz w:val="24"/>
    </w:rPr>
  </w:style>
  <w:style w:type="paragraph" w:styleId="Nagwek1">
    <w:name w:val="heading 1"/>
    <w:basedOn w:val="Normalny"/>
    <w:next w:val="Normalny"/>
    <w:link w:val="Nagwek1Znak"/>
    <w:uiPriority w:val="9"/>
    <w:qFormat/>
    <w:rsid w:val="00EA01DD"/>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EA01DD"/>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EA01DD"/>
    <w:pPr>
      <w:keepNext/>
      <w:keepLines/>
      <w:spacing w:before="40" w:after="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01DD"/>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EA01DD"/>
    <w:rPr>
      <w:rFonts w:ascii="Times New Roman" w:eastAsiaTheme="majorEastAsia" w:hAnsi="Times New Roman" w:cstheme="majorBidi"/>
      <w:b/>
      <w:sz w:val="24"/>
      <w:szCs w:val="26"/>
    </w:rPr>
  </w:style>
  <w:style w:type="paragraph" w:styleId="Akapitzlist">
    <w:name w:val="List Paragraph"/>
    <w:aliases w:val="NS_Akapit z listą,List_Paragraph,Multilevel para_II,List Paragraph1,Akapit z listą BS,Bullet1,Bullets,List Paragraph 1,References,List Paragraph (numbered (a)),IBL List Paragraph,List Paragraph nowy,Numbered List Paragraph,Wyliczanie"/>
    <w:basedOn w:val="Normalny"/>
    <w:link w:val="AkapitzlistZnak"/>
    <w:uiPriority w:val="34"/>
    <w:qFormat/>
    <w:rsid w:val="009928F1"/>
    <w:pPr>
      <w:ind w:left="680" w:firstLine="737"/>
      <w:contextualSpacing/>
    </w:pPr>
  </w:style>
  <w:style w:type="character" w:customStyle="1" w:styleId="AkapitzlistZnak">
    <w:name w:val="Akapit z listą Znak"/>
    <w:aliases w:val="NS_Akapit z listą Znak,List_Paragraph Znak,Multilevel para_II Znak,List Paragraph1 Znak,Akapit z listą BS Znak,Bullet1 Znak,Bullets Znak,List Paragraph 1 Znak,References Znak,List Paragraph (numbered (a)) Znak,IBL List Paragraph Znak"/>
    <w:link w:val="Akapitzlist"/>
    <w:uiPriority w:val="34"/>
    <w:rsid w:val="009928F1"/>
    <w:rPr>
      <w:rFonts w:ascii="Times New Roman" w:hAnsi="Times New Roman" w:cs="Calibri"/>
      <w:sz w:val="24"/>
    </w:rPr>
  </w:style>
  <w:style w:type="character" w:styleId="Pogrubienie">
    <w:name w:val="Strong"/>
    <w:basedOn w:val="Domylnaczcionkaakapitu"/>
    <w:uiPriority w:val="22"/>
    <w:qFormat/>
    <w:rsid w:val="00C25123"/>
    <w:rPr>
      <w:b/>
      <w:bCs/>
    </w:rPr>
  </w:style>
  <w:style w:type="paragraph" w:customStyle="1" w:styleId="ARTartustawynprozporzdzenia">
    <w:name w:val="ART(§) – art. ustawy (§ np. rozporządzenia)"/>
    <w:uiPriority w:val="11"/>
    <w:qFormat/>
    <w:rsid w:val="00C2512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styleId="Odwoaniedokomentarza">
    <w:name w:val="annotation reference"/>
    <w:basedOn w:val="Domylnaczcionkaakapitu"/>
    <w:uiPriority w:val="99"/>
    <w:unhideWhenUsed/>
    <w:qFormat/>
    <w:rsid w:val="00C25123"/>
    <w:rPr>
      <w:sz w:val="16"/>
      <w:szCs w:val="16"/>
    </w:rPr>
  </w:style>
  <w:style w:type="paragraph" w:styleId="Tekstkomentarza">
    <w:name w:val="annotation text"/>
    <w:basedOn w:val="Normalny"/>
    <w:link w:val="TekstkomentarzaZnak"/>
    <w:uiPriority w:val="99"/>
    <w:unhideWhenUsed/>
    <w:qFormat/>
    <w:rsid w:val="00C25123"/>
    <w:pPr>
      <w:suppressAutoHyphens/>
      <w:spacing w:after="200"/>
    </w:pPr>
    <w:rPr>
      <w:rFonts w:ascii="Calibri" w:eastAsia="Calibri" w:hAnsi="Calibri"/>
      <w:sz w:val="20"/>
      <w:szCs w:val="20"/>
      <w:lang w:eastAsia="ar-SA"/>
    </w:rPr>
  </w:style>
  <w:style w:type="character" w:customStyle="1" w:styleId="TekstkomentarzaZnak">
    <w:name w:val="Tekst komentarza Znak"/>
    <w:basedOn w:val="Domylnaczcionkaakapitu"/>
    <w:link w:val="Tekstkomentarza"/>
    <w:uiPriority w:val="99"/>
    <w:rsid w:val="00C25123"/>
    <w:rPr>
      <w:rFonts w:ascii="Calibri" w:eastAsia="Calibri" w:hAnsi="Calibri" w:cs="Calibri"/>
      <w:sz w:val="20"/>
      <w:szCs w:val="20"/>
      <w:lang w:eastAsia="ar-SA"/>
    </w:rPr>
  </w:style>
  <w:style w:type="paragraph" w:customStyle="1" w:styleId="ZPKTzmpktartykuempunktem">
    <w:name w:val="Z/PKT – zm. pkt artykułem (punktem)"/>
    <w:basedOn w:val="Normalny"/>
    <w:uiPriority w:val="31"/>
    <w:qFormat/>
    <w:rsid w:val="00C25123"/>
    <w:pPr>
      <w:spacing w:after="0"/>
      <w:ind w:left="1020" w:hanging="510"/>
    </w:pPr>
    <w:rPr>
      <w:rFonts w:ascii="Times" w:eastAsiaTheme="minorEastAsia" w:hAnsi="Times" w:cs="Arial"/>
      <w:bCs/>
      <w:szCs w:val="20"/>
      <w:lang w:eastAsia="pl-PL"/>
    </w:rPr>
  </w:style>
  <w:style w:type="paragraph" w:customStyle="1" w:styleId="ZARTzmartartykuempunktem">
    <w:name w:val="Z/ART(§) – zm. art. (§) artykułem (punktem)"/>
    <w:basedOn w:val="ARTartustawynprozporzdzenia"/>
    <w:uiPriority w:val="30"/>
    <w:qFormat/>
    <w:rsid w:val="00C25123"/>
    <w:pPr>
      <w:spacing w:before="0"/>
      <w:ind w:left="510"/>
    </w:pPr>
  </w:style>
  <w:style w:type="paragraph" w:customStyle="1" w:styleId="USTustnpkodeksu">
    <w:name w:val="UST(§) – ust. (§ np. kodeksu)"/>
    <w:basedOn w:val="Normalny"/>
    <w:uiPriority w:val="12"/>
    <w:qFormat/>
    <w:rsid w:val="004364E7"/>
    <w:pPr>
      <w:suppressAutoHyphens/>
      <w:autoSpaceDE w:val="0"/>
      <w:autoSpaceDN w:val="0"/>
      <w:adjustRightInd w:val="0"/>
      <w:spacing w:after="0"/>
      <w:ind w:firstLine="510"/>
    </w:pPr>
    <w:rPr>
      <w:rFonts w:ascii="Times" w:eastAsiaTheme="minorEastAsia" w:hAnsi="Times" w:cs="Arial"/>
      <w:bCs/>
      <w:szCs w:val="20"/>
      <w:lang w:eastAsia="pl-PL"/>
    </w:rPr>
  </w:style>
  <w:style w:type="character" w:customStyle="1" w:styleId="Kkursywa">
    <w:name w:val="_K_ – kursywa"/>
    <w:basedOn w:val="Domylnaczcionkaakapitu"/>
    <w:uiPriority w:val="1"/>
    <w:qFormat/>
    <w:rsid w:val="004364E7"/>
    <w:rPr>
      <w:i/>
    </w:rPr>
  </w:style>
  <w:style w:type="paragraph" w:styleId="Nagwek">
    <w:name w:val="header"/>
    <w:basedOn w:val="Normalny"/>
    <w:link w:val="NagwekZnak"/>
    <w:uiPriority w:val="99"/>
    <w:unhideWhenUsed/>
    <w:rsid w:val="00C033AE"/>
    <w:pPr>
      <w:tabs>
        <w:tab w:val="center" w:pos="4536"/>
        <w:tab w:val="right" w:pos="9072"/>
      </w:tabs>
      <w:spacing w:after="0"/>
    </w:pPr>
  </w:style>
  <w:style w:type="character" w:customStyle="1" w:styleId="NagwekZnak">
    <w:name w:val="Nagłówek Znak"/>
    <w:basedOn w:val="Domylnaczcionkaakapitu"/>
    <w:link w:val="Nagwek"/>
    <w:uiPriority w:val="99"/>
    <w:rsid w:val="00C033AE"/>
    <w:rPr>
      <w:rFonts w:ascii="Times New Roman" w:hAnsi="Times New Roman" w:cs="Calibri"/>
      <w:sz w:val="24"/>
    </w:rPr>
  </w:style>
  <w:style w:type="paragraph" w:styleId="Stopka">
    <w:name w:val="footer"/>
    <w:basedOn w:val="Normalny"/>
    <w:link w:val="StopkaZnak"/>
    <w:uiPriority w:val="99"/>
    <w:unhideWhenUsed/>
    <w:rsid w:val="00C033AE"/>
    <w:pPr>
      <w:tabs>
        <w:tab w:val="center" w:pos="4536"/>
        <w:tab w:val="right" w:pos="9072"/>
      </w:tabs>
      <w:spacing w:after="0"/>
    </w:pPr>
  </w:style>
  <w:style w:type="character" w:customStyle="1" w:styleId="StopkaZnak">
    <w:name w:val="Stopka Znak"/>
    <w:basedOn w:val="Domylnaczcionkaakapitu"/>
    <w:link w:val="Stopka"/>
    <w:uiPriority w:val="99"/>
    <w:rsid w:val="00C033AE"/>
    <w:rPr>
      <w:rFonts w:ascii="Times New Roman" w:hAnsi="Times New Roman" w:cs="Calibri"/>
      <w:sz w:val="24"/>
    </w:rPr>
  </w:style>
  <w:style w:type="paragraph" w:customStyle="1" w:styleId="ZUSTzmustartykuempunktem">
    <w:name w:val="Z/UST(§) – zm. ust. (§) artykułem (punktem)"/>
    <w:basedOn w:val="Normalny"/>
    <w:uiPriority w:val="30"/>
    <w:qFormat/>
    <w:rsid w:val="00C033AE"/>
    <w:pPr>
      <w:suppressAutoHyphens/>
      <w:autoSpaceDE w:val="0"/>
      <w:autoSpaceDN w:val="0"/>
      <w:adjustRightInd w:val="0"/>
      <w:spacing w:after="0"/>
      <w:ind w:left="510" w:firstLine="510"/>
    </w:pPr>
    <w:rPr>
      <w:rFonts w:ascii="Times" w:eastAsiaTheme="minorEastAsia" w:hAnsi="Times" w:cs="Arial"/>
      <w:szCs w:val="20"/>
      <w:lang w:eastAsia="pl-PL"/>
    </w:rPr>
  </w:style>
  <w:style w:type="paragraph" w:customStyle="1" w:styleId="LITlitera">
    <w:name w:val="LIT – litera"/>
    <w:basedOn w:val="Normalny"/>
    <w:uiPriority w:val="14"/>
    <w:qFormat/>
    <w:rsid w:val="00C033AE"/>
    <w:pPr>
      <w:spacing w:after="0"/>
      <w:ind w:left="986" w:hanging="476"/>
    </w:pPr>
    <w:rPr>
      <w:rFonts w:ascii="Times" w:eastAsiaTheme="minorEastAsia" w:hAnsi="Times" w:cs="Arial"/>
      <w:bCs/>
      <w:szCs w:val="20"/>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7A58B8"/>
    <w:pPr>
      <w:suppressAutoHyphens/>
      <w:autoSpaceDE w:val="0"/>
      <w:autoSpaceDN w:val="0"/>
      <w:adjustRightInd w:val="0"/>
      <w:spacing w:before="120" w:after="0"/>
      <w:ind w:firstLine="510"/>
    </w:pPr>
    <w:rPr>
      <w:rFonts w:ascii="Times" w:eastAsiaTheme="minorEastAsia" w:hAnsi="Times" w:cs="Arial"/>
      <w:bCs/>
      <w:szCs w:val="20"/>
      <w:lang w:eastAsia="pl-PL"/>
    </w:rPr>
  </w:style>
  <w:style w:type="paragraph" w:styleId="Tytu">
    <w:name w:val="Title"/>
    <w:basedOn w:val="Normalny"/>
    <w:next w:val="Normalny"/>
    <w:link w:val="TytuZnak"/>
    <w:uiPriority w:val="10"/>
    <w:qFormat/>
    <w:rsid w:val="007A58B8"/>
    <w:pPr>
      <w:spacing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58B8"/>
    <w:rPr>
      <w:rFonts w:asciiTheme="majorHAnsi" w:eastAsiaTheme="majorEastAsia" w:hAnsiTheme="majorHAnsi" w:cstheme="majorBidi"/>
      <w:spacing w:val="-10"/>
      <w:kern w:val="28"/>
      <w:sz w:val="56"/>
      <w:szCs w:val="56"/>
    </w:rPr>
  </w:style>
  <w:style w:type="table" w:styleId="Tabela-Siatka">
    <w:name w:val="Table Grid"/>
    <w:basedOn w:val="Standardowy"/>
    <w:rsid w:val="007A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ormalny"/>
    <w:link w:val="PodtytuZnak"/>
    <w:uiPriority w:val="11"/>
    <w:qFormat/>
    <w:rsid w:val="00F70573"/>
    <w:pPr>
      <w:spacing w:line="23" w:lineRule="atLeast"/>
    </w:pPr>
    <w:rPr>
      <w:rFonts w:cs="Times New Roman"/>
      <w:bCs/>
      <w:szCs w:val="24"/>
    </w:rPr>
  </w:style>
  <w:style w:type="character" w:customStyle="1" w:styleId="PodtytuZnak">
    <w:name w:val="Podtytuł Znak"/>
    <w:basedOn w:val="Domylnaczcionkaakapitu"/>
    <w:link w:val="Podtytu"/>
    <w:uiPriority w:val="11"/>
    <w:rsid w:val="00F70573"/>
    <w:rPr>
      <w:rFonts w:ascii="Times New Roman" w:eastAsiaTheme="majorEastAsia" w:hAnsi="Times New Roman" w:cs="Times New Roman"/>
      <w:b/>
      <w:bCs/>
      <w:sz w:val="24"/>
      <w:szCs w:val="24"/>
    </w:rPr>
  </w:style>
  <w:style w:type="paragraph" w:styleId="Tematkomentarza">
    <w:name w:val="annotation subject"/>
    <w:basedOn w:val="Tekstkomentarza"/>
    <w:next w:val="Tekstkomentarza"/>
    <w:link w:val="TematkomentarzaZnak"/>
    <w:uiPriority w:val="99"/>
    <w:semiHidden/>
    <w:unhideWhenUsed/>
    <w:rsid w:val="00ED6232"/>
    <w:pPr>
      <w:suppressAutoHyphens w:val="0"/>
      <w:spacing w:after="120" w:line="240" w:lineRule="auto"/>
    </w:pPr>
    <w:rPr>
      <w:rFonts w:ascii="Times New Roman" w:eastAsiaTheme="minorHAnsi" w:hAnsi="Times New Roman"/>
      <w:b/>
      <w:bCs/>
      <w:lang w:eastAsia="en-US"/>
    </w:rPr>
  </w:style>
  <w:style w:type="character" w:customStyle="1" w:styleId="TematkomentarzaZnak">
    <w:name w:val="Temat komentarza Znak"/>
    <w:basedOn w:val="TekstkomentarzaZnak"/>
    <w:link w:val="Tematkomentarza"/>
    <w:uiPriority w:val="99"/>
    <w:semiHidden/>
    <w:rsid w:val="00ED6232"/>
    <w:rPr>
      <w:rFonts w:ascii="Times New Roman" w:eastAsia="Calibri" w:hAnsi="Times New Roman" w:cs="Calibri"/>
      <w:b/>
      <w:bCs/>
      <w:sz w:val="20"/>
      <w:szCs w:val="20"/>
      <w:lang w:eastAsia="ar-SA"/>
    </w:rPr>
  </w:style>
  <w:style w:type="character" w:customStyle="1" w:styleId="Nagwek3Znak">
    <w:name w:val="Nagłówek 3 Znak"/>
    <w:basedOn w:val="Domylnaczcionkaakapitu"/>
    <w:link w:val="Nagwek3"/>
    <w:uiPriority w:val="9"/>
    <w:rsid w:val="00EA01DD"/>
    <w:rPr>
      <w:rFonts w:ascii="Times New Roman" w:eastAsiaTheme="majorEastAsia" w:hAnsi="Times New Roman" w:cstheme="majorBidi"/>
      <w:b/>
      <w:sz w:val="24"/>
      <w:szCs w:val="24"/>
    </w:rPr>
  </w:style>
  <w:style w:type="paragraph" w:styleId="Poprawka">
    <w:name w:val="Revision"/>
    <w:hidden/>
    <w:uiPriority w:val="99"/>
    <w:semiHidden/>
    <w:rsid w:val="00E03252"/>
    <w:pPr>
      <w:spacing w:after="0" w:line="240" w:lineRule="auto"/>
    </w:pPr>
    <w:rPr>
      <w:rFonts w:ascii="Times New Roman" w:hAnsi="Times New Roman" w:cs="Calibri"/>
      <w:sz w:val="24"/>
    </w:rPr>
  </w:style>
  <w:style w:type="character" w:styleId="Hipercze">
    <w:name w:val="Hyperlink"/>
    <w:basedOn w:val="Domylnaczcionkaakapitu"/>
    <w:uiPriority w:val="99"/>
    <w:unhideWhenUsed/>
    <w:rsid w:val="00993E69"/>
    <w:rPr>
      <w:color w:val="0563C1" w:themeColor="hyperlink"/>
      <w:u w:val="single"/>
    </w:rPr>
  </w:style>
  <w:style w:type="character" w:customStyle="1" w:styleId="Nierozpoznanawzmianka1">
    <w:name w:val="Nierozpoznana wzmianka1"/>
    <w:basedOn w:val="Domylnaczcionkaakapitu"/>
    <w:uiPriority w:val="99"/>
    <w:semiHidden/>
    <w:unhideWhenUsed/>
    <w:rsid w:val="00993E69"/>
    <w:rPr>
      <w:color w:val="605E5C"/>
      <w:shd w:val="clear" w:color="auto" w:fill="E1DFDD"/>
    </w:rPr>
  </w:style>
  <w:style w:type="paragraph" w:styleId="Tekstdymka">
    <w:name w:val="Balloon Text"/>
    <w:basedOn w:val="Normalny"/>
    <w:link w:val="TekstdymkaZnak"/>
    <w:uiPriority w:val="99"/>
    <w:semiHidden/>
    <w:unhideWhenUsed/>
    <w:rsid w:val="002137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37B0"/>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0B1E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1EB0"/>
    <w:rPr>
      <w:rFonts w:ascii="Times New Roman" w:hAnsi="Times New Roman" w:cs="Calibri"/>
      <w:sz w:val="20"/>
      <w:szCs w:val="20"/>
    </w:rPr>
  </w:style>
  <w:style w:type="character" w:styleId="Odwoanieprzypisudolnego">
    <w:name w:val="footnote reference"/>
    <w:basedOn w:val="Domylnaczcionkaakapitu"/>
    <w:uiPriority w:val="99"/>
    <w:semiHidden/>
    <w:unhideWhenUsed/>
    <w:rsid w:val="000B1EB0"/>
    <w:rPr>
      <w:vertAlign w:val="superscript"/>
    </w:rPr>
  </w:style>
  <w:style w:type="paragraph" w:customStyle="1" w:styleId="pf0">
    <w:name w:val="pf0"/>
    <w:basedOn w:val="Normalny"/>
    <w:rsid w:val="00482E3E"/>
    <w:pPr>
      <w:spacing w:before="100" w:beforeAutospacing="1" w:after="100" w:afterAutospacing="1" w:line="240" w:lineRule="auto"/>
      <w:ind w:firstLine="0"/>
      <w:jc w:val="left"/>
    </w:pPr>
    <w:rPr>
      <w:rFonts w:eastAsia="Times New Roman" w:cs="Times New Roman"/>
      <w:szCs w:val="24"/>
      <w:lang w:eastAsia="pl-PL"/>
    </w:rPr>
  </w:style>
  <w:style w:type="character" w:customStyle="1" w:styleId="cf01">
    <w:name w:val="cf01"/>
    <w:basedOn w:val="Domylnaczcionkaakapitu"/>
    <w:rsid w:val="00482E3E"/>
    <w:rPr>
      <w:rFonts w:ascii="Segoe UI" w:hAnsi="Segoe UI" w:cs="Segoe UI" w:hint="default"/>
      <w:sz w:val="18"/>
      <w:szCs w:val="18"/>
      <w:shd w:val="clear" w:color="auto" w:fill="FFFF00"/>
    </w:rPr>
  </w:style>
  <w:style w:type="character" w:customStyle="1" w:styleId="cf21">
    <w:name w:val="cf21"/>
    <w:basedOn w:val="Domylnaczcionkaakapitu"/>
    <w:rsid w:val="00482E3E"/>
    <w:rPr>
      <w:rFonts w:ascii="Segoe UI" w:hAnsi="Segoe UI" w:cs="Segoe UI" w:hint="default"/>
      <w:sz w:val="18"/>
      <w:szCs w:val="18"/>
    </w:rPr>
  </w:style>
  <w:style w:type="character" w:customStyle="1" w:styleId="cf31">
    <w:name w:val="cf31"/>
    <w:basedOn w:val="Domylnaczcionkaakapitu"/>
    <w:rsid w:val="00482E3E"/>
    <w:rPr>
      <w:rFonts w:ascii="Segoe UI" w:hAnsi="Segoe UI" w:cs="Segoe UI" w:hint="default"/>
      <w:b/>
      <w:bCs/>
      <w:sz w:val="18"/>
      <w:szCs w:val="18"/>
    </w:rPr>
  </w:style>
  <w:style w:type="paragraph" w:styleId="Tekstprzypisukocowego">
    <w:name w:val="endnote text"/>
    <w:basedOn w:val="Normalny"/>
    <w:link w:val="TekstprzypisukocowegoZnak"/>
    <w:uiPriority w:val="99"/>
    <w:semiHidden/>
    <w:unhideWhenUsed/>
    <w:rsid w:val="00A05A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5AE4"/>
    <w:rPr>
      <w:rFonts w:ascii="Times New Roman" w:hAnsi="Times New Roman" w:cs="Calibri"/>
      <w:sz w:val="20"/>
      <w:szCs w:val="20"/>
    </w:rPr>
  </w:style>
  <w:style w:type="character" w:styleId="Odwoanieprzypisukocowego">
    <w:name w:val="endnote reference"/>
    <w:basedOn w:val="Domylnaczcionkaakapitu"/>
    <w:uiPriority w:val="99"/>
    <w:semiHidden/>
    <w:unhideWhenUsed/>
    <w:rsid w:val="00A05AE4"/>
    <w:rPr>
      <w:vertAlign w:val="superscript"/>
    </w:rPr>
  </w:style>
  <w:style w:type="character" w:customStyle="1" w:styleId="object">
    <w:name w:val="object"/>
    <w:basedOn w:val="Domylnaczcionkaakapitu"/>
    <w:rsid w:val="008536A9"/>
  </w:style>
  <w:style w:type="paragraph" w:customStyle="1" w:styleId="PKTpunkt">
    <w:name w:val="PKT – punkt"/>
    <w:uiPriority w:val="13"/>
    <w:qFormat/>
    <w:rsid w:val="006C362E"/>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6C362E"/>
    <w:rPr>
      <w:b/>
    </w:rPr>
  </w:style>
  <w:style w:type="character" w:customStyle="1" w:styleId="highlight">
    <w:name w:val="highlight"/>
    <w:basedOn w:val="Domylnaczcionkaakapitu"/>
    <w:rsid w:val="00666AA3"/>
  </w:style>
  <w:style w:type="character" w:customStyle="1" w:styleId="Nierozpoznanawzmianka2">
    <w:name w:val="Nierozpoznana wzmianka2"/>
    <w:basedOn w:val="Domylnaczcionkaakapitu"/>
    <w:uiPriority w:val="99"/>
    <w:semiHidden/>
    <w:unhideWhenUsed/>
    <w:rsid w:val="00E76CD9"/>
    <w:rPr>
      <w:color w:val="605E5C"/>
      <w:shd w:val="clear" w:color="auto" w:fill="E1DFDD"/>
    </w:rPr>
  </w:style>
  <w:style w:type="character" w:customStyle="1" w:styleId="Nierozpoznanawzmianka3">
    <w:name w:val="Nierozpoznana wzmianka3"/>
    <w:basedOn w:val="Domylnaczcionkaakapitu"/>
    <w:uiPriority w:val="99"/>
    <w:semiHidden/>
    <w:unhideWhenUsed/>
    <w:rsid w:val="007119A9"/>
    <w:rPr>
      <w:color w:val="605E5C"/>
      <w:shd w:val="clear" w:color="auto" w:fill="E1DFDD"/>
    </w:rPr>
  </w:style>
  <w:style w:type="paragraph" w:styleId="NormalnyWeb">
    <w:name w:val="Normal (Web)"/>
    <w:basedOn w:val="Normalny"/>
    <w:uiPriority w:val="99"/>
    <w:semiHidden/>
    <w:unhideWhenUsed/>
    <w:rsid w:val="0013062A"/>
    <w:pPr>
      <w:spacing w:before="100" w:beforeAutospacing="1" w:after="100" w:afterAutospacing="1" w:line="240" w:lineRule="auto"/>
      <w:ind w:firstLine="0"/>
      <w:jc w:val="left"/>
    </w:pPr>
    <w:rPr>
      <w:rFonts w:eastAsia="Times New Roman" w:cs="Times New Roman"/>
      <w:szCs w:val="24"/>
      <w:lang w:eastAsia="pl-PL"/>
    </w:rPr>
  </w:style>
  <w:style w:type="character" w:customStyle="1" w:styleId="Nierozpoznanawzmianka4">
    <w:name w:val="Nierozpoznana wzmianka4"/>
    <w:basedOn w:val="Domylnaczcionkaakapitu"/>
    <w:uiPriority w:val="99"/>
    <w:semiHidden/>
    <w:unhideWhenUsed/>
    <w:rsid w:val="00E150FD"/>
    <w:rPr>
      <w:color w:val="605E5C"/>
      <w:shd w:val="clear" w:color="auto" w:fill="E1DFDD"/>
    </w:rPr>
  </w:style>
  <w:style w:type="character" w:customStyle="1" w:styleId="Wzmianka1">
    <w:name w:val="Wzmianka1"/>
    <w:basedOn w:val="Domylnaczcionkaakapitu"/>
    <w:uiPriority w:val="99"/>
    <w:unhideWhenUsed/>
    <w:rsid w:val="00DB08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7020">
      <w:bodyDiv w:val="1"/>
      <w:marLeft w:val="0"/>
      <w:marRight w:val="0"/>
      <w:marTop w:val="0"/>
      <w:marBottom w:val="0"/>
      <w:divBdr>
        <w:top w:val="none" w:sz="0" w:space="0" w:color="auto"/>
        <w:left w:val="none" w:sz="0" w:space="0" w:color="auto"/>
        <w:bottom w:val="none" w:sz="0" w:space="0" w:color="auto"/>
        <w:right w:val="none" w:sz="0" w:space="0" w:color="auto"/>
      </w:divBdr>
    </w:div>
    <w:div w:id="175733124">
      <w:bodyDiv w:val="1"/>
      <w:marLeft w:val="0"/>
      <w:marRight w:val="0"/>
      <w:marTop w:val="0"/>
      <w:marBottom w:val="0"/>
      <w:divBdr>
        <w:top w:val="none" w:sz="0" w:space="0" w:color="auto"/>
        <w:left w:val="none" w:sz="0" w:space="0" w:color="auto"/>
        <w:bottom w:val="none" w:sz="0" w:space="0" w:color="auto"/>
        <w:right w:val="none" w:sz="0" w:space="0" w:color="auto"/>
      </w:divBdr>
    </w:div>
    <w:div w:id="245965460">
      <w:bodyDiv w:val="1"/>
      <w:marLeft w:val="0"/>
      <w:marRight w:val="0"/>
      <w:marTop w:val="0"/>
      <w:marBottom w:val="0"/>
      <w:divBdr>
        <w:top w:val="none" w:sz="0" w:space="0" w:color="auto"/>
        <w:left w:val="none" w:sz="0" w:space="0" w:color="auto"/>
        <w:bottom w:val="none" w:sz="0" w:space="0" w:color="auto"/>
        <w:right w:val="none" w:sz="0" w:space="0" w:color="auto"/>
      </w:divBdr>
    </w:div>
    <w:div w:id="269435530">
      <w:bodyDiv w:val="1"/>
      <w:marLeft w:val="0"/>
      <w:marRight w:val="0"/>
      <w:marTop w:val="0"/>
      <w:marBottom w:val="0"/>
      <w:divBdr>
        <w:top w:val="none" w:sz="0" w:space="0" w:color="auto"/>
        <w:left w:val="none" w:sz="0" w:space="0" w:color="auto"/>
        <w:bottom w:val="none" w:sz="0" w:space="0" w:color="auto"/>
        <w:right w:val="none" w:sz="0" w:space="0" w:color="auto"/>
      </w:divBdr>
    </w:div>
    <w:div w:id="270017961">
      <w:bodyDiv w:val="1"/>
      <w:marLeft w:val="0"/>
      <w:marRight w:val="0"/>
      <w:marTop w:val="0"/>
      <w:marBottom w:val="0"/>
      <w:divBdr>
        <w:top w:val="none" w:sz="0" w:space="0" w:color="auto"/>
        <w:left w:val="none" w:sz="0" w:space="0" w:color="auto"/>
        <w:bottom w:val="none" w:sz="0" w:space="0" w:color="auto"/>
        <w:right w:val="none" w:sz="0" w:space="0" w:color="auto"/>
      </w:divBdr>
    </w:div>
    <w:div w:id="380792974">
      <w:bodyDiv w:val="1"/>
      <w:marLeft w:val="0"/>
      <w:marRight w:val="0"/>
      <w:marTop w:val="0"/>
      <w:marBottom w:val="0"/>
      <w:divBdr>
        <w:top w:val="none" w:sz="0" w:space="0" w:color="auto"/>
        <w:left w:val="none" w:sz="0" w:space="0" w:color="auto"/>
        <w:bottom w:val="none" w:sz="0" w:space="0" w:color="auto"/>
        <w:right w:val="none" w:sz="0" w:space="0" w:color="auto"/>
      </w:divBdr>
    </w:div>
    <w:div w:id="388655750">
      <w:bodyDiv w:val="1"/>
      <w:marLeft w:val="0"/>
      <w:marRight w:val="0"/>
      <w:marTop w:val="0"/>
      <w:marBottom w:val="0"/>
      <w:divBdr>
        <w:top w:val="none" w:sz="0" w:space="0" w:color="auto"/>
        <w:left w:val="none" w:sz="0" w:space="0" w:color="auto"/>
        <w:bottom w:val="none" w:sz="0" w:space="0" w:color="auto"/>
        <w:right w:val="none" w:sz="0" w:space="0" w:color="auto"/>
      </w:divBdr>
    </w:div>
    <w:div w:id="434130244">
      <w:bodyDiv w:val="1"/>
      <w:marLeft w:val="0"/>
      <w:marRight w:val="0"/>
      <w:marTop w:val="0"/>
      <w:marBottom w:val="0"/>
      <w:divBdr>
        <w:top w:val="none" w:sz="0" w:space="0" w:color="auto"/>
        <w:left w:val="none" w:sz="0" w:space="0" w:color="auto"/>
        <w:bottom w:val="none" w:sz="0" w:space="0" w:color="auto"/>
        <w:right w:val="none" w:sz="0" w:space="0" w:color="auto"/>
      </w:divBdr>
      <w:divsChild>
        <w:div w:id="1718971093">
          <w:marLeft w:val="0"/>
          <w:marRight w:val="0"/>
          <w:marTop w:val="0"/>
          <w:marBottom w:val="0"/>
          <w:divBdr>
            <w:top w:val="none" w:sz="0" w:space="0" w:color="auto"/>
            <w:left w:val="none" w:sz="0" w:space="0" w:color="auto"/>
            <w:bottom w:val="none" w:sz="0" w:space="0" w:color="auto"/>
            <w:right w:val="none" w:sz="0" w:space="0" w:color="auto"/>
          </w:divBdr>
          <w:divsChild>
            <w:div w:id="214435723">
              <w:marLeft w:val="0"/>
              <w:marRight w:val="0"/>
              <w:marTop w:val="0"/>
              <w:marBottom w:val="0"/>
              <w:divBdr>
                <w:top w:val="none" w:sz="0" w:space="0" w:color="auto"/>
                <w:left w:val="none" w:sz="0" w:space="0" w:color="auto"/>
                <w:bottom w:val="none" w:sz="0" w:space="0" w:color="auto"/>
                <w:right w:val="none" w:sz="0" w:space="0" w:color="auto"/>
              </w:divBdr>
              <w:divsChild>
                <w:div w:id="5698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78967">
          <w:marLeft w:val="0"/>
          <w:marRight w:val="0"/>
          <w:marTop w:val="0"/>
          <w:marBottom w:val="0"/>
          <w:divBdr>
            <w:top w:val="none" w:sz="0" w:space="0" w:color="auto"/>
            <w:left w:val="none" w:sz="0" w:space="0" w:color="auto"/>
            <w:bottom w:val="none" w:sz="0" w:space="0" w:color="auto"/>
            <w:right w:val="none" w:sz="0" w:space="0" w:color="auto"/>
          </w:divBdr>
          <w:divsChild>
            <w:div w:id="2962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864">
      <w:bodyDiv w:val="1"/>
      <w:marLeft w:val="0"/>
      <w:marRight w:val="0"/>
      <w:marTop w:val="0"/>
      <w:marBottom w:val="0"/>
      <w:divBdr>
        <w:top w:val="none" w:sz="0" w:space="0" w:color="auto"/>
        <w:left w:val="none" w:sz="0" w:space="0" w:color="auto"/>
        <w:bottom w:val="none" w:sz="0" w:space="0" w:color="auto"/>
        <w:right w:val="none" w:sz="0" w:space="0" w:color="auto"/>
      </w:divBdr>
      <w:divsChild>
        <w:div w:id="714086129">
          <w:marLeft w:val="0"/>
          <w:marRight w:val="0"/>
          <w:marTop w:val="0"/>
          <w:marBottom w:val="0"/>
          <w:divBdr>
            <w:top w:val="none" w:sz="0" w:space="0" w:color="auto"/>
            <w:left w:val="none" w:sz="0" w:space="0" w:color="auto"/>
            <w:bottom w:val="none" w:sz="0" w:space="0" w:color="auto"/>
            <w:right w:val="none" w:sz="0" w:space="0" w:color="auto"/>
          </w:divBdr>
        </w:div>
        <w:div w:id="1487434080">
          <w:marLeft w:val="0"/>
          <w:marRight w:val="0"/>
          <w:marTop w:val="0"/>
          <w:marBottom w:val="0"/>
          <w:divBdr>
            <w:top w:val="none" w:sz="0" w:space="0" w:color="auto"/>
            <w:left w:val="none" w:sz="0" w:space="0" w:color="auto"/>
            <w:bottom w:val="none" w:sz="0" w:space="0" w:color="auto"/>
            <w:right w:val="none" w:sz="0" w:space="0" w:color="auto"/>
          </w:divBdr>
        </w:div>
      </w:divsChild>
    </w:div>
    <w:div w:id="776366757">
      <w:bodyDiv w:val="1"/>
      <w:marLeft w:val="0"/>
      <w:marRight w:val="0"/>
      <w:marTop w:val="0"/>
      <w:marBottom w:val="0"/>
      <w:divBdr>
        <w:top w:val="none" w:sz="0" w:space="0" w:color="auto"/>
        <w:left w:val="none" w:sz="0" w:space="0" w:color="auto"/>
        <w:bottom w:val="none" w:sz="0" w:space="0" w:color="auto"/>
        <w:right w:val="none" w:sz="0" w:space="0" w:color="auto"/>
      </w:divBdr>
    </w:div>
    <w:div w:id="987436952">
      <w:bodyDiv w:val="1"/>
      <w:marLeft w:val="0"/>
      <w:marRight w:val="0"/>
      <w:marTop w:val="0"/>
      <w:marBottom w:val="0"/>
      <w:divBdr>
        <w:top w:val="none" w:sz="0" w:space="0" w:color="auto"/>
        <w:left w:val="none" w:sz="0" w:space="0" w:color="auto"/>
        <w:bottom w:val="none" w:sz="0" w:space="0" w:color="auto"/>
        <w:right w:val="none" w:sz="0" w:space="0" w:color="auto"/>
      </w:divBdr>
    </w:div>
    <w:div w:id="1071198109">
      <w:bodyDiv w:val="1"/>
      <w:marLeft w:val="0"/>
      <w:marRight w:val="0"/>
      <w:marTop w:val="0"/>
      <w:marBottom w:val="0"/>
      <w:divBdr>
        <w:top w:val="none" w:sz="0" w:space="0" w:color="auto"/>
        <w:left w:val="none" w:sz="0" w:space="0" w:color="auto"/>
        <w:bottom w:val="none" w:sz="0" w:space="0" w:color="auto"/>
        <w:right w:val="none" w:sz="0" w:space="0" w:color="auto"/>
      </w:divBdr>
    </w:div>
    <w:div w:id="1087309938">
      <w:bodyDiv w:val="1"/>
      <w:marLeft w:val="0"/>
      <w:marRight w:val="0"/>
      <w:marTop w:val="0"/>
      <w:marBottom w:val="0"/>
      <w:divBdr>
        <w:top w:val="none" w:sz="0" w:space="0" w:color="auto"/>
        <w:left w:val="none" w:sz="0" w:space="0" w:color="auto"/>
        <w:bottom w:val="none" w:sz="0" w:space="0" w:color="auto"/>
        <w:right w:val="none" w:sz="0" w:space="0" w:color="auto"/>
      </w:divBdr>
    </w:div>
    <w:div w:id="1115100500">
      <w:bodyDiv w:val="1"/>
      <w:marLeft w:val="0"/>
      <w:marRight w:val="0"/>
      <w:marTop w:val="0"/>
      <w:marBottom w:val="0"/>
      <w:divBdr>
        <w:top w:val="none" w:sz="0" w:space="0" w:color="auto"/>
        <w:left w:val="none" w:sz="0" w:space="0" w:color="auto"/>
        <w:bottom w:val="none" w:sz="0" w:space="0" w:color="auto"/>
        <w:right w:val="none" w:sz="0" w:space="0" w:color="auto"/>
      </w:divBdr>
    </w:div>
    <w:div w:id="1339848777">
      <w:bodyDiv w:val="1"/>
      <w:marLeft w:val="0"/>
      <w:marRight w:val="0"/>
      <w:marTop w:val="0"/>
      <w:marBottom w:val="0"/>
      <w:divBdr>
        <w:top w:val="none" w:sz="0" w:space="0" w:color="auto"/>
        <w:left w:val="none" w:sz="0" w:space="0" w:color="auto"/>
        <w:bottom w:val="none" w:sz="0" w:space="0" w:color="auto"/>
        <w:right w:val="none" w:sz="0" w:space="0" w:color="auto"/>
      </w:divBdr>
    </w:div>
    <w:div w:id="1399203270">
      <w:bodyDiv w:val="1"/>
      <w:marLeft w:val="0"/>
      <w:marRight w:val="0"/>
      <w:marTop w:val="0"/>
      <w:marBottom w:val="0"/>
      <w:divBdr>
        <w:top w:val="none" w:sz="0" w:space="0" w:color="auto"/>
        <w:left w:val="none" w:sz="0" w:space="0" w:color="auto"/>
        <w:bottom w:val="none" w:sz="0" w:space="0" w:color="auto"/>
        <w:right w:val="none" w:sz="0" w:space="0" w:color="auto"/>
      </w:divBdr>
    </w:div>
    <w:div w:id="1406805952">
      <w:bodyDiv w:val="1"/>
      <w:marLeft w:val="0"/>
      <w:marRight w:val="0"/>
      <w:marTop w:val="0"/>
      <w:marBottom w:val="0"/>
      <w:divBdr>
        <w:top w:val="none" w:sz="0" w:space="0" w:color="auto"/>
        <w:left w:val="none" w:sz="0" w:space="0" w:color="auto"/>
        <w:bottom w:val="none" w:sz="0" w:space="0" w:color="auto"/>
        <w:right w:val="none" w:sz="0" w:space="0" w:color="auto"/>
      </w:divBdr>
    </w:div>
    <w:div w:id="1526945910">
      <w:bodyDiv w:val="1"/>
      <w:marLeft w:val="0"/>
      <w:marRight w:val="0"/>
      <w:marTop w:val="0"/>
      <w:marBottom w:val="0"/>
      <w:divBdr>
        <w:top w:val="none" w:sz="0" w:space="0" w:color="auto"/>
        <w:left w:val="none" w:sz="0" w:space="0" w:color="auto"/>
        <w:bottom w:val="none" w:sz="0" w:space="0" w:color="auto"/>
        <w:right w:val="none" w:sz="0" w:space="0" w:color="auto"/>
      </w:divBdr>
    </w:div>
    <w:div w:id="1554543613">
      <w:bodyDiv w:val="1"/>
      <w:marLeft w:val="0"/>
      <w:marRight w:val="0"/>
      <w:marTop w:val="0"/>
      <w:marBottom w:val="0"/>
      <w:divBdr>
        <w:top w:val="none" w:sz="0" w:space="0" w:color="auto"/>
        <w:left w:val="none" w:sz="0" w:space="0" w:color="auto"/>
        <w:bottom w:val="none" w:sz="0" w:space="0" w:color="auto"/>
        <w:right w:val="none" w:sz="0" w:space="0" w:color="auto"/>
      </w:divBdr>
    </w:div>
    <w:div w:id="1651908908">
      <w:bodyDiv w:val="1"/>
      <w:marLeft w:val="0"/>
      <w:marRight w:val="0"/>
      <w:marTop w:val="0"/>
      <w:marBottom w:val="0"/>
      <w:divBdr>
        <w:top w:val="none" w:sz="0" w:space="0" w:color="auto"/>
        <w:left w:val="none" w:sz="0" w:space="0" w:color="auto"/>
        <w:bottom w:val="none" w:sz="0" w:space="0" w:color="auto"/>
        <w:right w:val="none" w:sz="0" w:space="0" w:color="auto"/>
      </w:divBdr>
    </w:div>
    <w:div w:id="1690329639">
      <w:bodyDiv w:val="1"/>
      <w:marLeft w:val="0"/>
      <w:marRight w:val="0"/>
      <w:marTop w:val="0"/>
      <w:marBottom w:val="0"/>
      <w:divBdr>
        <w:top w:val="none" w:sz="0" w:space="0" w:color="auto"/>
        <w:left w:val="none" w:sz="0" w:space="0" w:color="auto"/>
        <w:bottom w:val="none" w:sz="0" w:space="0" w:color="auto"/>
        <w:right w:val="none" w:sz="0" w:space="0" w:color="auto"/>
      </w:divBdr>
    </w:div>
    <w:div w:id="1738700207">
      <w:bodyDiv w:val="1"/>
      <w:marLeft w:val="0"/>
      <w:marRight w:val="0"/>
      <w:marTop w:val="0"/>
      <w:marBottom w:val="0"/>
      <w:divBdr>
        <w:top w:val="none" w:sz="0" w:space="0" w:color="auto"/>
        <w:left w:val="none" w:sz="0" w:space="0" w:color="auto"/>
        <w:bottom w:val="none" w:sz="0" w:space="0" w:color="auto"/>
        <w:right w:val="none" w:sz="0" w:space="0" w:color="auto"/>
      </w:divBdr>
    </w:div>
    <w:div w:id="1766919499">
      <w:bodyDiv w:val="1"/>
      <w:marLeft w:val="0"/>
      <w:marRight w:val="0"/>
      <w:marTop w:val="0"/>
      <w:marBottom w:val="0"/>
      <w:divBdr>
        <w:top w:val="none" w:sz="0" w:space="0" w:color="auto"/>
        <w:left w:val="none" w:sz="0" w:space="0" w:color="auto"/>
        <w:bottom w:val="none" w:sz="0" w:space="0" w:color="auto"/>
        <w:right w:val="none" w:sz="0" w:space="0" w:color="auto"/>
      </w:divBdr>
    </w:div>
    <w:div w:id="1969123812">
      <w:bodyDiv w:val="1"/>
      <w:marLeft w:val="0"/>
      <w:marRight w:val="0"/>
      <w:marTop w:val="0"/>
      <w:marBottom w:val="0"/>
      <w:divBdr>
        <w:top w:val="none" w:sz="0" w:space="0" w:color="auto"/>
        <w:left w:val="none" w:sz="0" w:space="0" w:color="auto"/>
        <w:bottom w:val="none" w:sz="0" w:space="0" w:color="auto"/>
        <w:right w:val="none" w:sz="0" w:space="0" w:color="auto"/>
      </w:divBdr>
      <w:divsChild>
        <w:div w:id="14229968">
          <w:marLeft w:val="0"/>
          <w:marRight w:val="0"/>
          <w:marTop w:val="0"/>
          <w:marBottom w:val="0"/>
          <w:divBdr>
            <w:top w:val="none" w:sz="0" w:space="0" w:color="auto"/>
            <w:left w:val="none" w:sz="0" w:space="0" w:color="auto"/>
            <w:bottom w:val="none" w:sz="0" w:space="0" w:color="auto"/>
            <w:right w:val="none" w:sz="0" w:space="0" w:color="auto"/>
          </w:divBdr>
          <w:divsChild>
            <w:div w:id="1637567400">
              <w:marLeft w:val="0"/>
              <w:marRight w:val="0"/>
              <w:marTop w:val="0"/>
              <w:marBottom w:val="0"/>
              <w:divBdr>
                <w:top w:val="none" w:sz="0" w:space="0" w:color="auto"/>
                <w:left w:val="none" w:sz="0" w:space="0" w:color="auto"/>
                <w:bottom w:val="none" w:sz="0" w:space="0" w:color="auto"/>
                <w:right w:val="none" w:sz="0" w:space="0" w:color="auto"/>
              </w:divBdr>
              <w:divsChild>
                <w:div w:id="14896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99986">
          <w:marLeft w:val="0"/>
          <w:marRight w:val="0"/>
          <w:marTop w:val="0"/>
          <w:marBottom w:val="0"/>
          <w:divBdr>
            <w:top w:val="none" w:sz="0" w:space="0" w:color="auto"/>
            <w:left w:val="none" w:sz="0" w:space="0" w:color="auto"/>
            <w:bottom w:val="none" w:sz="0" w:space="0" w:color="auto"/>
            <w:right w:val="none" w:sz="0" w:space="0" w:color="auto"/>
          </w:divBdr>
        </w:div>
        <w:div w:id="385956311">
          <w:marLeft w:val="0"/>
          <w:marRight w:val="0"/>
          <w:marTop w:val="0"/>
          <w:marBottom w:val="0"/>
          <w:divBdr>
            <w:top w:val="none" w:sz="0" w:space="0" w:color="auto"/>
            <w:left w:val="none" w:sz="0" w:space="0" w:color="auto"/>
            <w:bottom w:val="none" w:sz="0" w:space="0" w:color="auto"/>
            <w:right w:val="none" w:sz="0" w:space="0" w:color="auto"/>
          </w:divBdr>
          <w:divsChild>
            <w:div w:id="962081442">
              <w:marLeft w:val="0"/>
              <w:marRight w:val="0"/>
              <w:marTop w:val="0"/>
              <w:marBottom w:val="0"/>
              <w:divBdr>
                <w:top w:val="none" w:sz="0" w:space="0" w:color="auto"/>
                <w:left w:val="none" w:sz="0" w:space="0" w:color="auto"/>
                <w:bottom w:val="none" w:sz="0" w:space="0" w:color="auto"/>
                <w:right w:val="none" w:sz="0" w:space="0" w:color="auto"/>
              </w:divBdr>
              <w:divsChild>
                <w:div w:id="1600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2907">
          <w:marLeft w:val="0"/>
          <w:marRight w:val="0"/>
          <w:marTop w:val="0"/>
          <w:marBottom w:val="0"/>
          <w:divBdr>
            <w:top w:val="none" w:sz="0" w:space="0" w:color="auto"/>
            <w:left w:val="none" w:sz="0" w:space="0" w:color="auto"/>
            <w:bottom w:val="none" w:sz="0" w:space="0" w:color="auto"/>
            <w:right w:val="none" w:sz="0" w:space="0" w:color="auto"/>
          </w:divBdr>
          <w:divsChild>
            <w:div w:id="2009365814">
              <w:marLeft w:val="0"/>
              <w:marRight w:val="0"/>
              <w:marTop w:val="0"/>
              <w:marBottom w:val="0"/>
              <w:divBdr>
                <w:top w:val="none" w:sz="0" w:space="0" w:color="auto"/>
                <w:left w:val="none" w:sz="0" w:space="0" w:color="auto"/>
                <w:bottom w:val="none" w:sz="0" w:space="0" w:color="auto"/>
                <w:right w:val="none" w:sz="0" w:space="0" w:color="auto"/>
              </w:divBdr>
              <w:divsChild>
                <w:div w:id="7469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5432">
          <w:marLeft w:val="0"/>
          <w:marRight w:val="0"/>
          <w:marTop w:val="0"/>
          <w:marBottom w:val="0"/>
          <w:divBdr>
            <w:top w:val="none" w:sz="0" w:space="0" w:color="auto"/>
            <w:left w:val="none" w:sz="0" w:space="0" w:color="auto"/>
            <w:bottom w:val="none" w:sz="0" w:space="0" w:color="auto"/>
            <w:right w:val="none" w:sz="0" w:space="0" w:color="auto"/>
          </w:divBdr>
          <w:divsChild>
            <w:div w:id="793325934">
              <w:marLeft w:val="0"/>
              <w:marRight w:val="0"/>
              <w:marTop w:val="0"/>
              <w:marBottom w:val="0"/>
              <w:divBdr>
                <w:top w:val="none" w:sz="0" w:space="0" w:color="auto"/>
                <w:left w:val="none" w:sz="0" w:space="0" w:color="auto"/>
                <w:bottom w:val="none" w:sz="0" w:space="0" w:color="auto"/>
                <w:right w:val="none" w:sz="0" w:space="0" w:color="auto"/>
              </w:divBdr>
              <w:divsChild>
                <w:div w:id="789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4039">
          <w:marLeft w:val="0"/>
          <w:marRight w:val="0"/>
          <w:marTop w:val="0"/>
          <w:marBottom w:val="0"/>
          <w:divBdr>
            <w:top w:val="none" w:sz="0" w:space="0" w:color="auto"/>
            <w:left w:val="none" w:sz="0" w:space="0" w:color="auto"/>
            <w:bottom w:val="none" w:sz="0" w:space="0" w:color="auto"/>
            <w:right w:val="none" w:sz="0" w:space="0" w:color="auto"/>
          </w:divBdr>
          <w:divsChild>
            <w:div w:id="1334185384">
              <w:marLeft w:val="0"/>
              <w:marRight w:val="0"/>
              <w:marTop w:val="0"/>
              <w:marBottom w:val="0"/>
              <w:divBdr>
                <w:top w:val="none" w:sz="0" w:space="0" w:color="auto"/>
                <w:left w:val="none" w:sz="0" w:space="0" w:color="auto"/>
                <w:bottom w:val="none" w:sz="0" w:space="0" w:color="auto"/>
                <w:right w:val="none" w:sz="0" w:space="0" w:color="auto"/>
              </w:divBdr>
              <w:divsChild>
                <w:div w:id="10311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0586">
      <w:bodyDiv w:val="1"/>
      <w:marLeft w:val="0"/>
      <w:marRight w:val="0"/>
      <w:marTop w:val="0"/>
      <w:marBottom w:val="0"/>
      <w:divBdr>
        <w:top w:val="none" w:sz="0" w:space="0" w:color="auto"/>
        <w:left w:val="none" w:sz="0" w:space="0" w:color="auto"/>
        <w:bottom w:val="none" w:sz="0" w:space="0" w:color="auto"/>
        <w:right w:val="none" w:sz="0" w:space="0" w:color="auto"/>
      </w:divBdr>
    </w:div>
    <w:div w:id="2097357927">
      <w:bodyDiv w:val="1"/>
      <w:marLeft w:val="0"/>
      <w:marRight w:val="0"/>
      <w:marTop w:val="0"/>
      <w:marBottom w:val="0"/>
      <w:divBdr>
        <w:top w:val="none" w:sz="0" w:space="0" w:color="auto"/>
        <w:left w:val="none" w:sz="0" w:space="0" w:color="auto"/>
        <w:bottom w:val="none" w:sz="0" w:space="0" w:color="auto"/>
        <w:right w:val="none" w:sz="0" w:space="0" w:color="auto"/>
      </w:divBdr>
      <w:divsChild>
        <w:div w:id="316343970">
          <w:marLeft w:val="0"/>
          <w:marRight w:val="0"/>
          <w:marTop w:val="0"/>
          <w:marBottom w:val="0"/>
          <w:divBdr>
            <w:top w:val="none" w:sz="0" w:space="0" w:color="auto"/>
            <w:left w:val="none" w:sz="0" w:space="0" w:color="auto"/>
            <w:bottom w:val="none" w:sz="0" w:space="0" w:color="auto"/>
            <w:right w:val="none" w:sz="0" w:space="0" w:color="auto"/>
          </w:divBdr>
        </w:div>
      </w:divsChild>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6730-7DE9-403C-A075-A8694E30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9422</Words>
  <Characters>56533</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ŁĘSKI Michał</dc:creator>
  <cp:keywords/>
  <dc:description/>
  <cp:lastModifiedBy>Wójcik Aleksandra</cp:lastModifiedBy>
  <cp:revision>2</cp:revision>
  <cp:lastPrinted>2022-08-03T22:50:00Z</cp:lastPrinted>
  <dcterms:created xsi:type="dcterms:W3CDTF">2024-10-16T13:29:00Z</dcterms:created>
  <dcterms:modified xsi:type="dcterms:W3CDTF">2024-10-16T13:29:00Z</dcterms:modified>
</cp:coreProperties>
</file>