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B0" w:rsidRPr="00D054E1" w:rsidRDefault="00F73D2C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4E1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EE1CBE" w:rsidRPr="00D054E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B0553" w:rsidRPr="00D054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Polityki Zakupowej Państwa</w:t>
      </w:r>
      <w:r w:rsidRPr="00D054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5FB0" w:rsidRPr="00D054E1" w:rsidRDefault="00F73D2C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b/>
          <w:sz w:val="24"/>
          <w:szCs w:val="24"/>
        </w:rPr>
        <w:t>Dobre praktyki - przykładowe warunki dostępności wraz z przykładowymi zapisami możliwymi do wykorzystania przez zamawiających.</w:t>
      </w:r>
    </w:p>
    <w:p w:rsidR="00E25FB0" w:rsidRPr="00D054E1" w:rsidRDefault="00E25FB0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607" w:rsidRPr="00D054E1" w:rsidRDefault="00F73D2C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Ustawa o dostępności zakłada odpowiedni dobór warunków</w:t>
      </w:r>
      <w:r w:rsidR="00500D8C" w:rsidRPr="00D054E1">
        <w:rPr>
          <w:rFonts w:ascii="Times New Roman" w:eastAsia="Calibri" w:hAnsi="Times New Roman" w:cs="Times New Roman"/>
          <w:sz w:val="24"/>
          <w:szCs w:val="24"/>
        </w:rPr>
        <w:t>,</w:t>
      </w: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 o których mowa w </w:t>
      </w:r>
      <w:r w:rsidR="002C3607" w:rsidRPr="00D054E1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Pr="00D054E1">
        <w:rPr>
          <w:rFonts w:ascii="Times New Roman" w:eastAsia="Calibri" w:hAnsi="Times New Roman" w:cs="Times New Roman"/>
          <w:sz w:val="24"/>
          <w:szCs w:val="24"/>
        </w:rPr>
        <w:t>6 ustawy do charakteru zamówienia publicznego. Możliwe jest jednak określenie także dodatkowych elementów związanych z dostępnością, które nie wynikają z wymagań ustawy, ale służą adekwatnemu zastosowaniu tych wymagań. Dlatego też przykładach opisanych poniżej zaznaczano, które elementy są obligatoryjne – zgodnie z minimalnymi wymaganiami służącymi zapewnieniu dostępności art. 6 (oznaczona „O”), a które fakultatywne – stanowiąca dobre praktyki (oznaczona „F”).</w:t>
      </w:r>
    </w:p>
    <w:p w:rsidR="00500D8C" w:rsidRPr="00D054E1" w:rsidRDefault="002C3607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Ustawa z 2019 r. o zapewnianiu dostępności osobom ze szczególnymi potrzebami, nakłada na podmioty publiczne obowiązek zapewnienia </w:t>
      </w:r>
      <w:r w:rsidR="00264D1A" w:rsidRPr="00D054E1">
        <w:rPr>
          <w:rFonts w:ascii="Times New Roman" w:eastAsia="Calibri" w:hAnsi="Times New Roman" w:cs="Times New Roman"/>
          <w:sz w:val="24"/>
          <w:szCs w:val="24"/>
        </w:rPr>
        <w:t xml:space="preserve">grupie </w:t>
      </w:r>
      <w:r w:rsidRPr="00D054E1">
        <w:rPr>
          <w:rFonts w:ascii="Times New Roman" w:eastAsia="Calibri" w:hAnsi="Times New Roman" w:cs="Times New Roman"/>
          <w:sz w:val="24"/>
          <w:szCs w:val="24"/>
        </w:rPr>
        <w:t>beneficjent</w:t>
      </w:r>
      <w:r w:rsidR="00264D1A" w:rsidRPr="00D054E1">
        <w:rPr>
          <w:rFonts w:ascii="Times New Roman" w:eastAsia="Calibri" w:hAnsi="Times New Roman" w:cs="Times New Roman"/>
          <w:sz w:val="24"/>
          <w:szCs w:val="24"/>
        </w:rPr>
        <w:t>ów</w:t>
      </w: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D1A" w:rsidRPr="00D054E1">
        <w:rPr>
          <w:rFonts w:ascii="Times New Roman" w:eastAsia="Calibri" w:hAnsi="Times New Roman" w:cs="Times New Roman"/>
          <w:sz w:val="24"/>
          <w:szCs w:val="24"/>
        </w:rPr>
        <w:t xml:space="preserve">jej przepisów </w:t>
      </w:r>
      <w:r w:rsidRPr="00D054E1">
        <w:rPr>
          <w:rFonts w:ascii="Times New Roman" w:eastAsia="Calibri" w:hAnsi="Times New Roman" w:cs="Times New Roman"/>
          <w:sz w:val="24"/>
          <w:szCs w:val="24"/>
        </w:rPr>
        <w:t>minimalnych warunków dostępności</w:t>
      </w:r>
      <w:r w:rsidR="00264D1A" w:rsidRPr="00D054E1">
        <w:rPr>
          <w:rFonts w:ascii="Times New Roman" w:eastAsia="Calibri" w:hAnsi="Times New Roman" w:cs="Times New Roman"/>
          <w:sz w:val="24"/>
          <w:szCs w:val="24"/>
        </w:rPr>
        <w:t>;</w:t>
      </w: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 architektonicznej, cyfrowej oraz informacyjno-komunikacyjnej. Obowiązek ten powi</w:t>
      </w:r>
      <w:r w:rsidR="00264D1A" w:rsidRPr="00D054E1">
        <w:rPr>
          <w:rFonts w:ascii="Times New Roman" w:eastAsia="Calibri" w:hAnsi="Times New Roman" w:cs="Times New Roman"/>
          <w:sz w:val="24"/>
          <w:szCs w:val="24"/>
        </w:rPr>
        <w:t xml:space="preserve">nien być realizowany między innymi na gruncie zamówień publicznych. W celu jego skutecznej realizacji zamawiający powinni uwzględniać również pozaustawowe wytyczne dotyczące dostępności, bowiem ich zastosowanie może przyczynić się do lepszej realizacji obowiązków ustawowych. </w:t>
      </w:r>
      <w:r w:rsidR="00500D8C" w:rsidRPr="00D054E1">
        <w:rPr>
          <w:rFonts w:ascii="Times New Roman" w:eastAsia="Calibri" w:hAnsi="Times New Roman" w:cs="Times New Roman"/>
          <w:sz w:val="24"/>
          <w:szCs w:val="24"/>
        </w:rPr>
        <w:t>W</w:t>
      </w:r>
      <w:r w:rsidR="00183303" w:rsidRPr="00D054E1">
        <w:rPr>
          <w:rFonts w:ascii="Times New Roman" w:eastAsia="Calibri" w:hAnsi="Times New Roman" w:cs="Times New Roman"/>
          <w:sz w:val="24"/>
          <w:szCs w:val="24"/>
        </w:rPr>
        <w:t>obec</w:t>
      </w:r>
      <w:r w:rsidR="00D45CC4" w:rsidRPr="00D05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303" w:rsidRPr="00D054E1">
        <w:rPr>
          <w:rFonts w:ascii="Times New Roman" w:eastAsia="Calibri" w:hAnsi="Times New Roman" w:cs="Times New Roman"/>
          <w:sz w:val="24"/>
          <w:szCs w:val="24"/>
        </w:rPr>
        <w:t xml:space="preserve">poniżej </w:t>
      </w:r>
      <w:r w:rsidR="00D45CC4" w:rsidRPr="00D054E1">
        <w:rPr>
          <w:rFonts w:ascii="Times New Roman" w:eastAsia="Calibri" w:hAnsi="Times New Roman" w:cs="Times New Roman"/>
          <w:sz w:val="24"/>
          <w:szCs w:val="24"/>
        </w:rPr>
        <w:t>przedstawiony</w:t>
      </w:r>
      <w:r w:rsidR="00500D8C" w:rsidRPr="00D054E1">
        <w:rPr>
          <w:rFonts w:ascii="Times New Roman" w:eastAsia="Calibri" w:hAnsi="Times New Roman" w:cs="Times New Roman"/>
          <w:sz w:val="24"/>
          <w:szCs w:val="24"/>
        </w:rPr>
        <w:t>ch</w:t>
      </w:r>
      <w:r w:rsidR="00D45CC4" w:rsidRPr="00D05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303" w:rsidRPr="00D054E1">
        <w:rPr>
          <w:rFonts w:ascii="Times New Roman" w:eastAsia="Calibri" w:hAnsi="Times New Roman" w:cs="Times New Roman"/>
          <w:sz w:val="24"/>
          <w:szCs w:val="24"/>
        </w:rPr>
        <w:t xml:space="preserve">przykładów sformułowano </w:t>
      </w:r>
      <w:r w:rsidR="00500D8C" w:rsidRPr="00D054E1">
        <w:rPr>
          <w:rFonts w:ascii="Times New Roman" w:eastAsia="Calibri" w:hAnsi="Times New Roman" w:cs="Times New Roman"/>
          <w:sz w:val="24"/>
          <w:szCs w:val="24"/>
        </w:rPr>
        <w:t>kat</w:t>
      </w:r>
      <w:r w:rsidR="00183303" w:rsidRPr="00D054E1">
        <w:rPr>
          <w:rFonts w:ascii="Times New Roman" w:eastAsia="Calibri" w:hAnsi="Times New Roman" w:cs="Times New Roman"/>
          <w:sz w:val="24"/>
          <w:szCs w:val="24"/>
        </w:rPr>
        <w:t xml:space="preserve">alogi, które zawierają </w:t>
      </w:r>
      <w:r w:rsidR="00D45CC4" w:rsidRPr="00D054E1">
        <w:rPr>
          <w:rFonts w:ascii="Times New Roman" w:eastAsia="Calibri" w:hAnsi="Times New Roman" w:cs="Times New Roman"/>
          <w:sz w:val="24"/>
          <w:szCs w:val="24"/>
        </w:rPr>
        <w:t xml:space="preserve">w swojej treści </w:t>
      </w:r>
      <w:r w:rsidR="002373FF" w:rsidRPr="00D054E1">
        <w:rPr>
          <w:rFonts w:ascii="Times New Roman" w:eastAsia="Calibri" w:hAnsi="Times New Roman" w:cs="Times New Roman"/>
          <w:sz w:val="24"/>
          <w:szCs w:val="24"/>
        </w:rPr>
        <w:t xml:space="preserve">ustawowe </w:t>
      </w:r>
      <w:r w:rsidR="00D45CC4" w:rsidRPr="00D054E1">
        <w:rPr>
          <w:rFonts w:ascii="Times New Roman" w:eastAsia="Calibri" w:hAnsi="Times New Roman" w:cs="Times New Roman"/>
          <w:sz w:val="24"/>
          <w:szCs w:val="24"/>
        </w:rPr>
        <w:t>obowiązk</w:t>
      </w:r>
      <w:r w:rsidR="002373FF" w:rsidRPr="00D054E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D45CC4" w:rsidRPr="00D054E1">
        <w:rPr>
          <w:rFonts w:ascii="Times New Roman" w:eastAsia="Calibri" w:hAnsi="Times New Roman" w:cs="Times New Roman"/>
          <w:sz w:val="24"/>
          <w:szCs w:val="24"/>
        </w:rPr>
        <w:t>(oznaczone lit. „O”)</w:t>
      </w:r>
      <w:r w:rsidR="00264D1A" w:rsidRPr="00D05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CC4" w:rsidRPr="00D054E1">
        <w:rPr>
          <w:rFonts w:ascii="Times New Roman" w:eastAsia="Calibri" w:hAnsi="Times New Roman" w:cs="Times New Roman"/>
          <w:sz w:val="24"/>
          <w:szCs w:val="24"/>
        </w:rPr>
        <w:t>oraz fakultatywne wytyczne (oznaczone lit. „F”), które</w:t>
      </w:r>
      <w:r w:rsidR="00183303" w:rsidRPr="00D05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CC4" w:rsidRPr="00D054E1">
        <w:rPr>
          <w:rFonts w:ascii="Times New Roman" w:eastAsia="Calibri" w:hAnsi="Times New Roman" w:cs="Times New Roman"/>
          <w:sz w:val="24"/>
          <w:szCs w:val="24"/>
        </w:rPr>
        <w:t xml:space="preserve">stanowią zbiór dobrych praktyk. </w:t>
      </w:r>
    </w:p>
    <w:p w:rsidR="00E25FB0" w:rsidRPr="00D054E1" w:rsidRDefault="00F73D2C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Przykład </w:t>
      </w:r>
      <w:r w:rsidR="00500D8C" w:rsidRPr="00D054E1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="00500D8C" w:rsidRPr="00D054E1">
        <w:rPr>
          <w:rFonts w:ascii="Times New Roman" w:eastAsia="Calibri" w:hAnsi="Times New Roman" w:cs="Times New Roman"/>
          <w:sz w:val="24"/>
          <w:szCs w:val="24"/>
        </w:rPr>
        <w:t xml:space="preserve"> 1: Zlecenie</w:t>
      </w: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 szkolenia w formie on-line dla zamkniętej grupy odbiorców (przy założeniu braku publikacji treści ze szkolenia na stronie www. lub organizacji w formie </w:t>
      </w:r>
      <w:proofErr w:type="spellStart"/>
      <w:r w:rsidRPr="00D054E1">
        <w:rPr>
          <w:rFonts w:ascii="Times New Roman" w:eastAsia="Calibri" w:hAnsi="Times New Roman" w:cs="Times New Roman"/>
          <w:sz w:val="24"/>
          <w:szCs w:val="24"/>
        </w:rPr>
        <w:t>webinaru</w:t>
      </w:r>
      <w:proofErr w:type="spellEnd"/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E25FB0" w:rsidRPr="00D054E1" w:rsidRDefault="00F73D2C" w:rsidP="00D054E1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wykonawca powinien na etapie rekrutacji w formularzu zgłoszeniowym zapytać o szczególne po</w:t>
      </w:r>
      <w:bookmarkStart w:id="0" w:name="_GoBack"/>
      <w:bookmarkEnd w:id="0"/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trzeby uczestników, np.: (F) </w:t>
      </w:r>
    </w:p>
    <w:p w:rsidR="00E25FB0" w:rsidRPr="00D054E1" w:rsidRDefault="00F73D2C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Mimo że element ten nie jest wprost wymagany ustawą brak jego zastosowania spowoduje brak wiedzy na temat tego jakie osoby uczestniczą w szkoleniu i czy mają szczególne potrzeby. Zastosowanie formularza pozwala więc uniknąć sytuacji</w:t>
      </w:r>
      <w:r w:rsidR="002C3607" w:rsidRPr="00D054E1">
        <w:rPr>
          <w:rFonts w:ascii="Times New Roman" w:eastAsia="Calibri" w:hAnsi="Times New Roman" w:cs="Times New Roman"/>
          <w:sz w:val="24"/>
          <w:szCs w:val="24"/>
        </w:rPr>
        <w:t>,</w:t>
      </w: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 w której wykonawca będzie zaskoczony potrzebą zapewnienia dostępności - np. zastosowania PJM. Jednocześnie zastosowanie formularza może uzasadnić brak zastosowania pewnych elementów z zakresu dostępności podczas szkolenia (np. PJM jeśli wśród słuchaczy nie ma osoby niesłyszącej).</w:t>
      </w:r>
    </w:p>
    <w:p w:rsidR="00E25FB0" w:rsidRPr="00D054E1" w:rsidRDefault="00F73D2C" w:rsidP="00D054E1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zapewnienie tłumacz polskiego języka migowego (PJM); (O - jeśli potwierdzony zostanie udział osoby głuchej i jej oczekiwanie w tym zakresie);</w:t>
      </w:r>
    </w:p>
    <w:p w:rsidR="00E25FB0" w:rsidRPr="00D054E1" w:rsidRDefault="00F73D2C" w:rsidP="00D054E1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zapewnienie materiałów informacyjnych w różnych formatach, np. w druku powiększonym, na kontrastowym tle; (O – jeśli wystąpi taka potrzeba);</w:t>
      </w:r>
    </w:p>
    <w:p w:rsidR="00E25FB0" w:rsidRPr="00D054E1" w:rsidRDefault="00F73D2C" w:rsidP="00D054E1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zapewnienie napisów na żywo; F</w:t>
      </w:r>
    </w:p>
    <w:p w:rsidR="00E25FB0" w:rsidRPr="00D054E1" w:rsidRDefault="00F73D2C" w:rsidP="00D054E1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zapewnienie alternatywnych kanałów komunikacji na etapie rekrutacji i później np. tłumacz PJM, email, sms; (O)</w:t>
      </w:r>
    </w:p>
    <w:p w:rsidR="00E25FB0" w:rsidRPr="00D054E1" w:rsidRDefault="00F73D2C" w:rsidP="00D054E1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lastRenderedPageBreak/>
        <w:t>pozostawienie miejsca na wpisanie innych potrzeb wynikających z niepełnosprawności. (F)</w:t>
      </w:r>
    </w:p>
    <w:p w:rsidR="00E25FB0" w:rsidRPr="00D054E1" w:rsidRDefault="00F73D2C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Należy pamiętać, że zgłoszenie szczególnej potrzeby obliguje organizatora do jej spełnienia w możliwie największym stopniu.</w:t>
      </w:r>
    </w:p>
    <w:p w:rsidR="00323343" w:rsidRPr="00D054E1" w:rsidRDefault="00F73D2C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Warto także zaznaczyć</w:t>
      </w:r>
      <w:r w:rsidR="00500D8C" w:rsidRPr="00D054E1">
        <w:rPr>
          <w:rFonts w:ascii="Times New Roman" w:eastAsia="Calibri" w:hAnsi="Times New Roman" w:cs="Times New Roman"/>
          <w:sz w:val="24"/>
          <w:szCs w:val="24"/>
        </w:rPr>
        <w:t>,</w:t>
      </w: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 iż w przypadku organizacji szkolenia on-line w formie otwartej (</w:t>
      </w:r>
      <w:proofErr w:type="spellStart"/>
      <w:r w:rsidRPr="00D054E1">
        <w:rPr>
          <w:rFonts w:ascii="Times New Roman" w:eastAsia="Calibri" w:hAnsi="Times New Roman" w:cs="Times New Roman"/>
          <w:sz w:val="24"/>
          <w:szCs w:val="24"/>
        </w:rPr>
        <w:t>webinar</w:t>
      </w:r>
      <w:proofErr w:type="spellEnd"/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) i publikacji nagrania na stronie internetowej podmiotu, wykonawca powinien zostać zobowiązany do zapewnienie elementów związanych z dostępnością cyfrową tego materiału (napisy, tłumacz PJM jako elementy obligatoryjne).   </w:t>
      </w:r>
    </w:p>
    <w:p w:rsidR="00323343" w:rsidRPr="00D054E1" w:rsidRDefault="00F73D2C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b/>
          <w:bCs/>
          <w:sz w:val="24"/>
          <w:szCs w:val="24"/>
        </w:rPr>
        <w:t>Przykład</w:t>
      </w:r>
      <w:r w:rsidR="00323343" w:rsidRPr="00D054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2</w:t>
      </w:r>
      <w:r w:rsidR="00323343" w:rsidRPr="00D054E1">
        <w:rPr>
          <w:rFonts w:ascii="Times New Roman" w:eastAsia="Calibri" w:hAnsi="Times New Roman" w:cs="Times New Roman"/>
          <w:sz w:val="24"/>
          <w:szCs w:val="24"/>
        </w:rPr>
        <w:t>: Z</w:t>
      </w:r>
      <w:r w:rsidRPr="00D054E1">
        <w:rPr>
          <w:rFonts w:ascii="Times New Roman" w:eastAsia="Calibri" w:hAnsi="Times New Roman" w:cs="Times New Roman"/>
          <w:sz w:val="24"/>
          <w:szCs w:val="24"/>
        </w:rPr>
        <w:t>leceni</w:t>
      </w:r>
      <w:r w:rsidR="00323343" w:rsidRPr="00D054E1">
        <w:rPr>
          <w:rFonts w:ascii="Times New Roman" w:eastAsia="Calibri" w:hAnsi="Times New Roman" w:cs="Times New Roman"/>
          <w:sz w:val="24"/>
          <w:szCs w:val="24"/>
        </w:rPr>
        <w:t>e</w:t>
      </w: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 organizacji szkolenia w formie stacjonarnej</w:t>
      </w:r>
    </w:p>
    <w:p w:rsidR="00E25FB0" w:rsidRPr="00D054E1" w:rsidRDefault="00F73D2C" w:rsidP="00D054E1">
      <w:pPr>
        <w:pStyle w:val="Akapitzlist"/>
        <w:numPr>
          <w:ilvl w:val="0"/>
          <w:numId w:val="4"/>
        </w:numPr>
        <w:pBdr>
          <w:top w:val="none" w:sz="4" w:space="0" w:color="000000"/>
          <w:left w:val="none" w:sz="4" w:space="12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budynek i pomieszczenia, w których organizowane są szkolenia/ konferencje powinny być dostępne architektonicznie – może zostać to zapewnione na wiele sposobów, np. poprzez organizację wydarzenia na parterze budynku lub jeśli wydarzenie znajduje się na piętrze, dobrą praktyką jest zapewnienie windy w budynku, w którym będzie odbywało się wydarzenie; (O)</w:t>
      </w:r>
    </w:p>
    <w:p w:rsidR="00323343" w:rsidRPr="00D054E1" w:rsidRDefault="00323343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F73D2C" w:rsidP="00D054E1">
      <w:pPr>
        <w:pStyle w:val="Akapitzlist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zapewnienie wolnych od barier poziomych i pionowych przestrzeni komunikacyjnych budynków, czyli możliwość poruszania się po piętrach i pomiędzy piętrami; (O)</w:t>
      </w:r>
    </w:p>
    <w:p w:rsidR="00323343" w:rsidRPr="00D054E1" w:rsidRDefault="00323343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F73D2C" w:rsidP="00D054E1">
      <w:pPr>
        <w:pStyle w:val="Akapitzlist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toalety powinny być przystosowane dla osób z niepełnosprawnością; (F)</w:t>
      </w:r>
    </w:p>
    <w:p w:rsidR="00323343" w:rsidRPr="00D054E1" w:rsidRDefault="00323343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F73D2C" w:rsidP="00D054E1">
      <w:pPr>
        <w:pStyle w:val="Akapitzlist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na teren wydarzenia muszą mieć możliwość wejścia osoby z psami asystującym (O) - psom należy zapewnić miskę z wodą. (F)</w:t>
      </w:r>
    </w:p>
    <w:p w:rsidR="00323343" w:rsidRPr="00D054E1" w:rsidRDefault="00323343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F73D2C" w:rsidP="00D054E1">
      <w:pPr>
        <w:pStyle w:val="Akapitzlist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dostępność miejsc parkingowych, dostosowanych do osób z niepełnosprawnością – tzw. niebieska koperta; (F)</w:t>
      </w:r>
    </w:p>
    <w:p w:rsidR="00323343" w:rsidRPr="00D054E1" w:rsidRDefault="00323343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F73D2C" w:rsidP="00D054E1">
      <w:pPr>
        <w:pStyle w:val="Akapitzlist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lokalizacja wydarzenia powinna być dobrze skomunikowana z resztą miasta lub miejscowości – z łatwym dostępem do autobusu, tramwaju; (F)</w:t>
      </w:r>
    </w:p>
    <w:p w:rsidR="00323343" w:rsidRPr="00D054E1" w:rsidRDefault="00323343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F73D2C" w:rsidP="00D054E1">
      <w:pPr>
        <w:pStyle w:val="Akapitzlist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odpowiednio obniżone: lada recepcji i/lub stoły(F).</w:t>
      </w:r>
    </w:p>
    <w:p w:rsidR="00323343" w:rsidRPr="00D054E1" w:rsidRDefault="00323343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hAnsi="Times New Roman" w:cs="Times New Roman"/>
          <w:b/>
          <w:bCs/>
          <w:sz w:val="24"/>
          <w:szCs w:val="24"/>
        </w:rPr>
        <w:t>Przykład nr 3</w:t>
      </w:r>
      <w:r w:rsidRPr="00D054E1">
        <w:rPr>
          <w:rFonts w:ascii="Times New Roman" w:hAnsi="Times New Roman" w:cs="Times New Roman"/>
          <w:sz w:val="24"/>
          <w:szCs w:val="24"/>
        </w:rPr>
        <w:t>: zapis w OPZ dotyczący stosowania dostępnych dokumentów</w:t>
      </w:r>
    </w:p>
    <w:p w:rsidR="00323343" w:rsidRPr="00D054E1" w:rsidRDefault="00323343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hAnsi="Times New Roman" w:cs="Times New Roman"/>
          <w:sz w:val="24"/>
          <w:szCs w:val="24"/>
        </w:rPr>
        <w:t xml:space="preserve">Wszystkie materiały muszą spełniać standardy dostępności. Są one obowiązkowe dla wszystkich podmiotów, które realizują zamówienia publiczne zgodnie z zachowaniem wymagań z art. 6 ustawy z 19 lipca 2019 r. o zapewnianiu dostępności osobom ze szczególnymi potrzebami. Oznacza to m.in.: </w:t>
      </w:r>
    </w:p>
    <w:p w:rsidR="00323343" w:rsidRPr="00D054E1" w:rsidRDefault="00E73063" w:rsidP="00D054E1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hAnsi="Times New Roman" w:cs="Times New Roman"/>
          <w:sz w:val="24"/>
          <w:szCs w:val="24"/>
        </w:rPr>
        <w:t xml:space="preserve">przygotowanie tekstów czcionką </w:t>
      </w:r>
      <w:proofErr w:type="spellStart"/>
      <w:r w:rsidRPr="00D054E1">
        <w:rPr>
          <w:rFonts w:ascii="Times New Roman" w:hAnsi="Times New Roman" w:cs="Times New Roman"/>
          <w:sz w:val="24"/>
          <w:szCs w:val="24"/>
        </w:rPr>
        <w:t>bezszeryfową</w:t>
      </w:r>
      <w:proofErr w:type="spellEnd"/>
      <w:r w:rsidRPr="00D054E1">
        <w:rPr>
          <w:rFonts w:ascii="Times New Roman" w:hAnsi="Times New Roman" w:cs="Times New Roman"/>
          <w:sz w:val="24"/>
          <w:szCs w:val="24"/>
        </w:rPr>
        <w:t>, wielkości min. 11-12 pkt</w:t>
      </w:r>
    </w:p>
    <w:p w:rsidR="00E73063" w:rsidRPr="00D054E1" w:rsidRDefault="00E73063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3063" w:rsidRPr="00D054E1" w:rsidRDefault="00E73063" w:rsidP="00D054E1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hAnsi="Times New Roman" w:cs="Times New Roman"/>
          <w:sz w:val="24"/>
          <w:szCs w:val="24"/>
        </w:rPr>
        <w:t>stosowanie interlinii min. 1,15;</w:t>
      </w:r>
    </w:p>
    <w:p w:rsidR="00E73063" w:rsidRPr="00D054E1" w:rsidRDefault="00E73063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3063" w:rsidRPr="00D054E1" w:rsidRDefault="00E73063" w:rsidP="00D054E1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hAnsi="Times New Roman" w:cs="Times New Roman"/>
          <w:sz w:val="24"/>
          <w:szCs w:val="24"/>
        </w:rPr>
        <w:t>wyrównanie tekstu do lewej strony;</w:t>
      </w:r>
    </w:p>
    <w:p w:rsidR="00E73063" w:rsidRPr="00D054E1" w:rsidRDefault="00E73063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3063" w:rsidRPr="00D054E1" w:rsidRDefault="00E73063" w:rsidP="00D054E1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lastRenderedPageBreak/>
        <w:t>wklejone obrazy i wykresy powinny zawierać opis alternatywny – informujący osobę niewidomą, co znajduje się na grafice, gdy tekst jest czytany przez czytnik;</w:t>
      </w:r>
    </w:p>
    <w:p w:rsidR="00E73063" w:rsidRPr="00D054E1" w:rsidRDefault="00E73063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3063" w:rsidRPr="00D054E1" w:rsidRDefault="00E73063" w:rsidP="00D054E1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tekst powinien zostać podzielony na akapity, z zastosowaniem nagłówków i automatycznych spisów treści.</w:t>
      </w:r>
    </w:p>
    <w:p w:rsidR="00E25FB0" w:rsidRPr="00D054E1" w:rsidRDefault="00F73D2C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W przypadku realizacji projektów z Funduszy Europejskich należy dodatkowo zadbać o zastosowanie „Standardów dostępności dla polityki spójności 2014-2020” stanowiącymi załącznik do Wytycznych (Wytyczne w zakresie realizacji zasady równości szans i niedyskryminacji, w tym dostępności dla osób z niepełnosprawnościami oraz zasady równości szans kobiet i mężczyzn w ramach funduszy unijnych na lata 2014-2020 lub ich odpowiednik dla  perspektywy  finansowej 2021-2027). Dokument jest dostępny na stronie: </w:t>
      </w:r>
      <w:hyperlink r:id="rId8" w:tooltip="https://www.funduszeeuropejskie.gov.pl/media/55001/Zalacznik_nr_2_do_Wytycznych_w_zakresie_rownosci_zatwiedzone_050418.pdf" w:history="1">
        <w:r w:rsidRPr="00D054E1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https://www.funduszeeuropejskie.gov.pl/media/55001/Zalacznik_nr_2_do_Wytycznych_w_zakresie_rownosci_zatwiedzone_050418.pdf</w:t>
        </w:r>
      </w:hyperlink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 (O)</w:t>
      </w:r>
    </w:p>
    <w:p w:rsidR="007B2190" w:rsidRPr="00D054E1" w:rsidRDefault="00F73D2C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Szczegółowe informacje zawarte są w części IV. Standard informacyjno-promocyjny. Rozdział 3. Materiały. Informacja pisana i Rozdział 4. Materiały. Informacja elektroniczna (od strony 48) oraz w części VI. Standard cyfrowy. Rozdział 3. Dokumenty elektroniczne (od strony 148) ww. Standardów.</w:t>
      </w:r>
    </w:p>
    <w:p w:rsidR="00E25FB0" w:rsidRPr="00D054E1" w:rsidRDefault="007B2190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E1">
        <w:rPr>
          <w:rFonts w:ascii="Times New Roman" w:hAnsi="Times New Roman" w:cs="Times New Roman"/>
          <w:b/>
          <w:bCs/>
          <w:sz w:val="24"/>
          <w:szCs w:val="24"/>
        </w:rPr>
        <w:t>Przykład nr 3</w:t>
      </w:r>
      <w:r w:rsidRPr="00D054E1">
        <w:rPr>
          <w:rFonts w:ascii="Times New Roman" w:hAnsi="Times New Roman" w:cs="Times New Roman"/>
          <w:sz w:val="24"/>
          <w:szCs w:val="24"/>
        </w:rPr>
        <w:t xml:space="preserve">: </w:t>
      </w:r>
      <w:r w:rsidR="00F73D2C" w:rsidRPr="00D054E1">
        <w:rPr>
          <w:rFonts w:ascii="Times New Roman" w:eastAsia="Calibri" w:hAnsi="Times New Roman" w:cs="Times New Roman"/>
          <w:sz w:val="24"/>
          <w:szCs w:val="24"/>
        </w:rPr>
        <w:t>zapis w OPZ dotyczący zapewnienia usługi tłumacza polskiego języka migowego (PJM).</w:t>
      </w:r>
    </w:p>
    <w:p w:rsidR="007B2190" w:rsidRPr="00D054E1" w:rsidRDefault="007B2190" w:rsidP="00D054E1">
      <w:pPr>
        <w:pStyle w:val="Akapitzlist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Określenie pożądanego wykształcenia, np. - tłumacz PJM posiadający certyfikat T2 biegłego tłumacza języka migowego Polskiego Związku Głuchych lub równoważny; (F)</w:t>
      </w:r>
    </w:p>
    <w:p w:rsidR="007B2190" w:rsidRPr="00D054E1" w:rsidRDefault="007B2190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190" w:rsidRPr="00D054E1" w:rsidRDefault="007B2190" w:rsidP="00D054E1">
      <w:pPr>
        <w:pStyle w:val="Akapitzlist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Zadbanie o widoczność tłumacza PJM podczas wydarzenia online: (F)</w:t>
      </w:r>
    </w:p>
    <w:p w:rsidR="006F6229" w:rsidRPr="00D054E1" w:rsidRDefault="006F6229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F73D2C" w:rsidP="00D054E1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podziału ekranu na mniejsze moduły, tak by zapewnić uczestnikom spotkania jednocześnie widok: prelegenta + prezentacji + tłumacza PJM, na bieżąco przekładającego spotkanie na język migowy;</w:t>
      </w:r>
    </w:p>
    <w:p w:rsidR="007B2190" w:rsidRPr="00D054E1" w:rsidRDefault="007B2190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F73D2C" w:rsidP="00D054E1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możliwość „przypięcia” ekranu z widocznym tłumaczem PJM, tak aby uczestnik, który będzie potrzebował korzystać z tłumacza, mógł stale go widzieć na ekranie;</w:t>
      </w:r>
    </w:p>
    <w:p w:rsidR="007B2190" w:rsidRPr="00D054E1" w:rsidRDefault="007B2190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229" w:rsidRPr="00D054E1" w:rsidRDefault="00F73D2C" w:rsidP="00D054E1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podczas transmisji na żywo tłumacz PJM nie powinien być mniejszy niż 1/8 ekranu, co</w:t>
      </w:r>
      <w:r w:rsidR="007B2190" w:rsidRPr="00D05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4E1">
        <w:rPr>
          <w:rFonts w:ascii="Times New Roman" w:eastAsia="Calibri" w:hAnsi="Times New Roman" w:cs="Times New Roman"/>
          <w:sz w:val="24"/>
          <w:szCs w:val="24"/>
        </w:rPr>
        <w:t>oznacza ½ wysokości i ¼ szerokości ekranu</w:t>
      </w:r>
      <w:r w:rsidR="007B2190" w:rsidRPr="00D054E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F6229" w:rsidRPr="00D054E1" w:rsidRDefault="006F6229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D054E1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6F6229" w:rsidRPr="00D054E1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(https://www.funduszeeuropejskie.gov.pl/strony/o-funduszach/fundusze-europejskie-bez-barier/dostepnosc-plus/aktualnosci/jak-tworzyc-dostepne-komunikaty-komunikacja-nie-tylko-w-czasach-epidemii/</w:t>
        </w:r>
      </w:hyperlink>
      <w:r w:rsidR="00F73D2C" w:rsidRPr="00D054E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B2190" w:rsidRPr="00D054E1" w:rsidRDefault="007B2190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F73D2C" w:rsidP="00D054E1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grafika wykorzystywana jako tło dla tłumacza PJM: (F)</w:t>
      </w:r>
    </w:p>
    <w:p w:rsidR="00E25FB0" w:rsidRPr="00D054E1" w:rsidRDefault="00F73D2C" w:rsidP="00D054E1">
      <w:pPr>
        <w:pStyle w:val="Akapitzlist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nie może odwracać uwagi od tłumaczenia;</w:t>
      </w:r>
    </w:p>
    <w:p w:rsidR="00E25FB0" w:rsidRPr="00D054E1" w:rsidRDefault="00F73D2C" w:rsidP="00D054E1">
      <w:pPr>
        <w:pStyle w:val="Akapitzlist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dodatkowe elementy nie mogą zasłaniać sylwetki tłumacza;</w:t>
      </w:r>
    </w:p>
    <w:p w:rsidR="00E25FB0" w:rsidRPr="00D054E1" w:rsidRDefault="00F73D2C" w:rsidP="00D054E1">
      <w:pPr>
        <w:pStyle w:val="Akapitzlist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ważne elementy jak: adresy stron WWW, dane kontaktowe, warto dodatkowo napisać – tak, by osoba niesłysząca mogła zatrzymać slajd i je przepisać;</w:t>
      </w:r>
    </w:p>
    <w:p w:rsidR="00E25FB0" w:rsidRPr="00D054E1" w:rsidRDefault="00F73D2C" w:rsidP="00D054E1">
      <w:pPr>
        <w:pStyle w:val="Akapitzlist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lastRenderedPageBreak/>
        <w:t>należy zwrócić uwagę na wysoki kontrast do tła oraz wysoką czytelność tekstu – te same zasady obowiązują przy tworzeniu napisów.</w:t>
      </w:r>
    </w:p>
    <w:p w:rsidR="007B2190" w:rsidRPr="00D054E1" w:rsidRDefault="007B2190" w:rsidP="00D054E1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F73D2C" w:rsidP="00D054E1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materiał video powinien być przygotowany z tłumaczeniem na PJM. Tłumacz PJM powinien być umieszczony na dole w prawym dolnym rogu ekranu i zajmować 1/8 powierzchni ekranu, co oznacza ½ wysokości i ¼ szerokości ekranu. Szczegółowe informacje na tej </w:t>
      </w:r>
      <w:hyperlink r:id="rId10" w:tooltip="https://avt.ils.uw.edu.pl/files/2020/03/Dost%C4%99pno%C5%9B%C4%87-pjm-wytyczne-na-czas-kryzysu.pdf?fbclid=IwAR0w_l5KUhJHJ0eSiThJ-eW07GTF8pUJdfuCZuKv-Xm3Hh-b5d_hR1avy_Q" w:history="1">
        <w:r w:rsidRPr="00D054E1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stronie.</w:t>
        </w:r>
      </w:hyperlink>
    </w:p>
    <w:p w:rsidR="00E25FB0" w:rsidRPr="00D054E1" w:rsidRDefault="00F73D2C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b/>
          <w:sz w:val="24"/>
          <w:szCs w:val="24"/>
        </w:rPr>
        <w:t>Dobre praktyki dla zakupu produktów/usług dostępnych lub zaprojektowanych w sposób uwzględniający potrzeby jak największej liczby użytkowników, w tym osób ze szczególnymi potrzebami.</w:t>
      </w:r>
    </w:p>
    <w:p w:rsidR="00E25FB0" w:rsidRPr="00D054E1" w:rsidRDefault="004A3285" w:rsidP="00D054E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3D2C" w:rsidRPr="00D054E1">
        <w:rPr>
          <w:rFonts w:ascii="Times New Roman" w:eastAsia="Calibri" w:hAnsi="Times New Roman" w:cs="Times New Roman"/>
          <w:sz w:val="24"/>
          <w:szCs w:val="24"/>
        </w:rPr>
        <w:t xml:space="preserve">kształtowanie </w:t>
      </w:r>
      <w:proofErr w:type="spellStart"/>
      <w:r w:rsidR="00F73D2C" w:rsidRPr="00D054E1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F73D2C" w:rsidRPr="00D054E1">
        <w:rPr>
          <w:rFonts w:ascii="Times New Roman" w:eastAsia="Calibri" w:hAnsi="Times New Roman" w:cs="Times New Roman"/>
          <w:sz w:val="24"/>
          <w:szCs w:val="24"/>
        </w:rPr>
        <w:t xml:space="preserve"> niedyskryminacyjnych oraz </w:t>
      </w:r>
      <w:proofErr w:type="spellStart"/>
      <w:r w:rsidR="00F73D2C" w:rsidRPr="00D054E1">
        <w:rPr>
          <w:rFonts w:ascii="Times New Roman" w:eastAsia="Calibri" w:hAnsi="Times New Roman" w:cs="Times New Roman"/>
          <w:sz w:val="24"/>
          <w:szCs w:val="24"/>
        </w:rPr>
        <w:t>prodostępnościowych</w:t>
      </w:r>
      <w:proofErr w:type="spellEnd"/>
      <w:r w:rsidR="00F73D2C" w:rsidRPr="00D054E1">
        <w:rPr>
          <w:rFonts w:ascii="Times New Roman" w:eastAsia="Calibri" w:hAnsi="Times New Roman" w:cs="Times New Roman"/>
          <w:sz w:val="24"/>
          <w:szCs w:val="24"/>
        </w:rPr>
        <w:t>, poprzez opis przedmiotu zamówienia z uwzględnieniem wymagań wymienionych w art. 6 ustawy z dnia 19 lipca 2019 r. o zapewnianiu dostępności osobom ze szczególnymi potrzebami oraz projektowania uniwersalnego, zgodnie z art. 2 ust 4. tejże ustawy;</w:t>
      </w:r>
    </w:p>
    <w:p w:rsidR="004A3285" w:rsidRPr="00D054E1" w:rsidRDefault="004A3285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4A3285" w:rsidP="00D054E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3D2C" w:rsidRPr="00D054E1">
        <w:rPr>
          <w:rFonts w:ascii="Times New Roman" w:eastAsia="Calibri" w:hAnsi="Times New Roman" w:cs="Times New Roman"/>
          <w:sz w:val="24"/>
          <w:szCs w:val="24"/>
        </w:rPr>
        <w:t>dostępne dokumenty oraz ścieżka procesu postępowania zamówienia, umożliwiające osobom z niepełnosprawnościami zapoznanie się z ofertą oraz ich udział jako potencjalnego wykonawcy;</w:t>
      </w:r>
    </w:p>
    <w:p w:rsidR="004A3285" w:rsidRPr="00D054E1" w:rsidRDefault="004A3285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4A3285" w:rsidP="00D054E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3D2C" w:rsidRPr="00D054E1">
        <w:rPr>
          <w:rFonts w:ascii="Times New Roman" w:eastAsia="Calibri" w:hAnsi="Times New Roman" w:cs="Times New Roman"/>
          <w:sz w:val="24"/>
          <w:szCs w:val="24"/>
        </w:rPr>
        <w:t>konsultowanie zakupów/usług ze środowiskami osób z niepełnosprawnościami;</w:t>
      </w:r>
    </w:p>
    <w:p w:rsidR="004A3285" w:rsidRPr="00D054E1" w:rsidRDefault="004A3285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4A3285" w:rsidP="00D054E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3D2C" w:rsidRPr="00D054E1">
        <w:rPr>
          <w:rFonts w:ascii="Times New Roman" w:eastAsia="Calibri" w:hAnsi="Times New Roman" w:cs="Times New Roman"/>
          <w:sz w:val="24"/>
          <w:szCs w:val="24"/>
        </w:rPr>
        <w:t>określenie kryteriów oceny oferty poprzez ustalenie parametrów technicznych, właściwości estetycznych i funkcjonalnych przedmiotu zamówienia pod kątem możliwości skorzystania przez możliwie dużą grupę osób (w tym osób ze szczególnymi potrzebami), bez potrzeby adaptacji lub specjalnego projektowania wykorzystując poniższe cechy:</w:t>
      </w:r>
    </w:p>
    <w:p w:rsidR="00E25FB0" w:rsidRPr="00D054E1" w:rsidRDefault="00F73D2C" w:rsidP="00D054E1">
      <w:pPr>
        <w:numPr>
          <w:ilvl w:val="2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identyczne zastosowanie;</w:t>
      </w:r>
    </w:p>
    <w:p w:rsidR="00E25FB0" w:rsidRPr="00D054E1" w:rsidRDefault="00F73D2C" w:rsidP="00D054E1">
      <w:pPr>
        <w:numPr>
          <w:ilvl w:val="2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elastyczność użycia;</w:t>
      </w:r>
    </w:p>
    <w:p w:rsidR="00E25FB0" w:rsidRPr="00D054E1" w:rsidRDefault="00F73D2C" w:rsidP="00D054E1">
      <w:pPr>
        <w:numPr>
          <w:ilvl w:val="2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prostą i intuicyjną obsługę;</w:t>
      </w:r>
    </w:p>
    <w:p w:rsidR="00E25FB0" w:rsidRPr="00D054E1" w:rsidRDefault="00F73D2C" w:rsidP="00D054E1">
      <w:pPr>
        <w:numPr>
          <w:ilvl w:val="2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zauważalną informacja;</w:t>
      </w:r>
    </w:p>
    <w:p w:rsidR="00E25FB0" w:rsidRPr="00D054E1" w:rsidRDefault="00F73D2C" w:rsidP="00D054E1">
      <w:pPr>
        <w:numPr>
          <w:ilvl w:val="2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tolerancję dla błędów;</w:t>
      </w:r>
    </w:p>
    <w:p w:rsidR="00E25FB0" w:rsidRPr="00D054E1" w:rsidRDefault="00F73D2C" w:rsidP="00D054E1">
      <w:pPr>
        <w:numPr>
          <w:ilvl w:val="2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niski poziom wysiłku fizycznego;</w:t>
      </w:r>
    </w:p>
    <w:p w:rsidR="00E25FB0" w:rsidRPr="00D054E1" w:rsidRDefault="00F73D2C" w:rsidP="00D054E1">
      <w:pPr>
        <w:numPr>
          <w:ilvl w:val="2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wymiary i przestrzeń dla podejścia i użycia;</w:t>
      </w:r>
    </w:p>
    <w:p w:rsidR="00E25FB0" w:rsidRPr="00D054E1" w:rsidRDefault="00F73D2C" w:rsidP="00D054E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utrzymanie dostępności – należy wziąć pod uwagę dostępność w całym cyklu życia usługi/produktu, budynku lub informacji, dbając o elastyczność rozwiązania;</w:t>
      </w:r>
    </w:p>
    <w:p w:rsidR="004A3285" w:rsidRPr="00D054E1" w:rsidRDefault="004A3285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F73D2C" w:rsidP="00D054E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t>dokładne powołanie się na określone warunki dostępności, umiejętności, normy, wytyczne, których dotyczy przedmiot umowy – ograniczając w ten sposób samowolę wykonawcy i ryzyko błędu;</w:t>
      </w:r>
    </w:p>
    <w:p w:rsidR="004A3285" w:rsidRPr="00D054E1" w:rsidRDefault="004A3285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5FB0" w:rsidRPr="00D054E1" w:rsidRDefault="00F73D2C" w:rsidP="00D054E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z w:val="24"/>
          <w:szCs w:val="24"/>
        </w:rPr>
        <w:lastRenderedPageBreak/>
        <w:t>uwzględnienie w systemie oceny oferty kryteriów premiujących/nagradzania, odnoszących się do warunków dotyczących zaspokojenia potrzeb osób ze szczególnymi potrzebami</w:t>
      </w:r>
      <w:r w:rsidRPr="00D054E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25FB0" w:rsidRPr="00D054E1" w:rsidRDefault="00F73D2C" w:rsidP="00D054E1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54E1">
        <w:rPr>
          <w:rFonts w:ascii="Times New Roman" w:eastAsia="Calibri" w:hAnsi="Times New Roman" w:cs="Times New Roman"/>
          <w:strike/>
          <w:sz w:val="24"/>
          <w:szCs w:val="24"/>
        </w:rPr>
        <w:t>I</w:t>
      </w:r>
      <w:r w:rsidRPr="00D054E1">
        <w:rPr>
          <w:rFonts w:ascii="Times New Roman" w:eastAsia="Calibri" w:hAnsi="Times New Roman" w:cs="Times New Roman"/>
          <w:sz w:val="24"/>
          <w:szCs w:val="24"/>
        </w:rPr>
        <w:t>nformacje o zasadach dostępności zawarte są również pod poniższym linkiem:</w:t>
      </w:r>
    </w:p>
    <w:p w:rsidR="00E25FB0" w:rsidRPr="00D054E1" w:rsidRDefault="00D054E1" w:rsidP="00D054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0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https://www.uzp.gov.pl/baza-wiedzy/zrownowazone-zamowienia-publiczne/spoleczne-zamowienia/przydatne-informacje/dostepnosc" w:history="1">
        <w:r w:rsidR="00F73D2C" w:rsidRPr="00D054E1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https://www.uzp.gov.pl/baza-wiedzy/zrownowazone-zamowienia-publiczne/spoleczne-zamowienia/przydatne-informacje/dostepnosc</w:t>
        </w:r>
      </w:hyperlink>
    </w:p>
    <w:p w:rsidR="00E25FB0" w:rsidRPr="00D054E1" w:rsidRDefault="00E25FB0" w:rsidP="00D054E1">
      <w:pPr>
        <w:rPr>
          <w:rFonts w:ascii="Times New Roman" w:hAnsi="Times New Roman" w:cs="Times New Roman"/>
          <w:sz w:val="24"/>
          <w:szCs w:val="24"/>
        </w:rPr>
      </w:pPr>
    </w:p>
    <w:sectPr w:rsidR="00E25FB0" w:rsidRPr="00D054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27" w:rsidRDefault="00202527">
      <w:pPr>
        <w:spacing w:after="0" w:line="240" w:lineRule="auto"/>
      </w:pPr>
      <w:r>
        <w:separator/>
      </w:r>
    </w:p>
  </w:endnote>
  <w:endnote w:type="continuationSeparator" w:id="0">
    <w:p w:rsidR="00202527" w:rsidRDefault="0020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27" w:rsidRDefault="00202527">
      <w:pPr>
        <w:spacing w:after="0" w:line="240" w:lineRule="auto"/>
      </w:pPr>
      <w:r>
        <w:separator/>
      </w:r>
    </w:p>
  </w:footnote>
  <w:footnote w:type="continuationSeparator" w:id="0">
    <w:p w:rsidR="00202527" w:rsidRDefault="0020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45"/>
    <w:multiLevelType w:val="hybridMultilevel"/>
    <w:tmpl w:val="0C6AA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548"/>
    <w:multiLevelType w:val="hybridMultilevel"/>
    <w:tmpl w:val="3380257E"/>
    <w:lvl w:ilvl="0" w:tplc="C4C8CD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911E8F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C6AF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3C423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60665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01C5A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11ED0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5727B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884D5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C9D66F4"/>
    <w:multiLevelType w:val="hybridMultilevel"/>
    <w:tmpl w:val="EA7A1012"/>
    <w:lvl w:ilvl="0" w:tplc="09DED596">
      <w:start w:val="1"/>
      <w:numFmt w:val="decimal"/>
      <w:lvlText w:val="%1."/>
      <w:lvlJc w:val="left"/>
      <w:pPr>
        <w:ind w:left="720" w:hanging="360"/>
      </w:pPr>
    </w:lvl>
    <w:lvl w:ilvl="1" w:tplc="80B2B5BC">
      <w:start w:val="1"/>
      <w:numFmt w:val="lowerLetter"/>
      <w:lvlText w:val="%2."/>
      <w:lvlJc w:val="left"/>
      <w:pPr>
        <w:ind w:left="1440" w:hanging="360"/>
      </w:pPr>
    </w:lvl>
    <w:lvl w:ilvl="2" w:tplc="9F761B2C">
      <w:start w:val="1"/>
      <w:numFmt w:val="lowerRoman"/>
      <w:lvlText w:val="%3."/>
      <w:lvlJc w:val="right"/>
      <w:pPr>
        <w:ind w:left="2160" w:hanging="180"/>
      </w:pPr>
    </w:lvl>
    <w:lvl w:ilvl="3" w:tplc="CA640C9E">
      <w:start w:val="1"/>
      <w:numFmt w:val="decimal"/>
      <w:lvlText w:val="%4."/>
      <w:lvlJc w:val="left"/>
      <w:pPr>
        <w:ind w:left="2880" w:hanging="360"/>
      </w:pPr>
    </w:lvl>
    <w:lvl w:ilvl="4" w:tplc="8B3C21EC">
      <w:start w:val="1"/>
      <w:numFmt w:val="lowerLetter"/>
      <w:lvlText w:val="%5."/>
      <w:lvlJc w:val="left"/>
      <w:pPr>
        <w:ind w:left="3600" w:hanging="360"/>
      </w:pPr>
    </w:lvl>
    <w:lvl w:ilvl="5" w:tplc="9F8A006C">
      <w:start w:val="1"/>
      <w:numFmt w:val="lowerRoman"/>
      <w:lvlText w:val="%6."/>
      <w:lvlJc w:val="right"/>
      <w:pPr>
        <w:ind w:left="4320" w:hanging="180"/>
      </w:pPr>
    </w:lvl>
    <w:lvl w:ilvl="6" w:tplc="AB042E72">
      <w:start w:val="1"/>
      <w:numFmt w:val="decimal"/>
      <w:lvlText w:val="%7."/>
      <w:lvlJc w:val="left"/>
      <w:pPr>
        <w:ind w:left="5040" w:hanging="360"/>
      </w:pPr>
    </w:lvl>
    <w:lvl w:ilvl="7" w:tplc="2014EBC0">
      <w:start w:val="1"/>
      <w:numFmt w:val="lowerLetter"/>
      <w:lvlText w:val="%8."/>
      <w:lvlJc w:val="left"/>
      <w:pPr>
        <w:ind w:left="5760" w:hanging="360"/>
      </w:pPr>
    </w:lvl>
    <w:lvl w:ilvl="8" w:tplc="B25AA33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945DD"/>
    <w:multiLevelType w:val="hybridMultilevel"/>
    <w:tmpl w:val="F578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782F"/>
    <w:multiLevelType w:val="hybridMultilevel"/>
    <w:tmpl w:val="CA5E1A6C"/>
    <w:lvl w:ilvl="0" w:tplc="D01AF7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72B670A"/>
    <w:multiLevelType w:val="hybridMultilevel"/>
    <w:tmpl w:val="898A0D3C"/>
    <w:lvl w:ilvl="0" w:tplc="DF08B7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E572D"/>
    <w:multiLevelType w:val="hybridMultilevel"/>
    <w:tmpl w:val="D2441D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68682C0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plc="AE9E4E7C">
      <w:start w:val="1"/>
      <w:numFmt w:val="lowerRoman"/>
      <w:lvlText w:val="%3."/>
      <w:lvlJc w:val="right"/>
      <w:pPr>
        <w:ind w:left="2160" w:hanging="180"/>
      </w:pPr>
    </w:lvl>
    <w:lvl w:ilvl="3" w:tplc="47E21BE8">
      <w:start w:val="1"/>
      <w:numFmt w:val="decimal"/>
      <w:lvlText w:val="%4."/>
      <w:lvlJc w:val="left"/>
      <w:pPr>
        <w:ind w:left="2880" w:hanging="360"/>
      </w:pPr>
    </w:lvl>
    <w:lvl w:ilvl="4" w:tplc="D3EECBFC">
      <w:start w:val="1"/>
      <w:numFmt w:val="lowerLetter"/>
      <w:lvlText w:val="%5."/>
      <w:lvlJc w:val="left"/>
      <w:pPr>
        <w:ind w:left="3600" w:hanging="360"/>
      </w:pPr>
    </w:lvl>
    <w:lvl w:ilvl="5" w:tplc="0D6A0678">
      <w:start w:val="1"/>
      <w:numFmt w:val="lowerRoman"/>
      <w:lvlText w:val="%6."/>
      <w:lvlJc w:val="right"/>
      <w:pPr>
        <w:ind w:left="4320" w:hanging="180"/>
      </w:pPr>
    </w:lvl>
    <w:lvl w:ilvl="6" w:tplc="72D60612">
      <w:start w:val="1"/>
      <w:numFmt w:val="decimal"/>
      <w:lvlText w:val="%7."/>
      <w:lvlJc w:val="left"/>
      <w:pPr>
        <w:ind w:left="5040" w:hanging="360"/>
      </w:pPr>
    </w:lvl>
    <w:lvl w:ilvl="7" w:tplc="48DC7236">
      <w:start w:val="1"/>
      <w:numFmt w:val="lowerLetter"/>
      <w:lvlText w:val="%8."/>
      <w:lvlJc w:val="left"/>
      <w:pPr>
        <w:ind w:left="5760" w:hanging="360"/>
      </w:pPr>
    </w:lvl>
    <w:lvl w:ilvl="8" w:tplc="19FAF9A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A4CC2"/>
    <w:multiLevelType w:val="hybridMultilevel"/>
    <w:tmpl w:val="D55EF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F539C"/>
    <w:multiLevelType w:val="hybridMultilevel"/>
    <w:tmpl w:val="693C79EC"/>
    <w:lvl w:ilvl="0" w:tplc="D01AF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E06CF"/>
    <w:multiLevelType w:val="hybridMultilevel"/>
    <w:tmpl w:val="E472A17E"/>
    <w:lvl w:ilvl="0" w:tplc="F27C09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6D8E2604"/>
    <w:multiLevelType w:val="hybridMultilevel"/>
    <w:tmpl w:val="0604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121E6"/>
    <w:multiLevelType w:val="hybridMultilevel"/>
    <w:tmpl w:val="CD4088FC"/>
    <w:lvl w:ilvl="0" w:tplc="DF08B7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D01AF7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75609"/>
    <w:multiLevelType w:val="hybridMultilevel"/>
    <w:tmpl w:val="A14672AA"/>
    <w:lvl w:ilvl="0" w:tplc="C6868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B0"/>
    <w:rsid w:val="00183303"/>
    <w:rsid w:val="00202527"/>
    <w:rsid w:val="002373FF"/>
    <w:rsid w:val="00264D1A"/>
    <w:rsid w:val="002C3607"/>
    <w:rsid w:val="00323343"/>
    <w:rsid w:val="004A3285"/>
    <w:rsid w:val="00500D8C"/>
    <w:rsid w:val="006B0553"/>
    <w:rsid w:val="006F6229"/>
    <w:rsid w:val="007B2190"/>
    <w:rsid w:val="00D054E1"/>
    <w:rsid w:val="00D45CC4"/>
    <w:rsid w:val="00DF0921"/>
    <w:rsid w:val="00E25FB0"/>
    <w:rsid w:val="00E57AA6"/>
    <w:rsid w:val="00E73063"/>
    <w:rsid w:val="00EE1CBE"/>
    <w:rsid w:val="00F6781D"/>
    <w:rsid w:val="00F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Light">
    <w:name w:val="Grid Table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Accent2">
    <w:name w:val="Grid Table 1 Light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Accent3">
    <w:name w:val="Grid Table 1 Light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Accent4">
    <w:name w:val="Grid Table 1 Light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Accent5">
    <w:name w:val="Grid Table 1 Light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Accent6">
    <w:name w:val="Grid Table 1 Light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Accent1">
    <w:name w:val="Grid Table 2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Accent2">
    <w:name w:val="Grid Table 2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Accent3">
    <w:name w:val="Grid Table 2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Accent4">
    <w:name w:val="Grid Table 2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Accent5">
    <w:name w:val="Grid Table 2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Accent6">
    <w:name w:val="Grid Table 2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Accent1">
    <w:name w:val="Grid Table 3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Accent2">
    <w:name w:val="Grid Table 3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Accent3">
    <w:name w:val="Grid Table 3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Accent4">
    <w:name w:val="Grid Table 3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Accent5">
    <w:name w:val="Grid Table 3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Accent6">
    <w:name w:val="Grid Table 3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Accent1">
    <w:name w:val="Grid Table 4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Accent2">
    <w:name w:val="Grid Table 4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Accent3">
    <w:name w:val="Grid Table 4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Accent4">
    <w:name w:val="Grid Table 4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Accent5">
    <w:name w:val="Grid Table 4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Accent6">
    <w:name w:val="Grid Table 4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Accent2">
    <w:name w:val="Grid Table 5 Dark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Accent3">
    <w:name w:val="Grid Table 5 Dark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Accent5">
    <w:name w:val="Grid Table 5 Dark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Accent6">
    <w:name w:val="Grid Table 5 Dark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Accent6">
    <w:name w:val="Grid Table 6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Accent6">
    <w:name w:val="Grid Table 7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Accent1">
    <w:name w:val="List Table 1 Light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Accent2">
    <w:name w:val="List Table 1 Light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Accent3">
    <w:name w:val="List Table 1 Light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Accent4">
    <w:name w:val="List Table 1 Light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Accent5">
    <w:name w:val="List Table 1 Light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Accent6">
    <w:name w:val="List Table 1 Light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Accent1">
    <w:name w:val="List Table 2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Accent2">
    <w:name w:val="List Table 2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Accent3">
    <w:name w:val="List Table 2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Accent4">
    <w:name w:val="List Table 2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Accent5">
    <w:name w:val="List Table 2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Accent6">
    <w:name w:val="List Table 2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Accent2">
    <w:name w:val="List Table 3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Accent3">
    <w:name w:val="List Table 3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Accent4">
    <w:name w:val="List Table 3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Accent5">
    <w:name w:val="List Table 3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Accent6">
    <w:name w:val="List Table 3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Accent1">
    <w:name w:val="List Table 4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Accent2">
    <w:name w:val="List Table 4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Accent3">
    <w:name w:val="List Table 4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Accent4">
    <w:name w:val="List Table 4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Accent5">
    <w:name w:val="List Table 4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Accent6">
    <w:name w:val="List Table 4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Accent1">
    <w:name w:val="List Table 5 Dark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Accent2">
    <w:name w:val="List Table 5 Dark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Accent3">
    <w:name w:val="List Table 5 Dark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Accent4">
    <w:name w:val="List Table 5 Dark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Accent5">
    <w:name w:val="List Table 5 Dark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Accent6">
    <w:name w:val="List Table 5 Dark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Accent2">
    <w:name w:val="List Table 6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Accent2">
    <w:name w:val="List Table 7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D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8C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B219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21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Light">
    <w:name w:val="Grid Table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Accent2">
    <w:name w:val="Grid Table 1 Light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Accent3">
    <w:name w:val="Grid Table 1 Light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Accent4">
    <w:name w:val="Grid Table 1 Light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Accent5">
    <w:name w:val="Grid Table 1 Light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Accent6">
    <w:name w:val="Grid Table 1 Light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Accent1">
    <w:name w:val="Grid Table 2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Accent2">
    <w:name w:val="Grid Table 2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Accent3">
    <w:name w:val="Grid Table 2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Accent4">
    <w:name w:val="Grid Table 2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Accent5">
    <w:name w:val="Grid Table 2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Accent6">
    <w:name w:val="Grid Table 2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Accent1">
    <w:name w:val="Grid Table 3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Accent2">
    <w:name w:val="Grid Table 3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Accent3">
    <w:name w:val="Grid Table 3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Accent4">
    <w:name w:val="Grid Table 3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Accent5">
    <w:name w:val="Grid Table 3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Accent6">
    <w:name w:val="Grid Table 3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Accent1">
    <w:name w:val="Grid Table 4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Accent2">
    <w:name w:val="Grid Table 4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Accent3">
    <w:name w:val="Grid Table 4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Accent4">
    <w:name w:val="Grid Table 4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Accent5">
    <w:name w:val="Grid Table 4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Accent6">
    <w:name w:val="Grid Table 4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Accent2">
    <w:name w:val="Grid Table 5 Dark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Accent3">
    <w:name w:val="Grid Table 5 Dark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Accent5">
    <w:name w:val="Grid Table 5 Dark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Accent6">
    <w:name w:val="Grid Table 5 Dark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Accent6">
    <w:name w:val="Grid Table 6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Accent6">
    <w:name w:val="Grid Table 7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Accent1">
    <w:name w:val="List Table 1 Light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Accent2">
    <w:name w:val="List Table 1 Light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Accent3">
    <w:name w:val="List Table 1 Light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Accent4">
    <w:name w:val="List Table 1 Light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Accent5">
    <w:name w:val="List Table 1 Light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Accent6">
    <w:name w:val="List Table 1 Light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Accent1">
    <w:name w:val="List Table 2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Accent2">
    <w:name w:val="List Table 2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Accent3">
    <w:name w:val="List Table 2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Accent4">
    <w:name w:val="List Table 2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Accent5">
    <w:name w:val="List Table 2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Accent6">
    <w:name w:val="List Table 2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Accent2">
    <w:name w:val="List Table 3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Accent3">
    <w:name w:val="List Table 3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Accent4">
    <w:name w:val="List Table 3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Accent5">
    <w:name w:val="List Table 3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Accent6">
    <w:name w:val="List Table 3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Accent1">
    <w:name w:val="List Table 4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Accent2">
    <w:name w:val="List Table 4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Accent3">
    <w:name w:val="List Table 4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Accent4">
    <w:name w:val="List Table 4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Accent5">
    <w:name w:val="List Table 4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Accent6">
    <w:name w:val="List Table 4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Accent1">
    <w:name w:val="List Table 5 Dark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Accent2">
    <w:name w:val="List Table 5 Dark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Accent3">
    <w:name w:val="List Table 5 Dark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Accent4">
    <w:name w:val="List Table 5 Dark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Accent5">
    <w:name w:val="List Table 5 Dark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Accent6">
    <w:name w:val="List Table 5 Dark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Accent2">
    <w:name w:val="List Table 6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Accent2">
    <w:name w:val="List Table 7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D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8C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B219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55001/Zalacznik_nr_2_do_Wytycznych_w_zakresie_rownosci_zatwiedzone_050418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zrownowazone-zamowienia-publiczne/spoleczne-zamowienia/przydatne-informacje/dostepnos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vt.ils.uw.edu.pl/files/2020/03/Dost%C4%99pno%C5%9B%C4%87-pjm-wytyczne-na-czas-kryzysu.pdf?fbclid=IwAR0w_l5KUhJHJ0eSiThJ-eW07GTF8pUJdfuCZuKv-Xm3Hh-b5d_hR1avy_Q" TargetMode="External"/><Relationship Id="rId4" Type="http://schemas.openxmlformats.org/officeDocument/2006/relationships/settings" Target="settings.xml"/><Relationship Id="rId9" Type="http://schemas.openxmlformats.org/officeDocument/2006/relationships/hyperlink" Target="(https://www.funduszeeuropejskie.gov.pl/strony/o-funduszach/fundusze-europejskie-bez-barier/dostepnosc-plus/aktualnosci/jak-tworzyc-dostepne-komunikaty-komunikacja-nie-tylko-w-czasach-epidem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Wojciech Rachubka</cp:lastModifiedBy>
  <cp:revision>12</cp:revision>
  <dcterms:created xsi:type="dcterms:W3CDTF">2021-10-04T10:08:00Z</dcterms:created>
  <dcterms:modified xsi:type="dcterms:W3CDTF">2021-11-09T13:19:00Z</dcterms:modified>
</cp:coreProperties>
</file>