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193A" w14:textId="77777777" w:rsidR="00043A3C" w:rsidRPr="00043A3C" w:rsidRDefault="00043A3C" w:rsidP="00043A3C">
      <w:pPr>
        <w:pStyle w:val="OZNRODZAKTUtznustawalubrozporzdzenieiorganwydajcy"/>
      </w:pPr>
      <w:bookmarkStart w:id="0" w:name="_GoBack"/>
      <w:bookmarkEnd w:id="0"/>
      <w:r w:rsidRPr="00043A3C">
        <w:t>UZASADNIENIE</w:t>
      </w:r>
    </w:p>
    <w:p w14:paraId="469098F1" w14:textId="77777777" w:rsidR="00043A3C" w:rsidRPr="00043A3C" w:rsidRDefault="00043A3C" w:rsidP="00043A3C">
      <w:pPr>
        <w:pStyle w:val="NIEARTTEKSTtekstnieartykuowanynppodstprawnarozplubpreambua"/>
      </w:pPr>
      <w:r w:rsidRPr="00043A3C">
        <w:t>Wprowadzenie</w:t>
      </w:r>
    </w:p>
    <w:p w14:paraId="34482B58" w14:textId="77777777" w:rsidR="00043A3C" w:rsidRPr="00043A3C" w:rsidRDefault="00043A3C" w:rsidP="00043A3C">
      <w:pPr>
        <w:pStyle w:val="NIEARTTEKSTtekstnieartykuowanynppodstprawnarozplubpreambua"/>
      </w:pPr>
      <w:r w:rsidRPr="00043A3C">
        <w:t xml:space="preserve">Projekt rozporządzenia stanowi realizację upoważnienia ustawowego zawartego </w:t>
      </w:r>
      <w:r w:rsidR="005D6CB6">
        <w:br/>
      </w:r>
      <w:r w:rsidRPr="00043A3C">
        <w:t xml:space="preserve">w art. 29e ustawy z dnia 7 maja 2010 r. o wspieraniu rozwoju usług i sieci telekomunikacyjnych </w:t>
      </w:r>
      <w:r>
        <w:t>(Dz. U. z 2022 r. poz. 884</w:t>
      </w:r>
      <w:r w:rsidR="005D6CB6">
        <w:t xml:space="preserve"> i 2164</w:t>
      </w:r>
      <w:r>
        <w:t>)</w:t>
      </w:r>
      <w:r w:rsidR="004F0719">
        <w:t>, dalej:</w:t>
      </w:r>
      <w:r w:rsidRPr="00043A3C">
        <w:t xml:space="preserve"> „ustawa” lub „ustawa o wspieraniu rozwoju usług </w:t>
      </w:r>
      <w:r w:rsidR="004F0719">
        <w:br/>
      </w:r>
      <w:r w:rsidRPr="00043A3C">
        <w:t>i sieci telekomunikacyjnych”.</w:t>
      </w:r>
    </w:p>
    <w:p w14:paraId="4FB3A7FC" w14:textId="77777777" w:rsidR="00043A3C" w:rsidRPr="00043A3C" w:rsidRDefault="00043A3C" w:rsidP="00043A3C">
      <w:pPr>
        <w:pStyle w:val="NIEARTTEKSTtekstnieartykuowanynppodstprawnarozplubpreambua"/>
      </w:pPr>
      <w:r w:rsidRPr="00043A3C">
        <w:t>Przedkładany projekt rozporządzenia jest projektem komplementarnego aktu prawnego realizującym reformę Krajowego Planu Odbudowy i Zwiększania Odporności w Komponencie C1.1 Ułatwienie rozwoju infrastruktury sieciowej zapewniającej powszechny dostęp do szybkiego Internetu, a w tym inwestycje C1.1.1 Zapewnienie dostępu do bardzo szybkiego Internetu na obszarach białych plam. Projekt rozporządzenia jest kamieniem milowym C3G – jego wejście w życie, przy obowiązkowym przekazywaniu informacji posiadanych w postaci elektronicznej o infrastrukturze technicznej przez operatorów sieci (dotychczas dane te były przekazywane na zasadach dobrowolności lub na wezwanie Prezesa UKE), pozwoli dostarczyć przedsiębiorcom telekomunikacyjnym szerszego zakresu informacji o infrastrukturze, którą można wykorzystać w inwestycjach telekomunikacyjnych, oraz przyczyni się do zapewnienia lepiej dostosowanych narzędzi planowania.</w:t>
      </w:r>
    </w:p>
    <w:p w14:paraId="3A40404B" w14:textId="77777777" w:rsidR="00043A3C" w:rsidRPr="00043A3C" w:rsidRDefault="00043A3C" w:rsidP="00043A3C">
      <w:pPr>
        <w:pStyle w:val="NIEARTTEKSTtekstnieartykuowanynppodstprawnarozplubpreambua"/>
      </w:pPr>
      <w:r w:rsidRPr="00043A3C">
        <w:t xml:space="preserve">Dzięki implementacji dyrektywy Parlamentu Europejskiego i Rady nr 2014/61/UE </w:t>
      </w:r>
      <w:r w:rsidR="004F0719">
        <w:br/>
      </w:r>
      <w:r w:rsidRPr="00043A3C">
        <w:t xml:space="preserve">w sprawie środków mających na celu zmniejszenie kosztów realizacji szybkich sieci łączności elektronicznej [dalej jako: „dyrektywa”], która miała na celu ułatwienie i wspieranie realizacji szybkich sieci łączności elektronicznej poprzez promowanie wspólnego korzystania </w:t>
      </w:r>
      <w:r w:rsidR="004F0719">
        <w:br/>
      </w:r>
      <w:r w:rsidRPr="00043A3C">
        <w:t xml:space="preserve">z istniejącej infrastruktury technicznej i umożliwianie efektywniejszej realizacji nowej infrastruktury technicznej w celu zmniejszenia kosztów związanych z realizacją takich sieci </w:t>
      </w:r>
      <w:r w:rsidR="004F0719">
        <w:br/>
      </w:r>
      <w:r w:rsidRPr="00043A3C">
        <w:t>w ramach ustawy z dnia 9 czerwca 2016 r. o zmianie ustawy o wspieraniu rozwoju usług i sieci telekomunikacyjnych (Dz.</w:t>
      </w:r>
      <w:r w:rsidR="004F0719">
        <w:t xml:space="preserve"> </w:t>
      </w:r>
      <w:r w:rsidRPr="00043A3C">
        <w:t>U. poz. 903) powstał Punkt informa</w:t>
      </w:r>
      <w:r w:rsidR="004F0719">
        <w:t>cyjny do spraw telekomunikacji, dalej: „punkt”,</w:t>
      </w:r>
      <w:r w:rsidRPr="00043A3C">
        <w:t xml:space="preserve"> prowadzony przez Prezesa Urzędu Komunikacji Elektronicznej. Punkt zapewnia operatorom sieci dostęp do informacji o istniejącej infrastrukturze i planach inwestycyjnych, zbieranych w ramach systemu teleinformatycznego obsługującego punkt. W ustawie przewidziano również zgodnie z art. 29e, że minister właściwy do spraw informatyzacji, kierując się potrzebą zapewnienia rzetelnego i wiarygodnego zbioru informacji o istniejącej infrastrukturze technicznej, innej niż infrastruktura objęta inwentaryzacją, o której mowa w art. 29 ust. 1 ustawy, a także o kanałach technologicznych oraz o planach </w:t>
      </w:r>
      <w:r w:rsidRPr="00043A3C">
        <w:lastRenderedPageBreak/>
        <w:t xml:space="preserve">inwestycyjnych w zakresie wykonywanych lub planowanych robót budowlanych, jak również o obowiązujących stawkach opłaty za zajęcie pasa drogowego, a także mając na uwadze konieczność usprawnienia i ujednolicenia procesu przekazywania danych, może określić w drodze rozporządzenia szczegółowy zakres informacji, o których mowa w art. 29b ust. 1 pkt 3, 4 i 6 ustawy, a także elektroniczny format ich przekazywania oraz wzory formularzy służących do przekazywania Prezesowi UKE tych informacji wraz z objaśnieniami co do sposobu ich wypełniania. </w:t>
      </w:r>
    </w:p>
    <w:p w14:paraId="4DEF5D9A" w14:textId="3E0F4816" w:rsidR="00043A3C" w:rsidRPr="00043A3C" w:rsidRDefault="00043A3C" w:rsidP="00043A3C">
      <w:pPr>
        <w:pStyle w:val="NIEARTTEKSTtekstnieartykuowanynppodstprawnarozplubpreambua"/>
      </w:pPr>
      <w:r w:rsidRPr="00043A3C">
        <w:t xml:space="preserve">Przedmiotowe rozporządzenie jest fakultatywne i poprzedzone było rozporządzeniem Ministra Cyfryzacji z dnia 31 lipca 2019 r. w sprawie informacji o infrastrukturze technicznej i kanałach technologicznych oraz o stawkach opłat za zajęcie pasa drogowego </w:t>
      </w:r>
      <w:r w:rsidR="004F0719">
        <w:br/>
      </w:r>
      <w:r w:rsidRPr="00043A3C">
        <w:t>(Dz.</w:t>
      </w:r>
      <w:r w:rsidR="004F0719">
        <w:t xml:space="preserve"> </w:t>
      </w:r>
      <w:r w:rsidRPr="00043A3C">
        <w:t xml:space="preserve">U. z 2019 r. poz. 1618). Rozporządzenie poprzedzające wydane zostało ze względu na potrzebę stworzenia otoczenia prawnego dla sprawnego zasilania i funkcjonowania systemu do obsługi punktu. Systematyzowało procesy przekazywania do punktu informacji wymaganych ustawą przez określenie wymagań dotyczących organizacji i zakresu zbieranych danych. Dzięki temu informacje zasilające punkt możliwe są do przetworzenia przez system, </w:t>
      </w:r>
      <w:r w:rsidR="004F0719">
        <w:br/>
      </w:r>
      <w:r w:rsidRPr="00043A3C">
        <w:t>i przekazania do prezentacji na jego stronie internetowej.</w:t>
      </w:r>
    </w:p>
    <w:p w14:paraId="72E6CD69" w14:textId="3F003927" w:rsidR="00043A3C" w:rsidRPr="00043A3C" w:rsidRDefault="004F0719" w:rsidP="00043A3C">
      <w:pPr>
        <w:pStyle w:val="NIEARTTEKSTtekstnieartykuowanynppodstprawnarozplubpreambua"/>
      </w:pPr>
      <w:r>
        <w:t>Ustawą</w:t>
      </w:r>
      <w:r w:rsidR="00043A3C" w:rsidRPr="00043A3C">
        <w:t xml:space="preserve"> z dnia 30 sierpnia 2019 r. o zmianie ustawy o wspieraniu rozwoju usług i sieci telekomunikacyjnych oraz niektórych innych ustaw (Dz.</w:t>
      </w:r>
      <w:r>
        <w:t xml:space="preserve"> </w:t>
      </w:r>
      <w:r w:rsidR="00043A3C" w:rsidRPr="00043A3C">
        <w:t>U. 2019 poz. 1815), dalej</w:t>
      </w:r>
      <w:r>
        <w:t>: „nowelizacja</w:t>
      </w:r>
      <w:r w:rsidR="00043A3C" w:rsidRPr="00043A3C">
        <w:t xml:space="preserve"> ustawy”</w:t>
      </w:r>
      <w:r>
        <w:t>,</w:t>
      </w:r>
      <w:r w:rsidR="00043A3C" w:rsidRPr="00043A3C">
        <w:t xml:space="preserve"> zmieniono treść art. 29c </w:t>
      </w:r>
      <w:r>
        <w:t xml:space="preserve">ustawy </w:t>
      </w:r>
      <w:r w:rsidR="00043A3C" w:rsidRPr="00043A3C">
        <w:t xml:space="preserve">w celu poszerzenia dostępu do informacji o infrastrukturze technicznej, innej niż objęta inwentaryzacją Prezesa UKE, oraz </w:t>
      </w:r>
      <w:r>
        <w:br/>
      </w:r>
      <w:r w:rsidR="00043A3C" w:rsidRPr="00043A3C">
        <w:t>o kanałach technologicznych, a także o planach inwestycyjnych dotyczących tej infrastruktury lub kanałów, które są następnie publikowane na stronie internetowej Punktu informacyjnego do spraw telekomunikacji. Przed nowelizacją źródłem informacji o istniejącej infrastrukturze technicznej w punkcie były co do zasady – zgodnie z art. 29d ust. 1 i 2 ustawy – dane państwowego zasobu geodezyjn</w:t>
      </w:r>
      <w:r w:rsidR="00633DC6">
        <w:t>e</w:t>
      </w:r>
      <w:r w:rsidR="00043A3C" w:rsidRPr="00043A3C">
        <w:t>go i kartograficznego, zaś o kanałach technologicznych, w</w:t>
      </w:r>
      <w:r w:rsidR="00633DC6">
        <w:t> </w:t>
      </w:r>
      <w:r w:rsidR="00043A3C" w:rsidRPr="00043A3C">
        <w:t>tym o dotyczących ich planach – właściwi zarządcy dróg. Dodatkowe informacje o</w:t>
      </w:r>
      <w:r w:rsidR="00633DC6">
        <w:t> </w:t>
      </w:r>
      <w:r w:rsidR="00043A3C" w:rsidRPr="00043A3C">
        <w:t>istnieją</w:t>
      </w:r>
      <w:r>
        <w:t>cej infrastrukturze technicznej,</w:t>
      </w:r>
      <w:r w:rsidR="00043A3C" w:rsidRPr="00043A3C">
        <w:t xml:space="preserve"> nieujawnione w zas</w:t>
      </w:r>
      <w:r>
        <w:t>obach geodezyjnych,</w:t>
      </w:r>
      <w:r w:rsidR="00043A3C" w:rsidRPr="00043A3C">
        <w:t xml:space="preserve"> oraz o</w:t>
      </w:r>
      <w:r w:rsidR="00633DC6">
        <w:t> </w:t>
      </w:r>
      <w:r w:rsidR="00043A3C" w:rsidRPr="00043A3C">
        <w:t>dotyczą</w:t>
      </w:r>
      <w:r>
        <w:t>cych jej planach inwestycyjnych</w:t>
      </w:r>
      <w:r w:rsidR="00043A3C" w:rsidRPr="00043A3C">
        <w:t xml:space="preserve"> mogły być do tej pory przekazywane na zasadach dobrowolności lub na wezwanie Prezesa UKE. Takie rozwiązanie okazało się jednak nie spełniać założeń budowy bazy informacyjnej punktu w sposób możliwie najbardziej kompletny, w związku z czym wprowadzono obowiązek przekazywania, z mocy prawa, posiadanych przez operatorów sieci informacji o infrastrukturze technicznej i kanałach </w:t>
      </w:r>
      <w:r w:rsidR="00043A3C" w:rsidRPr="00043A3C">
        <w:lastRenderedPageBreak/>
        <w:t>technologicznych. Art. 34 nowelizacji ustawy utrzymał w mocy dotychczasowe rozporządzenie wydane</w:t>
      </w:r>
      <w:r>
        <w:t xml:space="preserve"> podstawie zmienionego art. 29e ustawy</w:t>
      </w:r>
      <w:r w:rsidR="00043A3C" w:rsidRPr="00043A3C">
        <w:t xml:space="preserve"> do czasu wydania nowego rozporządzenia</w:t>
      </w:r>
      <w:r>
        <w:t>,</w:t>
      </w:r>
      <w:r w:rsidR="00043A3C" w:rsidRPr="00043A3C">
        <w:t xml:space="preserve"> jednak nie dłużej niż do dnia 1 stycznia 2022 r.</w:t>
      </w:r>
    </w:p>
    <w:p w14:paraId="1B6327A3" w14:textId="77777777" w:rsidR="00043A3C" w:rsidRPr="00043A3C" w:rsidRDefault="00043A3C" w:rsidP="00043A3C">
      <w:pPr>
        <w:pStyle w:val="NIEARTTEKSTtekstnieartykuowanynppodstprawnarozplubpreambua"/>
      </w:pPr>
      <w:r w:rsidRPr="00043A3C">
        <w:t xml:space="preserve">Należy jednocześnie zauważyć, że ustawa z dnia 2 grudnia 2021 r. o szczególnych zasadach wynagradzania osób realizujących zadania z zakresu cyberbezpieczeństwa (Dz. U. poz. 2333 oraz z 2022 r. poz. 655) przedłużyła obowiązywanie dotychczasowych przepisów wykonawczych wydanych na podstawie art. 29e ustawy do dnia wejścia w życie nowych przepisów wykonawczych, jednak nie dłużej niż do dnia 1 stycznia 2023 r. </w:t>
      </w:r>
    </w:p>
    <w:p w14:paraId="45F460AC" w14:textId="77777777" w:rsidR="00043A3C" w:rsidRPr="00043A3C" w:rsidRDefault="00043A3C" w:rsidP="00043A3C">
      <w:pPr>
        <w:pStyle w:val="NIEARTTEKSTtekstnieartykuowanynppodstprawnarozplubpreambua"/>
      </w:pPr>
      <w:r w:rsidRPr="00043A3C">
        <w:t>O</w:t>
      </w:r>
      <w:r w:rsidR="004F0719">
        <w:t xml:space="preserve">bowiązywanie w okresie od 28 listopada </w:t>
      </w:r>
      <w:r w:rsidRPr="00043A3C">
        <w:t>2019</w:t>
      </w:r>
      <w:r w:rsidR="004F0719">
        <w:t xml:space="preserve"> r.</w:t>
      </w:r>
      <w:r w:rsidRPr="00043A3C">
        <w:t xml:space="preserve"> do </w:t>
      </w:r>
      <w:r w:rsidR="004F0719">
        <w:t xml:space="preserve">1 stycznia </w:t>
      </w:r>
      <w:r w:rsidRPr="00043A3C">
        <w:t xml:space="preserve">2023 </w:t>
      </w:r>
      <w:r w:rsidR="004F0719">
        <w:t xml:space="preserve">r. </w:t>
      </w:r>
      <w:r w:rsidRPr="00043A3C">
        <w:t>tego aktu prawnego zaowocowało znaczącą poprawą jakości oraz wiarygodności informacji przekazywanych Prezesowi UKE. Ich publikacja w dedykowanym systemie informatycznym punktu, będąc pomocą w planowaniu inwestycyjnym, zauważalnie przyśpieszyła proces inwestowania przez przedsiębiorców telekomunikacyjnych w szerokopasmowe sieci telekomunikacyjne.</w:t>
      </w:r>
    </w:p>
    <w:p w14:paraId="4B2D72C3" w14:textId="77777777" w:rsidR="00043A3C" w:rsidRPr="00043A3C" w:rsidRDefault="00043A3C" w:rsidP="00043A3C">
      <w:pPr>
        <w:pStyle w:val="NIEARTTEKSTtekstnieartykuowanynppodstprawnarozplubpreambua"/>
      </w:pPr>
      <w:r w:rsidRPr="00043A3C">
        <w:t xml:space="preserve">Należy również zwrócić uwagę na oceny i zalecenia organów UE związane </w:t>
      </w:r>
      <w:r w:rsidR="00AD06D9">
        <w:br/>
      </w:r>
      <w:r w:rsidRPr="00043A3C">
        <w:t xml:space="preserve">z funkcjonowaniem dyrektywy. W preambule Zalecenia Komisji (UE) 2020/1307 z dnia </w:t>
      </w:r>
      <w:r w:rsidR="00AD06D9">
        <w:br/>
      </w:r>
      <w:r w:rsidRPr="00043A3C">
        <w:t>18 września 2020 r. w sprawie wspólnego unijnego zestawu narzędzi służących zmniejszeniu kosztów wprowadzania sieci  o bardzo dużej przepustowości oraz zapewnieniu terminowego i sprzyjającego inwestycjom dostępu do widma radiowego 5G, aby wspierać łączność z myślą o odbudowie gospodarki po kryzysie związanym z COVID-19 w Unii, Komisja stwierdza w punkcie 16, że: „Dostęp do wyczerpujących, dokładnych i aktualnych informacji jest zasadniczym warunkiem zapewnienia efektywnego wykorzystania istniejącej infrastruktury technicznej i odpowiedniej koordynacji robót budowlanych. W tym względzie kluczową rolę odgrywa pojedynczy punkt informacyjny. Poprawa przejrzystości w odniesieniu do istniejącej infrastruktury i planowanych robót budowlanych stanowi kluczowy krok wstępny w kierunku umożliwienia dostępu do tej infrastruktury i poprawy koordynacji robót budowlanych, co z kolei przyniesie dodatkowe korzyści środowisku i społeczeństwu. Należy zatem zachęcać państwa członkowskie do zastanowienia się nad przekazywaniem do pojedynczego punktu informacyjnego wszystkich informacji na temat infrastruktury technicznej dostępnej na danym obszarze pochodzących z różnych źródeł, a także do udzielania pomocy w przekazywaniu informacji georeferencyjnych.”</w:t>
      </w:r>
      <w:r w:rsidR="00AD06D9">
        <w:t>.</w:t>
      </w:r>
      <w:r w:rsidRPr="00043A3C">
        <w:t xml:space="preserve"> </w:t>
      </w:r>
    </w:p>
    <w:p w14:paraId="2998793C" w14:textId="77777777" w:rsidR="00043A3C" w:rsidRPr="00043A3C" w:rsidRDefault="00AD06D9" w:rsidP="00043A3C">
      <w:pPr>
        <w:pStyle w:val="NIEARTTEKSTtekstnieartykuowanynppodstprawnarozplubpreambua"/>
      </w:pPr>
      <w:r>
        <w:lastRenderedPageBreak/>
        <w:t>W art. 11 Zalecenia</w:t>
      </w:r>
      <w:r w:rsidR="00043A3C" w:rsidRPr="00043A3C">
        <w:t xml:space="preserve"> Komisja wskazuje że: „Państwa członkowskie powinny opracować odpowiednie najlepsze praktyki służące zwiększeniu przejrzystości w odniesieniu do infrastruktury technicznej, tak aby operatorzy mieli łatwiejszy dostęp do wszystkich istotnych informacji na temat infrastruktury dostępnej na danym obszarze. W tym celu państwa członkowskie powinny rozważyć wzmocnienie roli pojedynczego punktu informacyjnego i rozszerzenie zakresu jego funkcji o udostępnianie np. informacji georeferencyjnych (map i modeli cyfrowych) oraz integrowanie informacji z różnych źródeł (w szczególności informacji przekazywanych przez właściwe organy krajowe na każdym szczeblu, organy sektora publicznego i operatorów sieci).”. </w:t>
      </w:r>
    </w:p>
    <w:p w14:paraId="596FB6D5" w14:textId="77777777" w:rsidR="00043A3C" w:rsidRPr="00043A3C" w:rsidRDefault="00043A3C" w:rsidP="00043A3C">
      <w:pPr>
        <w:pStyle w:val="NIEARTTEKSTtekstnieartykuowanynppodstprawnarozplubpreambua"/>
      </w:pPr>
      <w:r w:rsidRPr="00043A3C">
        <w:t>W kolejnym art. 12 Zalecenia, Komisja „Zachęca państwa członkowskie, aby rozwijały najlepsze praktyki w celu zapewnienia, aby informacje, o których mowa w art. 4 ust. 1 dyrektywy, będące w posiadaniu organów sektora publicznego, były udostępniane za pośrednictwem pojedynczego punktu informacyjnego w formie elektronicznej. Ponadto państwa członkowskie powinny rozważyć udostępnianie za pośrednictwem pojedynczego punktu informacyjnego informacji dotyczących infrastruktury technicznej wykraczających poza minimum określone w dyrektywie, takich jak lokalizacja georeferencyjna infrastruktury, jej model cyfrowy, rodzaj i aktualny sposób użytkowania lub jej zdolność całkowita i wolna.”</w:t>
      </w:r>
    </w:p>
    <w:p w14:paraId="2DC5E086" w14:textId="77777777" w:rsidR="00043A3C" w:rsidRPr="00043A3C" w:rsidRDefault="00043A3C" w:rsidP="00043A3C">
      <w:pPr>
        <w:pStyle w:val="NIEARTTEKSTtekstnieartykuowanynppodstprawnarozplubpreambua"/>
      </w:pPr>
      <w:r w:rsidRPr="00043A3C">
        <w:t>System i</w:t>
      </w:r>
      <w:r w:rsidR="00AD06D9">
        <w:t>nformatyczny obsługujący punkt, dalej</w:t>
      </w:r>
      <w:r w:rsidRPr="00043A3C">
        <w:t xml:space="preserve">: </w:t>
      </w:r>
      <w:r w:rsidR="00AD06D9" w:rsidRPr="00AD06D9">
        <w:t>„</w:t>
      </w:r>
      <w:r w:rsidRPr="00043A3C">
        <w:t>S</w:t>
      </w:r>
      <w:r w:rsidR="00AD06D9">
        <w:t>ystem PIT</w:t>
      </w:r>
      <w:r w:rsidR="00AD06D9" w:rsidRPr="00AD06D9">
        <w:t>”</w:t>
      </w:r>
      <w:r w:rsidR="00AD06D9">
        <w:t>,</w:t>
      </w:r>
      <w:r w:rsidRPr="00043A3C">
        <w:t xml:space="preserve"> jak i realizowana obecnie jego rozbudowa, związana z przeniesieniem obsługi inwentaryzacji prowadzonej przez Prezesa UKE na podstawie art. 29 ust. 1 ustawy, jest technicznym narzędziem umożliwiającym regulatorowi – Prezesowi UKE – realizację zadań i celów określonych dyrektywą i ustawą. </w:t>
      </w:r>
    </w:p>
    <w:p w14:paraId="1B4331AD" w14:textId="77777777" w:rsidR="00043A3C" w:rsidRPr="00043A3C" w:rsidRDefault="00043A3C" w:rsidP="00043A3C">
      <w:pPr>
        <w:pStyle w:val="NIEARTTEKSTtekstnieartykuowanynppodstprawnarozplubpreambua"/>
      </w:pPr>
      <w:r w:rsidRPr="00043A3C">
        <w:t xml:space="preserve">System PIT  pełni różnorodne funkcje ułatwiające działalność zarówno przedsiębiorcom jak i organom administracji samorządowej, których dotyczy ustawa. Główne funkcjonalności systemu to: </w:t>
      </w:r>
    </w:p>
    <w:p w14:paraId="7BD567C6" w14:textId="77777777" w:rsidR="00043A3C" w:rsidRPr="00043A3C" w:rsidRDefault="00AD06D9" w:rsidP="00043A3C">
      <w:pPr>
        <w:pStyle w:val="NIEARTTEKSTtekstnieartykuowanynppodstprawnarozplubpreambua"/>
      </w:pPr>
      <w:r>
        <w:t xml:space="preserve">1) </w:t>
      </w:r>
      <w:r w:rsidR="00043A3C" w:rsidRPr="00043A3C">
        <w:t>przyjmowanie informacji o infrastrukturze technicznej lub kanałach technologicznych;</w:t>
      </w:r>
    </w:p>
    <w:p w14:paraId="44FB2465" w14:textId="77777777" w:rsidR="00043A3C" w:rsidRPr="00043A3C" w:rsidRDefault="00AD06D9" w:rsidP="00043A3C">
      <w:pPr>
        <w:pStyle w:val="NIEARTTEKSTtekstnieartykuowanynppodstprawnarozplubpreambua"/>
      </w:pPr>
      <w:r>
        <w:t xml:space="preserve">2) </w:t>
      </w:r>
      <w:r w:rsidR="00043A3C" w:rsidRPr="00043A3C">
        <w:t>walidacja przekazanych informacji i powiadamianie o błędach podmiotów przekazujących informacje;</w:t>
      </w:r>
    </w:p>
    <w:p w14:paraId="71B00E21" w14:textId="77777777" w:rsidR="00043A3C" w:rsidRPr="00043A3C" w:rsidRDefault="00AD06D9" w:rsidP="00043A3C">
      <w:pPr>
        <w:pStyle w:val="NIEARTTEKSTtekstnieartykuowanynppodstprawnarozplubpreambua"/>
        <w:rPr>
          <w:lang w:val="en-AU"/>
        </w:rPr>
      </w:pPr>
      <w:r>
        <w:t xml:space="preserve">3) </w:t>
      </w:r>
      <w:r w:rsidR="00043A3C" w:rsidRPr="00043A3C">
        <w:rPr>
          <w:lang w:val="en-AU"/>
        </w:rPr>
        <w:t xml:space="preserve">zarządzanie i archiwizacja </w:t>
      </w:r>
      <w:r w:rsidR="002134E9">
        <w:t xml:space="preserve"> </w:t>
      </w:r>
      <w:r w:rsidR="00043A3C" w:rsidRPr="00043A3C">
        <w:rPr>
          <w:lang w:val="en-AU"/>
        </w:rPr>
        <w:t>informacji;</w:t>
      </w:r>
    </w:p>
    <w:p w14:paraId="0A1B0738" w14:textId="77777777" w:rsidR="00043A3C" w:rsidRPr="00043A3C" w:rsidRDefault="00AD06D9" w:rsidP="00043A3C">
      <w:pPr>
        <w:pStyle w:val="NIEARTTEKSTtekstnieartykuowanynppodstprawnarozplubpreambua"/>
      </w:pPr>
      <w:r>
        <w:t xml:space="preserve">4) </w:t>
      </w:r>
      <w:r w:rsidR="00043A3C" w:rsidRPr="00043A3C">
        <w:t>automatyczne kreowanie i aktualizacja map elektronicznych na podstawie przekazanych informacji;</w:t>
      </w:r>
    </w:p>
    <w:p w14:paraId="49F0B34E" w14:textId="77777777" w:rsidR="00043A3C" w:rsidRPr="00043A3C" w:rsidRDefault="00AD06D9" w:rsidP="00043A3C">
      <w:pPr>
        <w:pStyle w:val="NIEARTTEKSTtekstnieartykuowanynppodstprawnarozplubpreambua"/>
        <w:rPr>
          <w:lang w:val="en-AU"/>
        </w:rPr>
      </w:pPr>
      <w:r>
        <w:t xml:space="preserve">5) </w:t>
      </w:r>
      <w:r w:rsidR="00043A3C" w:rsidRPr="00043A3C">
        <w:rPr>
          <w:lang w:val="en-AU"/>
        </w:rPr>
        <w:t>publikacja zebranych informacji;</w:t>
      </w:r>
    </w:p>
    <w:p w14:paraId="321B8783" w14:textId="77777777" w:rsidR="00043A3C" w:rsidRPr="00043A3C" w:rsidRDefault="00AD06D9" w:rsidP="00043A3C">
      <w:pPr>
        <w:pStyle w:val="NIEARTTEKSTtekstnieartykuowanynppodstprawnarozplubpreambua"/>
      </w:pPr>
      <w:r>
        <w:lastRenderedPageBreak/>
        <w:t xml:space="preserve">6) </w:t>
      </w:r>
      <w:r w:rsidR="00043A3C" w:rsidRPr="00043A3C">
        <w:t>udostępnianie uprawnionym podmiotom informacji przekształconych do użytecznych dla nich formatów;</w:t>
      </w:r>
    </w:p>
    <w:p w14:paraId="652A6DB3" w14:textId="77777777" w:rsidR="00043A3C" w:rsidRPr="00043A3C" w:rsidRDefault="00AD06D9" w:rsidP="00043A3C">
      <w:pPr>
        <w:pStyle w:val="NIEARTTEKSTtekstnieartykuowanynppodstprawnarozplubpreambua"/>
      </w:pPr>
      <w:r>
        <w:t xml:space="preserve">7) </w:t>
      </w:r>
      <w:r w:rsidR="00043A3C" w:rsidRPr="00043A3C">
        <w:t>udostępnianie usługi wykonywania podstawowych analiz związanych ze wstępnym planowaniem inwestycyjnym w obszarze telekomunikacji przy uwzględnieniu zgromadzonych w punkcie informacji.</w:t>
      </w:r>
    </w:p>
    <w:p w14:paraId="27BF6650" w14:textId="77777777" w:rsidR="00043A3C" w:rsidRPr="00043A3C" w:rsidRDefault="00043A3C" w:rsidP="00043A3C">
      <w:pPr>
        <w:pStyle w:val="NIEARTTEKSTtekstnieartykuowanynppodstprawnarozplubpreambua"/>
      </w:pPr>
      <w:r w:rsidRPr="00043A3C">
        <w:t>W celu zapewnienia możliwości pełnienia przez system wskazanych funkcji niezbędne jest określenie elektronicznego formatu informacji przekazywanych do systemu, ich szczegółowego zakresu oraz wzorów formularzy służących do przekazywania tych informacji.</w:t>
      </w:r>
    </w:p>
    <w:p w14:paraId="74C4CF52" w14:textId="77777777" w:rsidR="00043A3C" w:rsidRPr="00043A3C" w:rsidRDefault="00043A3C" w:rsidP="00043A3C">
      <w:pPr>
        <w:pStyle w:val="NIEARTTEKSTtekstnieartykuowanynppodstprawnarozplubpreambua"/>
      </w:pPr>
      <w:r w:rsidRPr="00043A3C">
        <w:t>Informacje, zgodnie z projektowanym § 5 przedmiotowego rozporządzenia, będą przekazywane do systemu teleinformatycznego w formatach:</w:t>
      </w:r>
    </w:p>
    <w:p w14:paraId="3D5268D6" w14:textId="77777777" w:rsidR="00043A3C" w:rsidRPr="00043A3C" w:rsidRDefault="00AD06D9" w:rsidP="00043A3C">
      <w:pPr>
        <w:pStyle w:val="NIEARTTEKSTtekstnieartykuowanynppodstprawnarozplubpreambua"/>
      </w:pPr>
      <w:r>
        <w:t xml:space="preserve">1) </w:t>
      </w:r>
      <w:r w:rsidR="00043A3C" w:rsidRPr="00043A3C">
        <w:t xml:space="preserve">w przypadku informacji, o których mowa w § 2 i 3  − w formacie Comma Separated Values (CSV), ShapeFile (SHP), Keyhole Markup Language (KML), Geography Markup Language (GML), JavaScript Object Notation for geographic objects  (GeoJSON) lub </w:t>
      </w:r>
      <w:r>
        <w:br/>
      </w:r>
      <w:r w:rsidR="00043A3C" w:rsidRPr="00043A3C">
        <w:t>w formacie tekstowym kodowanym zgodnie ze standardem UNICODE, metodą kodowania UTF-8;</w:t>
      </w:r>
    </w:p>
    <w:p w14:paraId="1D8CB0E3" w14:textId="77777777" w:rsidR="00043A3C" w:rsidRPr="00043A3C" w:rsidRDefault="00AD06D9" w:rsidP="00043A3C">
      <w:pPr>
        <w:pStyle w:val="NIEARTTEKSTtekstnieartykuowanynppodstprawnarozplubpreambua"/>
      </w:pPr>
      <w:r>
        <w:t xml:space="preserve">2) </w:t>
      </w:r>
      <w:r w:rsidR="00043A3C" w:rsidRPr="00043A3C">
        <w:t>w przypadku informacji, o których mowa w § 4 – w formacie tekstowym kodowanym zgodnie ze standardem UNICODE, metodą kodowania UTF-8.</w:t>
      </w:r>
    </w:p>
    <w:p w14:paraId="396AB175" w14:textId="77777777" w:rsidR="00043A3C" w:rsidRPr="00043A3C" w:rsidRDefault="00043A3C" w:rsidP="00043A3C">
      <w:pPr>
        <w:pStyle w:val="NIEARTTEKSTtekstnieartykuowanynppodstprawnarozplubpreambua"/>
      </w:pPr>
      <w:r w:rsidRPr="00043A3C">
        <w:t xml:space="preserve">Należy zauważyć, że podmiot przekazujący informacje ma dowolność co do sposobu przekazywania informacji (tj. poprzez plik w określonym formacie lub przez interface systemu). </w:t>
      </w:r>
    </w:p>
    <w:p w14:paraId="4D26A9CC" w14:textId="77777777" w:rsidR="00043A3C" w:rsidRPr="00043A3C" w:rsidRDefault="00043A3C" w:rsidP="00043A3C">
      <w:pPr>
        <w:pStyle w:val="NIEARTTEKSTtekstnieartykuowanynppodstprawnarozplubpreambua"/>
      </w:pPr>
      <w:r w:rsidRPr="00043A3C">
        <w:t xml:space="preserve">W treści normatywnej projektu rozporządzenia został określony szczegółowy zakres informacji, o których mowa w art. 29b </w:t>
      </w:r>
      <w:r w:rsidR="00AD06D9">
        <w:t>ust. 1 pkt 3, 4 i 6 u</w:t>
      </w:r>
      <w:r w:rsidRPr="00043A3C">
        <w:t>stawy. Dopuszczalne wartości pól formularzy w ramach kategorii infrastruktury technicznej nie mają charakteru zamkniętego, umożliwiając dostosowanie systemu do wprowadzania specyficznych i szczegółowych danych.</w:t>
      </w:r>
    </w:p>
    <w:p w14:paraId="5F4CDE36" w14:textId="77777777" w:rsidR="00043A3C" w:rsidRPr="00043A3C" w:rsidRDefault="00043A3C" w:rsidP="00043A3C">
      <w:pPr>
        <w:pStyle w:val="NIEARTTEKSTtekstnieartykuowanynppodstprawnarozplubpreambua"/>
      </w:pPr>
      <w:r w:rsidRPr="00043A3C">
        <w:t>Uzasadnienie szczegółowe</w:t>
      </w:r>
    </w:p>
    <w:p w14:paraId="22F59510" w14:textId="77777777" w:rsidR="00AD06D9" w:rsidRPr="00AD06D9" w:rsidRDefault="00043A3C" w:rsidP="00AD06D9">
      <w:pPr>
        <w:pStyle w:val="NIEARTTEKSTtekstnieartykuowanynppodstprawnarozplubpreambua"/>
        <w:rPr>
          <w:rStyle w:val="Ppogrubienie"/>
        </w:rPr>
      </w:pPr>
      <w:r w:rsidRPr="00AD06D9">
        <w:rPr>
          <w:rStyle w:val="Ppogrubienie"/>
        </w:rPr>
        <w:t>§ 1</w:t>
      </w:r>
      <w:r w:rsidR="00AD06D9" w:rsidRPr="00AD06D9">
        <w:rPr>
          <w:rStyle w:val="Ppogrubienie"/>
        </w:rPr>
        <w:t>.</w:t>
      </w:r>
    </w:p>
    <w:p w14:paraId="42643950" w14:textId="77777777" w:rsidR="00043A3C" w:rsidRPr="00043A3C" w:rsidRDefault="00AD06D9" w:rsidP="00AD06D9">
      <w:pPr>
        <w:pStyle w:val="NIEARTTEKSTtekstnieartykuowanynppodstprawnarozplubpreambua"/>
      </w:pPr>
      <w:r>
        <w:t xml:space="preserve"> </w:t>
      </w:r>
      <w:r w:rsidR="00043A3C" w:rsidRPr="00043A3C">
        <w:t>Przepis ten określa zakres przedmiotowy rozporządzenia wynikający z delegacji ustawowej.</w:t>
      </w:r>
    </w:p>
    <w:p w14:paraId="19F79C3D" w14:textId="77777777" w:rsidR="00AD06D9" w:rsidRPr="00AD06D9" w:rsidRDefault="00043A3C" w:rsidP="00AD06D9">
      <w:pPr>
        <w:pStyle w:val="NIEARTTEKSTtekstnieartykuowanynppodstprawnarozplubpreambua"/>
        <w:rPr>
          <w:rStyle w:val="Ppogrubienie"/>
        </w:rPr>
      </w:pPr>
      <w:r w:rsidRPr="00AD06D9">
        <w:rPr>
          <w:rStyle w:val="Ppogrubienie"/>
        </w:rPr>
        <w:t>§ 2</w:t>
      </w:r>
      <w:r w:rsidR="00AD06D9" w:rsidRPr="00AD06D9">
        <w:rPr>
          <w:rStyle w:val="Ppogrubienie"/>
        </w:rPr>
        <w:t xml:space="preserve">. </w:t>
      </w:r>
    </w:p>
    <w:p w14:paraId="4B319265" w14:textId="77777777" w:rsidR="00043A3C" w:rsidRPr="00043A3C" w:rsidRDefault="00AD06D9" w:rsidP="00AD06D9">
      <w:pPr>
        <w:pStyle w:val="NIEARTTEKSTtekstnieartykuowanynppodstprawnarozplubpreambua"/>
      </w:pPr>
      <w:r>
        <w:lastRenderedPageBreak/>
        <w:t>Kolejne punkty</w:t>
      </w:r>
      <w:r w:rsidR="00043A3C" w:rsidRPr="00043A3C">
        <w:t xml:space="preserve"> tego paragrafu uszczegóławiają przepisy art. 29b ust. 1 pkt 3 ustawy ogólnie określające informacje dotyczące istniejącej infrastruktury technicznej i kanałów technologicznych, podlegające przekazaniu Prezesowi UKE, wyjaśniając jednoznacznie znaczenie terminów którymi posługują się w/w przepisy ustawy.</w:t>
      </w:r>
    </w:p>
    <w:p w14:paraId="47CA1C69" w14:textId="77777777" w:rsidR="00043A3C" w:rsidRPr="00043A3C" w:rsidRDefault="00043A3C" w:rsidP="00043A3C">
      <w:pPr>
        <w:pStyle w:val="NIEARTTEKSTtekstnieartykuowanynppodstprawnarozplubpreambua"/>
      </w:pPr>
      <w:r w:rsidRPr="00043A3C">
        <w:t>W projekcie proponuje się, aby w bazie danych, o której mowa w art. 29b ust. 2 ustawy, gromadzone były szczegółowe informacje w zakresie lokalizacji i przebiegu infrastruktury technicznej lub kanału technologicznego obejmujące:</w:t>
      </w:r>
    </w:p>
    <w:p w14:paraId="2FB0BB51" w14:textId="77777777" w:rsidR="00043A3C" w:rsidRPr="00043A3C" w:rsidRDefault="00AD06D9" w:rsidP="00043A3C">
      <w:pPr>
        <w:pStyle w:val="NIEARTTEKSTtekstnieartykuowanynppodstprawnarozplubpreambua"/>
      </w:pPr>
      <w:r>
        <w:t xml:space="preserve">1) </w:t>
      </w:r>
      <w:r w:rsidR="00043A3C" w:rsidRPr="00043A3C">
        <w:t xml:space="preserve">numer drogi, kilometraż, oznaczenie miejscowości, identyfikator działki, na której lokowany jest element infrastruktury technicznej, dla którego zarządca drogi wydał decyzję, o której mowa w art. 39 ust. 3 lub art. 40 ust. 1 ustawy z dnia 21 marca 1985 r. o drogach publicznych </w:t>
      </w:r>
      <w:r w:rsidRPr="00AD06D9">
        <w:t>(Dz. U. z 2022 r. poz. 1693, 1768, 1783 i 2185)</w:t>
      </w:r>
      <w:r w:rsidR="00043A3C" w:rsidRPr="00043A3C">
        <w:t>;</w:t>
      </w:r>
    </w:p>
    <w:p w14:paraId="2A0EDDBB" w14:textId="77777777" w:rsidR="00043A3C" w:rsidRPr="00043A3C" w:rsidRDefault="00AD06D9" w:rsidP="00043A3C">
      <w:pPr>
        <w:pStyle w:val="NIEARTTEKSTtekstnieartykuowanynppodstprawnarozplubpreambua"/>
      </w:pPr>
      <w:r>
        <w:t xml:space="preserve">2) </w:t>
      </w:r>
      <w:r w:rsidR="00043A3C" w:rsidRPr="00043A3C">
        <w:t>oznaczenie zastosowanego układu współrzędnych oraz współrzędne geograficzne albo płaskie prostokątne jeżeli są przekazywane w zakresie innym niż określony w lit. a.</w:t>
      </w:r>
    </w:p>
    <w:p w14:paraId="175D1778" w14:textId="77777777" w:rsidR="00043A3C" w:rsidRPr="00043A3C" w:rsidRDefault="00043A3C" w:rsidP="00043A3C">
      <w:pPr>
        <w:pStyle w:val="NIEARTTEKSTtekstnieartykuowanynppodstprawnarozplubpreambua"/>
      </w:pPr>
      <w:r w:rsidRPr="00043A3C">
        <w:t>Następnie, w odniesieniu do infrastruktury technicznej i kanałów technologicznych, wskazuje się na obowiązek określenia ich:</w:t>
      </w:r>
    </w:p>
    <w:p w14:paraId="695A0379" w14:textId="77777777" w:rsidR="00043A3C" w:rsidRPr="00043A3C" w:rsidRDefault="00AD06D9" w:rsidP="00043A3C">
      <w:pPr>
        <w:pStyle w:val="NIEARTTEKSTtekstnieartykuowanynppodstprawnarozplubpreambua"/>
      </w:pPr>
      <w:r>
        <w:t xml:space="preserve">1) </w:t>
      </w:r>
      <w:r w:rsidR="00043A3C" w:rsidRPr="00043A3C">
        <w:t>rodzaju tj. ka</w:t>
      </w:r>
      <w:r>
        <w:t>tegorii lub typów tych obiektów;</w:t>
      </w:r>
    </w:p>
    <w:p w14:paraId="3D443198" w14:textId="77777777" w:rsidR="00043A3C" w:rsidRPr="00043A3C" w:rsidRDefault="00AD06D9" w:rsidP="00043A3C">
      <w:pPr>
        <w:pStyle w:val="NIEARTTEKSTtekstnieartykuowanynppodstprawnarozplubpreambua"/>
      </w:pPr>
      <w:r>
        <w:t xml:space="preserve">2) </w:t>
      </w:r>
      <w:r w:rsidR="00043A3C" w:rsidRPr="00043A3C">
        <w:t>aktualnego stanu – przez określenie, czy istnieje możliwość umieszczenia na lub w tych obiektach elementów infrastruktu</w:t>
      </w:r>
      <w:r>
        <w:t>ry lub sieci telekomunikacyjnej;</w:t>
      </w:r>
    </w:p>
    <w:p w14:paraId="7C2F58A0" w14:textId="77777777" w:rsidR="00043A3C" w:rsidRPr="00043A3C" w:rsidRDefault="00AD06D9" w:rsidP="00043A3C">
      <w:pPr>
        <w:pStyle w:val="NIEARTTEKSTtekstnieartykuowanynppodstprawnarozplubpreambua"/>
      </w:pPr>
      <w:r>
        <w:t xml:space="preserve">3) </w:t>
      </w:r>
      <w:r w:rsidR="00043A3C" w:rsidRPr="00043A3C">
        <w:t>sposobu użytkowania – przez określenie celu, w którym obiek</w:t>
      </w:r>
      <w:r>
        <w:t>ty te są obecnie wykorzystywane;</w:t>
      </w:r>
    </w:p>
    <w:p w14:paraId="3F67EC1C" w14:textId="77777777" w:rsidR="00043A3C" w:rsidRPr="00043A3C" w:rsidRDefault="00AD06D9" w:rsidP="00043A3C">
      <w:pPr>
        <w:pStyle w:val="NIEARTTEKSTtekstnieartykuowanynppodstprawnarozplubpreambua"/>
      </w:pPr>
      <w:r>
        <w:t xml:space="preserve">4) </w:t>
      </w:r>
      <w:r w:rsidR="00043A3C" w:rsidRPr="00043A3C">
        <w:t>danych kontaktowych w sprawie dostępu – przez wskazanie informacji umożliwiających uzgodnienie możliwości dostępu do ww. obiektów.</w:t>
      </w:r>
    </w:p>
    <w:p w14:paraId="10D9BCED" w14:textId="77777777" w:rsidR="00043A3C" w:rsidRPr="00AD06D9" w:rsidRDefault="00043A3C" w:rsidP="00043A3C">
      <w:pPr>
        <w:pStyle w:val="NIEARTTEKSTtekstnieartykuowanynppodstprawnarozplubpreambua"/>
        <w:rPr>
          <w:rStyle w:val="Ppogrubienie"/>
        </w:rPr>
      </w:pPr>
      <w:r w:rsidRPr="00AD06D9">
        <w:rPr>
          <w:rStyle w:val="Ppogrubienie"/>
        </w:rPr>
        <w:t>§ 3</w:t>
      </w:r>
      <w:r w:rsidR="00AD06D9" w:rsidRPr="00AD06D9">
        <w:rPr>
          <w:rStyle w:val="Ppogrubienie"/>
        </w:rPr>
        <w:t>.</w:t>
      </w:r>
    </w:p>
    <w:p w14:paraId="0C317FE8" w14:textId="77777777" w:rsidR="00043A3C" w:rsidRPr="00043A3C" w:rsidRDefault="00043A3C" w:rsidP="00043A3C">
      <w:pPr>
        <w:pStyle w:val="NIEARTTEKSTtekstnieartykuowanynppodstprawnarozplubpreambua"/>
      </w:pPr>
      <w:r w:rsidRPr="00043A3C">
        <w:t>Kolejne punkty tego paragrafu uszczegóławiają przepisy art. 29b ust. 1 pkt 4 ustawy ogólnie określające informacje o planach w zakresie wykonywanych lub planowanych robót budowlanych, finansowanych w całości lub w części ze środków publicznych, dotyczących infrastruktury technicznej lub kanałów technologicznych, podlegające przekazaniu Prezesowi UKE, określając jednoznacznie i nierozszerzająco wymagany zakres przekazywanych informacji.</w:t>
      </w:r>
    </w:p>
    <w:p w14:paraId="62049669" w14:textId="77777777" w:rsidR="00043A3C" w:rsidRPr="00043A3C" w:rsidRDefault="00043A3C" w:rsidP="00043A3C">
      <w:pPr>
        <w:pStyle w:val="NIEARTTEKSTtekstnieartykuowanynppodstprawnarozplubpreambua"/>
      </w:pPr>
      <w:r w:rsidRPr="00043A3C">
        <w:lastRenderedPageBreak/>
        <w:t xml:space="preserve">W zakresie planów inwestycyjnych dotyczących wykonywanych lub planowanych robót budowlanych, finansowanych w całości lub w części ze środków publicznych, dotyczących infrastruktury technicznej lub kanałów technologicznych, proponuje się zbierać informacje dotyczące lokalizacji robót budowlanych obejmujące oznaczenie zastosowanego układu współrzędnych, oraz współrzędne geograficzne albo współrzędne płaskie prostokątne elementu, którego dotyczą roboty. </w:t>
      </w:r>
    </w:p>
    <w:p w14:paraId="650B1DA6" w14:textId="77777777" w:rsidR="00043A3C" w:rsidRPr="00043A3C" w:rsidRDefault="00043A3C" w:rsidP="00043A3C">
      <w:pPr>
        <w:pStyle w:val="NIEARTTEKSTtekstnieartykuowanynppodstprawnarozplubpreambua"/>
      </w:pPr>
      <w:r w:rsidRPr="00043A3C">
        <w:t>Dzięki tak określonym danym geolokalizacyjnym możliwe będzie przedstawianie na mapach cyfrowych udostępnianych przez punkt zarówno istniejącej jak i planowanej infrastruktury technicznej oraz kanałów technologicznych.</w:t>
      </w:r>
    </w:p>
    <w:p w14:paraId="767D4B88" w14:textId="77777777" w:rsidR="00043A3C" w:rsidRPr="00043A3C" w:rsidRDefault="00AD06D9" w:rsidP="00043A3C">
      <w:pPr>
        <w:pStyle w:val="NIEARTTEKSTtekstnieartykuowanynppodstprawnarozplubpreambua"/>
      </w:pPr>
      <w:r>
        <w:t>Dodatkowo</w:t>
      </w:r>
      <w:r w:rsidR="00043A3C" w:rsidRPr="00043A3C">
        <w:t xml:space="preserve"> w przypadku planowanych inwestycji zbierane będą informacje dotyczące rodzaju robót budowlanych, których przeprowadzenie będzie niezbędne w ramach realizacji inwestycji (wskazanie, czy będzie to budowa, przebudowa, montaż, remont, czy rozbiórka) oraz informacje dotyczące elementów, których roboty te będą dotyczyły. Ponadto wymagane będzie wskazanie daty rozpoczęcia robót </w:t>
      </w:r>
      <w:r>
        <w:t>budowlanych i czasu ich trwania</w:t>
      </w:r>
      <w:r w:rsidR="00043A3C" w:rsidRPr="00043A3C">
        <w:t xml:space="preserve"> co pozwoli na lepsze zaplanowanie inwestycji telekomunikacyjnych współistniejących z tymi robotami, </w:t>
      </w:r>
      <w:r>
        <w:br/>
      </w:r>
      <w:r w:rsidR="00043A3C" w:rsidRPr="00043A3C">
        <w:t xml:space="preserve">a informacje o danych kontaktowych w sprawie koordynacji robót budowlanych pozwolą na uzgodnienie obu zamierzeń. </w:t>
      </w:r>
    </w:p>
    <w:p w14:paraId="3FC7A5A1" w14:textId="77777777" w:rsidR="00043A3C" w:rsidRPr="00AD06D9" w:rsidRDefault="00043A3C" w:rsidP="00043A3C">
      <w:pPr>
        <w:pStyle w:val="NIEARTTEKSTtekstnieartykuowanynppodstprawnarozplubpreambua"/>
        <w:rPr>
          <w:rStyle w:val="Ppogrubienie"/>
        </w:rPr>
      </w:pPr>
      <w:r w:rsidRPr="00AD06D9">
        <w:rPr>
          <w:rStyle w:val="Ppogrubienie"/>
        </w:rPr>
        <w:t>§ 4</w:t>
      </w:r>
      <w:r w:rsidR="00AD06D9">
        <w:rPr>
          <w:rStyle w:val="Ppogrubienie"/>
        </w:rPr>
        <w:t>.</w:t>
      </w:r>
    </w:p>
    <w:p w14:paraId="6929E9D4" w14:textId="77777777" w:rsidR="00043A3C" w:rsidRPr="00043A3C" w:rsidRDefault="00AD06D9" w:rsidP="00043A3C">
      <w:pPr>
        <w:pStyle w:val="NIEARTTEKSTtekstnieartykuowanynppodstprawnarozplubpreambua"/>
      </w:pPr>
      <w:r>
        <w:t>Projektowany przepis</w:t>
      </w:r>
      <w:r w:rsidR="00043A3C" w:rsidRPr="00043A3C">
        <w:t xml:space="preserve"> uszczegóławia zakres i standaryzuje formę przekazywania informacji, o których mowa w przepisie art. 29b ust. 1 pkt 4 ustawy, dotyczących obowiązujących stawek opłat za zajęcie pasa drogowego w celach prowadzenia robót w pasie drogowym, umieszczania w pasie drogowym urządzeń infrastruktury technicznej niezwiązanych z potrzebami zarządzania drogami lub potrzebami ruchu drogowego, umieszczania w pasie drogowym obiektów budowlanych niezwiązanych z potrzebami zarządzania drogami lub potrzebami ruchu drogowego.</w:t>
      </w:r>
    </w:p>
    <w:p w14:paraId="07FC49C7" w14:textId="77777777" w:rsidR="00043A3C" w:rsidRPr="00043A3C" w:rsidRDefault="00043A3C" w:rsidP="00043A3C">
      <w:pPr>
        <w:pStyle w:val="NIEARTTEKSTtekstnieartykuowanynppodstprawnarozplubpreambua"/>
      </w:pPr>
      <w:r w:rsidRPr="00043A3C">
        <w:t>Zgodnie z treścią § 4 w zakresie obowiązujących stawek opłaty za zajęcie pasa drogowego w celu prowadzenia robót w pasie drogowym oraz umieszczania w pasie drogowym liniowych i nieliniowych urządzeń obcych, w odniesieniu do infrastruktury telekomunikacyjnej, przewiduje się zbieranie informacji dotyczących:</w:t>
      </w:r>
    </w:p>
    <w:p w14:paraId="74A71003" w14:textId="77777777" w:rsidR="00043A3C" w:rsidRPr="00043A3C" w:rsidRDefault="00AD06D9" w:rsidP="00043A3C">
      <w:pPr>
        <w:pStyle w:val="NIEARTTEKSTtekstnieartykuowanynppodstprawnarozplubpreambua"/>
      </w:pPr>
      <w:r>
        <w:t xml:space="preserve">1) </w:t>
      </w:r>
      <w:r w:rsidR="00043A3C" w:rsidRPr="00043A3C">
        <w:t>oznaczenia jednostki samorządu terytorialnego (JST) przekazującej informacje;</w:t>
      </w:r>
    </w:p>
    <w:p w14:paraId="481E302F" w14:textId="77777777" w:rsidR="00043A3C" w:rsidRPr="00043A3C" w:rsidRDefault="00AD06D9" w:rsidP="00043A3C">
      <w:pPr>
        <w:pStyle w:val="NIEARTTEKSTtekstnieartykuowanynppodstprawnarozplubpreambua"/>
      </w:pPr>
      <w:r>
        <w:lastRenderedPageBreak/>
        <w:t xml:space="preserve">2) </w:t>
      </w:r>
      <w:r w:rsidR="00043A3C" w:rsidRPr="00043A3C">
        <w:t>numeru uchwały w sprawie wysokości stawek opłaty za zajęcie pasa drogowego wydanej przez organ jednostki samorządu terytorialnego;</w:t>
      </w:r>
    </w:p>
    <w:p w14:paraId="492B66E5" w14:textId="77777777" w:rsidR="00043A3C" w:rsidRPr="00043A3C" w:rsidRDefault="00AD06D9" w:rsidP="00043A3C">
      <w:pPr>
        <w:pStyle w:val="NIEARTTEKSTtekstnieartykuowanynppodstprawnarozplubpreambua"/>
      </w:pPr>
      <w:r>
        <w:t xml:space="preserve">3) </w:t>
      </w:r>
      <w:r w:rsidR="00043A3C" w:rsidRPr="00043A3C">
        <w:t>wysokości stawek opłaty przyjętych w danej JST za zajęcie pasa drogowego w celu prowadzenia w nim robót;</w:t>
      </w:r>
    </w:p>
    <w:p w14:paraId="211747A5" w14:textId="77777777" w:rsidR="00043A3C" w:rsidRPr="00043A3C" w:rsidRDefault="00AD06D9" w:rsidP="00043A3C">
      <w:pPr>
        <w:pStyle w:val="NIEARTTEKSTtekstnieartykuowanynppodstprawnarozplubpreambua"/>
      </w:pPr>
      <w:r>
        <w:t xml:space="preserve">4) </w:t>
      </w:r>
      <w:r w:rsidR="00043A3C" w:rsidRPr="00043A3C">
        <w:t>wysokości stawek opłaty przyjętych w danej JST za zajęcie pasa drogowego w celu umieszczania w nim liniowych urządzeń obcych;</w:t>
      </w:r>
    </w:p>
    <w:p w14:paraId="1524405D" w14:textId="77777777" w:rsidR="00043A3C" w:rsidRPr="00043A3C" w:rsidRDefault="00AD06D9" w:rsidP="00043A3C">
      <w:pPr>
        <w:pStyle w:val="NIEARTTEKSTtekstnieartykuowanynppodstprawnarozplubpreambua"/>
      </w:pPr>
      <w:r>
        <w:t xml:space="preserve">5) </w:t>
      </w:r>
      <w:r w:rsidR="00043A3C" w:rsidRPr="00043A3C">
        <w:t>wysokości stawek opłaty przyjętych w danej JST za zajęcie pasa drogowego w celu umieszczania w nim innych niż liniowe urządzeń obcych oraz reklam.</w:t>
      </w:r>
    </w:p>
    <w:p w14:paraId="2AC5E4D6" w14:textId="77777777" w:rsidR="00043A3C" w:rsidRPr="00043A3C" w:rsidRDefault="00043A3C" w:rsidP="00043A3C">
      <w:pPr>
        <w:pStyle w:val="NIEARTTEKSTtekstnieartykuowanynppodstprawnarozplubpreambua"/>
      </w:pPr>
      <w:r w:rsidRPr="00043A3C">
        <w:t>Dzięki agregacji danych we wskazanym zakresie, punkt, będzie posiadał zbiór danych o wysokości stawek za zajecie pasa drogowego, co pozwoli na określenie inwestorom telekomunikacyjnym obciążeń administracyjnych przy realizacji inwestycji na danym obszarze kraju. Celem wskazanego we wzorach formularzy podziału stawek opłaty jest zebranie jak najszerszych informacji o faktycznie istniejących wysokościach stawek określanych przez JST.</w:t>
      </w:r>
    </w:p>
    <w:p w14:paraId="04E8B04D" w14:textId="77777777" w:rsidR="00043A3C" w:rsidRPr="00AD06D9" w:rsidRDefault="00043A3C" w:rsidP="00043A3C">
      <w:pPr>
        <w:pStyle w:val="NIEARTTEKSTtekstnieartykuowanynppodstprawnarozplubpreambua"/>
        <w:rPr>
          <w:rStyle w:val="Ppogrubienie"/>
        </w:rPr>
      </w:pPr>
      <w:r w:rsidRPr="00AD06D9">
        <w:rPr>
          <w:rStyle w:val="Ppogrubienie"/>
        </w:rPr>
        <w:t>§ 5</w:t>
      </w:r>
      <w:r w:rsidR="00AD06D9">
        <w:rPr>
          <w:rStyle w:val="Ppogrubienie"/>
        </w:rPr>
        <w:t>.</w:t>
      </w:r>
    </w:p>
    <w:p w14:paraId="6DC0232E" w14:textId="77777777" w:rsidR="00043A3C" w:rsidRPr="00043A3C" w:rsidRDefault="00043A3C" w:rsidP="00043A3C">
      <w:pPr>
        <w:pStyle w:val="NIEARTTEKSTtekstnieartykuowanynppodstprawnarozplubpreambua"/>
      </w:pPr>
      <w:r w:rsidRPr="00043A3C">
        <w:t>Informacje, zgodnie z projektowanym § 5 przedmiotowego rozporządzenia, są przekazywane do systemu teleinformatycznego przy użyciu dokumentów elektronicznych, w rozumieniu art. 3 pkt 2 ustawy z dnia 17 lutego 2005 r. o informatyzacji działalności podmiotów realizujących zadania publiczne</w:t>
      </w:r>
      <w:r w:rsidR="00AD06D9">
        <w:t xml:space="preserve"> (Dz. U. z 2021 r. poz. 2070 oraz z 2022 r. poz. 1087)</w:t>
      </w:r>
      <w:r w:rsidRPr="00043A3C">
        <w:t>, zapisanych w formacie:</w:t>
      </w:r>
    </w:p>
    <w:p w14:paraId="7F12982A" w14:textId="77777777" w:rsidR="00043A3C" w:rsidRPr="00043A3C" w:rsidRDefault="00AD06D9" w:rsidP="00043A3C">
      <w:pPr>
        <w:pStyle w:val="NIEARTTEKSTtekstnieartykuowanynppodstprawnarozplubpreambua"/>
      </w:pPr>
      <w:r>
        <w:t xml:space="preserve">1) </w:t>
      </w:r>
      <w:r w:rsidR="00043A3C" w:rsidRPr="00043A3C">
        <w:t>w przypadku informacji, o których mowa w § 2 i 3  − w formacie Comma Separated Values (CSV), ShapeFile (SHP), Keyhole Markup Language (KML), Geography Markup Language (GML), JavaScript Object Notation for geographic objects  (GeoJSON) lub w formacie tekstowym kodowanym zgodnie ze standardem UNICODE, metodą kodowania UTF-8;</w:t>
      </w:r>
    </w:p>
    <w:p w14:paraId="0764783A" w14:textId="77777777" w:rsidR="00043A3C" w:rsidRPr="00043A3C" w:rsidRDefault="00AD06D9" w:rsidP="00043A3C">
      <w:pPr>
        <w:pStyle w:val="NIEARTTEKSTtekstnieartykuowanynppodstprawnarozplubpreambua"/>
      </w:pPr>
      <w:r>
        <w:t xml:space="preserve">2) </w:t>
      </w:r>
      <w:r w:rsidR="00043A3C" w:rsidRPr="00043A3C">
        <w:t>w przypadku informacji, o których mowa w § 4 – w formacie tekstowym kodowanym zgodnie ze standardem UNICODE, metodą kodowania UTF-8.</w:t>
      </w:r>
    </w:p>
    <w:p w14:paraId="3464EB04" w14:textId="77777777" w:rsidR="00043A3C" w:rsidRPr="00043A3C" w:rsidRDefault="00043A3C" w:rsidP="00043A3C">
      <w:pPr>
        <w:pStyle w:val="NIEARTTEKSTtekstnieartykuowanynppodstprawnarozplubpreambua"/>
      </w:pPr>
      <w:r w:rsidRPr="00043A3C">
        <w:t>Jednocześnie, dla umożliwienia bezpośredniego wprowadzania danych do systemu PIT, określony został format danych umożliwiający przesłanie informacji bez konieczności przekazywania plików określonego rodzaju.</w:t>
      </w:r>
    </w:p>
    <w:p w14:paraId="1E98B6CC" w14:textId="77777777" w:rsidR="00043A3C" w:rsidRPr="00043A3C" w:rsidRDefault="00043A3C" w:rsidP="00043A3C">
      <w:pPr>
        <w:pStyle w:val="NIEARTTEKSTtekstnieartykuowanynppodstprawnarozplubpreambua"/>
      </w:pPr>
      <w:r w:rsidRPr="00043A3C">
        <w:lastRenderedPageBreak/>
        <w:t xml:space="preserve">Rozporządzenie wskazuje wprost w § 5, że informacje, o których mowa w § 2 i 3 przekazuje się w określonych formatach plików lub w formacie tekstowym, natomiast informacje, o których mowa w § 4 przekazuje się w formacie tekstowym. </w:t>
      </w:r>
    </w:p>
    <w:p w14:paraId="63A96861" w14:textId="77777777" w:rsidR="00043A3C" w:rsidRPr="00043A3C" w:rsidRDefault="00043A3C" w:rsidP="00043A3C">
      <w:pPr>
        <w:pStyle w:val="NIEARTTEKSTtekstnieartykuowanynppodstprawnarozplubpreambua"/>
      </w:pPr>
      <w:r w:rsidRPr="00043A3C">
        <w:t xml:space="preserve">Treść wskazanego przepisu wprost określa, że wszystkie informacje zawarte w § 2 i 3 mogą być przekazywane we wskazanych formatach plików. Każdy z wymienionych formatów pozwala na przekazanie wszystkich informacji, o których mowa w § 2 i 3. Dodatkowo umożliwiono również przekazywanie informacji w formacie tekstowym. Możliwe jest również przekazanie części informacji, o których mowa w § 2 i 3 w odpowiednim formacie danych a pozostałe informacje w formacie tekstowym. Podmiot przekazujący informacje ma więc dowolność co do sposobu przekazywania informacji (tj. poprzez plik lub przez interface systemu). </w:t>
      </w:r>
    </w:p>
    <w:p w14:paraId="75163AE2" w14:textId="77777777" w:rsidR="00043A3C" w:rsidRPr="00F0713A" w:rsidRDefault="00043A3C" w:rsidP="00043A3C">
      <w:pPr>
        <w:pStyle w:val="NIEARTTEKSTtekstnieartykuowanynppodstprawnarozplubpreambua"/>
        <w:rPr>
          <w:rStyle w:val="Ppogrubienie"/>
        </w:rPr>
      </w:pPr>
      <w:r w:rsidRPr="00F0713A">
        <w:rPr>
          <w:rStyle w:val="Ppogrubienie"/>
        </w:rPr>
        <w:t>§ 6</w:t>
      </w:r>
      <w:r w:rsidR="00F0713A">
        <w:rPr>
          <w:rStyle w:val="Ppogrubienie"/>
        </w:rPr>
        <w:t>.</w:t>
      </w:r>
    </w:p>
    <w:p w14:paraId="70DDF4A6" w14:textId="77777777" w:rsidR="00043A3C" w:rsidRPr="00043A3C" w:rsidRDefault="00043A3C" w:rsidP="00043A3C">
      <w:pPr>
        <w:pStyle w:val="NIEARTTEKSTtekstnieartykuowanynppodstprawnarozplubpreambua"/>
      </w:pPr>
      <w:r w:rsidRPr="00043A3C">
        <w:t>Paragraf wskazuje na załączniki utrzymujące wzory formularzy wraz z objaśnieniami, służących do przekazywania informacji, o których mowa w § 2, 3 i 4 rozporządzenia.</w:t>
      </w:r>
    </w:p>
    <w:p w14:paraId="0DFF6A96" w14:textId="77777777" w:rsidR="00043A3C" w:rsidRPr="00F0713A" w:rsidRDefault="00043A3C" w:rsidP="00043A3C">
      <w:pPr>
        <w:pStyle w:val="NIEARTTEKSTtekstnieartykuowanynppodstprawnarozplubpreambua"/>
        <w:rPr>
          <w:rStyle w:val="Ppogrubienie"/>
        </w:rPr>
      </w:pPr>
      <w:r w:rsidRPr="00F0713A">
        <w:rPr>
          <w:rStyle w:val="Ppogrubienie"/>
        </w:rPr>
        <w:t>§ 7</w:t>
      </w:r>
      <w:r w:rsidR="00F0713A" w:rsidRPr="00F0713A">
        <w:rPr>
          <w:rStyle w:val="Ppogrubienie"/>
        </w:rPr>
        <w:t>.</w:t>
      </w:r>
    </w:p>
    <w:p w14:paraId="1AA8ADB9" w14:textId="77777777" w:rsidR="00043A3C" w:rsidRPr="00043A3C" w:rsidRDefault="00043A3C" w:rsidP="00F0713A">
      <w:pPr>
        <w:pStyle w:val="NIEARTTEKSTtekstnieartykuowanynppodstprawnarozplubpreambua"/>
      </w:pPr>
      <w:r w:rsidRPr="00043A3C">
        <w:t>Jednocześnie projekt rozporządzenia zawiera przepis przejściowy, dzięki któremu możliwe będzie zebranie informacji o stawkach opłaty za zajęcie pasa drogowego w celu umieszczenia w nim urządzeń infrastruktury technicznej niezwiązanych z potrzebami zarządzania drogami lub potrzebami ruchu drogowego oraz obiektów budowlanych niezwiązanych z potrzebami zarządzania drogami lub potrzebami ruchu drogowego oraz reklam (tj. na obecnie obowiązujących zasadach) do dnia dostosowania przez organy stanowiące jednostek samorządu terytorialnego uchwał w sprawie stawek opłat za zajęcie pasa drogowego do zmian wynikających z art. 3 ustawy z dnia 5 sierpnia 2022 r. o zmianie ustawy o Rządowym Funduszu Rozwoju Dróg oraz niektórych innych ustaw (Dz. U. poz. 1768).</w:t>
      </w:r>
    </w:p>
    <w:p w14:paraId="541D52A5" w14:textId="77777777" w:rsidR="00043A3C" w:rsidRPr="00F0713A" w:rsidRDefault="00F0713A" w:rsidP="00043A3C">
      <w:pPr>
        <w:pStyle w:val="NIEARTTEKSTtekstnieartykuowanynppodstprawnarozplubpreambua"/>
        <w:rPr>
          <w:rStyle w:val="Ppogrubienie"/>
        </w:rPr>
      </w:pPr>
      <w:r w:rsidRPr="00F0713A">
        <w:rPr>
          <w:rStyle w:val="Ppogrubienie"/>
        </w:rPr>
        <w:t>§ 8.</w:t>
      </w:r>
    </w:p>
    <w:p w14:paraId="03F865E0" w14:textId="77777777" w:rsidR="00043A3C" w:rsidRPr="00043A3C" w:rsidRDefault="00043A3C" w:rsidP="00043A3C">
      <w:pPr>
        <w:pStyle w:val="NIEARTTEKSTtekstnieartykuowanynppodstprawnarozplubpreambua"/>
      </w:pPr>
      <w:r w:rsidRPr="00043A3C">
        <w:t>Paragraf określa najpóźniejszy, możliwy termin wejścia w życie rozporządzenia.</w:t>
      </w:r>
    </w:p>
    <w:p w14:paraId="6B69055C" w14:textId="77777777" w:rsidR="00043A3C" w:rsidRPr="00043A3C" w:rsidRDefault="00043A3C" w:rsidP="00043A3C">
      <w:pPr>
        <w:pStyle w:val="NIEARTTEKSTtekstnieartykuowanynppodstprawnarozplubpreambua"/>
      </w:pPr>
    </w:p>
    <w:p w14:paraId="36FF8319" w14:textId="77777777" w:rsidR="00043A3C" w:rsidRPr="00043A3C" w:rsidRDefault="00043A3C" w:rsidP="00043A3C">
      <w:pPr>
        <w:pStyle w:val="NIEARTTEKSTtekstnieartykuowanynppodstprawnarozplubpreambua"/>
      </w:pPr>
      <w:r w:rsidRPr="00043A3C">
        <w:t>Podsumowanie</w:t>
      </w:r>
    </w:p>
    <w:p w14:paraId="0355267C" w14:textId="77777777" w:rsidR="00043A3C" w:rsidRPr="00043A3C" w:rsidRDefault="00043A3C" w:rsidP="00043A3C">
      <w:pPr>
        <w:pStyle w:val="NIEARTTEKSTtekstnieartykuowanynppodstprawnarozplubpreambua"/>
      </w:pPr>
      <w:r w:rsidRPr="00043A3C">
        <w:t xml:space="preserve">Projektowane rozporządzenie wejdzie w życie w z dniem 1 stycznia 2023 r. Przyjęcie tej daty wejścia w życie projektowanego rozporządzenia związane jest z utratą mocy </w:t>
      </w:r>
      <w:r w:rsidRPr="00043A3C">
        <w:lastRenderedPageBreak/>
        <w:t>obowiązującej rozporządzenia poprzedzającego. Brak określenia elektronicznego formatu informacji przekazywanych do systemu, ich szczegółowego zakresu oraz wzorów formularzy służących do przekazywania tych informacji może utrudniać podmiotom zobowiązanym do przekazywania takich danych, zwłaszcza nowym podmiotom, realizację obowiązku ustawowego. Projektowane rozwiązania stanowią dla zobowiązanych podmiotów  jasne wytyczne w zakresie prawidłowego wykonania omawianych obowiązków informacyjnych. W związku z koniecznością utrzymania efektywności funkcjonowania systemu przez zapewnienie klarownych reguł sprawozdawania do punktu, istotne jest wydanie projektowanego rozporządzenia z mocą obowiązującą od 1 stycznia 2023 r.</w:t>
      </w:r>
    </w:p>
    <w:p w14:paraId="74B212B3" w14:textId="77777777" w:rsidR="00043A3C" w:rsidRPr="00043A3C" w:rsidRDefault="00043A3C" w:rsidP="00043A3C">
      <w:pPr>
        <w:pStyle w:val="NIEARTTEKSTtekstnieartykuowanynppodstprawnarozplubpreambua"/>
      </w:pPr>
      <w:r w:rsidRPr="00043A3C">
        <w:t>Projekt rozporządzenia nie jest sprzeczny z prawem Unii Europejskiej.</w:t>
      </w:r>
    </w:p>
    <w:p w14:paraId="6E844AF2" w14:textId="77777777" w:rsidR="00043A3C" w:rsidRPr="00043A3C" w:rsidRDefault="00043A3C" w:rsidP="00043A3C">
      <w:pPr>
        <w:pStyle w:val="NIEARTTEKSTtekstnieartykuowanynppodstprawnarozplubpreambua"/>
      </w:pPr>
      <w:r w:rsidRPr="00043A3C">
        <w:t>Projektowana regulacja nie zawiera przepisów technicznych w rozumieniu rozporządzenia Rady Ministrów z dnia 23 grudnia 2002 r. w sprawie sposobu funkcjonowania krajowego systemu notyfikacji norm i aktów prawnych (Dz. U. poz. 2039 oraz z 2004 r. poz. 597) i nie podlega notyfikacji Komisji Europejskiej.</w:t>
      </w:r>
    </w:p>
    <w:p w14:paraId="643C28A9" w14:textId="77777777" w:rsidR="00043A3C" w:rsidRPr="00043A3C" w:rsidRDefault="00043A3C" w:rsidP="00043A3C">
      <w:pPr>
        <w:pStyle w:val="NIEARTTEKSTtekstnieartykuowanynppodstprawnarozplubpreambua"/>
      </w:pPr>
      <w:r w:rsidRPr="00043A3C">
        <w:t>Projektowana regulacja nie będzie wymagała notyfikacji Komisji Europejskiej w trybie ustawy z dnia 30 kwietnia 2004 r. o postępowaniu w sprawach dotyczących pomocy publicznej (Dz. U. z 2018 r. poz. 362 oraz z 2019 r. poz. 730).</w:t>
      </w:r>
    </w:p>
    <w:p w14:paraId="72F0DA3F" w14:textId="77777777" w:rsidR="00043A3C" w:rsidRPr="00043A3C" w:rsidRDefault="00043A3C" w:rsidP="00043A3C">
      <w:pPr>
        <w:pStyle w:val="NIEARTTEKSTtekstnieartykuowanynppodstprawnarozplubpreambua"/>
      </w:pPr>
      <w:r w:rsidRPr="00043A3C">
        <w:t xml:space="preserve">Projekt nie wymaga przedłożenia instytucjom i organom Unii Europejskiej, w tym Europejskiemu Bankowi Centralnemu, w celu uzyskania opinii, dokonania powiadomienia, konsultacji albo uzgodnienia. </w:t>
      </w:r>
    </w:p>
    <w:p w14:paraId="1CF19096" w14:textId="77777777" w:rsidR="00043A3C" w:rsidRPr="00043A3C" w:rsidRDefault="00043A3C" w:rsidP="00043A3C">
      <w:pPr>
        <w:pStyle w:val="NIEARTTEKSTtekstnieartykuowanynppodstprawnarozplubpreambua"/>
      </w:pPr>
      <w:r w:rsidRPr="00043A3C">
        <w:t>Wejście w życie rozporządzenia ułatwi przygotowanie inwestycji w sektorze zarówno dużych przedsiębiorstw jak i mikro-, małych i średnich przedsiębiorstw.</w:t>
      </w:r>
    </w:p>
    <w:p w14:paraId="7A447AF8" w14:textId="77777777" w:rsidR="00043A3C" w:rsidRPr="00043A3C" w:rsidRDefault="00043A3C" w:rsidP="00043A3C">
      <w:pPr>
        <w:pStyle w:val="NIEARTTEKSTtekstnieartykuowanynppodstprawnarozplubpreambua"/>
      </w:pPr>
      <w:r w:rsidRPr="00043A3C">
        <w:t>Projekt został udostępniony na stronie Rządowego Centrum Legislacji w serwisie „Rządowy Proces Legislacyjny” oraz w Biuletynie Informacji Publicznej na stronie podmiotowej Ministra Cyfryzacji, zgodnie z art. 5 ustawy z dnia 7 lipca 2005 r. o działalności lobbingowej w procesie stanowienia prawa (Dz. U. z 2017 r. poz. 248).</w:t>
      </w:r>
    </w:p>
    <w:p w14:paraId="302E69F1"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B947" w14:textId="77777777" w:rsidR="00C04BB9" w:rsidRDefault="00C04BB9">
      <w:r>
        <w:separator/>
      </w:r>
    </w:p>
  </w:endnote>
  <w:endnote w:type="continuationSeparator" w:id="0">
    <w:p w14:paraId="70D6E384" w14:textId="77777777" w:rsidR="00C04BB9" w:rsidRDefault="00C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113B" w14:textId="77777777" w:rsidR="00C04BB9" w:rsidRDefault="00C04BB9">
      <w:r>
        <w:separator/>
      </w:r>
    </w:p>
  </w:footnote>
  <w:footnote w:type="continuationSeparator" w:id="0">
    <w:p w14:paraId="10F526E1" w14:textId="77777777" w:rsidR="00C04BB9" w:rsidRDefault="00C0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3983" w14:textId="0D2BCACF"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E231EC">
      <w:rPr>
        <w:noProof/>
      </w:rPr>
      <w:t>10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81A560A"/>
    <w:multiLevelType w:val="hybridMultilevel"/>
    <w:tmpl w:val="0F8E070C"/>
    <w:lvl w:ilvl="0" w:tplc="B3EE34E8">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61909"/>
    <w:multiLevelType w:val="hybridMultilevel"/>
    <w:tmpl w:val="6A1E8D82"/>
    <w:lvl w:ilvl="0" w:tplc="17547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6C606D2"/>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F2465C"/>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9"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4A14FF"/>
    <w:multiLevelType w:val="hybridMultilevel"/>
    <w:tmpl w:val="90523070"/>
    <w:lvl w:ilvl="0" w:tplc="04150017">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5"/>
  </w:num>
  <w:num w:numId="3">
    <w:abstractNumId w:val="19"/>
  </w:num>
  <w:num w:numId="4">
    <w:abstractNumId w:val="19"/>
  </w:num>
  <w:num w:numId="5">
    <w:abstractNumId w:val="39"/>
  </w:num>
  <w:num w:numId="6">
    <w:abstractNumId w:val="35"/>
  </w:num>
  <w:num w:numId="7">
    <w:abstractNumId w:val="39"/>
  </w:num>
  <w:num w:numId="8">
    <w:abstractNumId w:val="35"/>
  </w:num>
  <w:num w:numId="9">
    <w:abstractNumId w:val="39"/>
  </w:num>
  <w:num w:numId="10">
    <w:abstractNumId w:val="35"/>
  </w:num>
  <w:num w:numId="11">
    <w:abstractNumId w:val="14"/>
  </w:num>
  <w:num w:numId="12">
    <w:abstractNumId w:val="10"/>
  </w:num>
  <w:num w:numId="13">
    <w:abstractNumId w:val="16"/>
  </w:num>
  <w:num w:numId="14">
    <w:abstractNumId w:val="29"/>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8"/>
  </w:num>
  <w:num w:numId="29">
    <w:abstractNumId w:val="40"/>
  </w:num>
  <w:num w:numId="30">
    <w:abstractNumId w:val="36"/>
  </w:num>
  <w:num w:numId="31">
    <w:abstractNumId w:val="20"/>
  </w:num>
  <w:num w:numId="32">
    <w:abstractNumId w:val="11"/>
  </w:num>
  <w:num w:numId="33">
    <w:abstractNumId w:val="33"/>
  </w:num>
  <w:num w:numId="34">
    <w:abstractNumId w:val="22"/>
  </w:num>
  <w:num w:numId="35">
    <w:abstractNumId w:val="18"/>
  </w:num>
  <w:num w:numId="36">
    <w:abstractNumId w:val="24"/>
  </w:num>
  <w:num w:numId="37">
    <w:abstractNumId w:val="30"/>
  </w:num>
  <w:num w:numId="38">
    <w:abstractNumId w:val="27"/>
  </w:num>
  <w:num w:numId="39">
    <w:abstractNumId w:val="13"/>
  </w:num>
  <w:num w:numId="40">
    <w:abstractNumId w:val="32"/>
  </w:num>
  <w:num w:numId="41">
    <w:abstractNumId w:val="31"/>
  </w:num>
  <w:num w:numId="42">
    <w:abstractNumId w:val="23"/>
  </w:num>
  <w:num w:numId="43">
    <w:abstractNumId w:val="38"/>
  </w:num>
  <w:num w:numId="44">
    <w:abstractNumId w:val="12"/>
  </w:num>
  <w:num w:numId="45">
    <w:abstractNumId w:val="1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3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3A3C"/>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4DF"/>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66F3"/>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34E9"/>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0719"/>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D6CB6"/>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3DC6"/>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4D56"/>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6D9"/>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BB9"/>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01B1"/>
    <w:rsid w:val="00E11420"/>
    <w:rsid w:val="00E132FB"/>
    <w:rsid w:val="00E170B7"/>
    <w:rsid w:val="00E177DD"/>
    <w:rsid w:val="00E20900"/>
    <w:rsid w:val="00E20C7F"/>
    <w:rsid w:val="00E231EC"/>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0713A"/>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00E15"/>
  <w15:docId w15:val="{6A7D6991-12D2-42A6-95EE-DB46547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043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1192">
      <w:bodyDiv w:val="1"/>
      <w:marLeft w:val="0"/>
      <w:marRight w:val="0"/>
      <w:marTop w:val="0"/>
      <w:marBottom w:val="0"/>
      <w:divBdr>
        <w:top w:val="none" w:sz="0" w:space="0" w:color="auto"/>
        <w:left w:val="none" w:sz="0" w:space="0" w:color="auto"/>
        <w:bottom w:val="none" w:sz="0" w:space="0" w:color="auto"/>
        <w:right w:val="none" w:sz="0" w:space="0" w:color="auto"/>
      </w:divBdr>
    </w:div>
    <w:div w:id="12055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czew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8D9E1-7677-4048-8ABD-EAFB6031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10</Pages>
  <Words>3156</Words>
  <Characters>18942</Characters>
  <Application>Microsoft Office Word</Application>
  <DocSecurity>0</DocSecurity>
  <Lines>157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Malczewska Anna</dc:creator>
  <cp:lastModifiedBy>Malczewska Anna</cp:lastModifiedBy>
  <cp:revision>2</cp:revision>
  <cp:lastPrinted>2012-04-23T06:39:00Z</cp:lastPrinted>
  <dcterms:created xsi:type="dcterms:W3CDTF">2022-11-16T06:00:00Z</dcterms:created>
  <dcterms:modified xsi:type="dcterms:W3CDTF">2022-11-16T06:00:00Z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