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  <w:bookmarkStart w:id="0" w:name="_GoBack"/>
      <w:bookmarkEnd w:id="0"/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  <w:sz w:val="56"/>
          <w:szCs w:val="56"/>
        </w:rPr>
      </w:pPr>
    </w:p>
    <w:p w:rsidR="001A143C" w:rsidRPr="00844E05" w:rsidRDefault="00844E05" w:rsidP="00691099">
      <w:pPr>
        <w:spacing w:after="200" w:line="300" w:lineRule="auto"/>
        <w:jc w:val="center"/>
        <w:rPr>
          <w:rFonts w:ascii="Arial" w:hAnsi="Arial" w:cs="Arial"/>
          <w:b/>
          <w:i/>
          <w:color w:val="244061" w:themeColor="accent1" w:themeShade="80"/>
          <w:sz w:val="52"/>
          <w:szCs w:val="52"/>
        </w:rPr>
      </w:pPr>
      <w:r w:rsidRPr="00844E05">
        <w:rPr>
          <w:rFonts w:ascii="Arial" w:hAnsi="Arial" w:cs="Arial"/>
          <w:b/>
          <w:color w:val="244061" w:themeColor="accent1" w:themeShade="80"/>
          <w:sz w:val="52"/>
          <w:szCs w:val="52"/>
        </w:rPr>
        <w:t xml:space="preserve">Zarys koncepcji umów procesowych </w:t>
      </w:r>
      <w:r w:rsidRPr="00844E05">
        <w:rPr>
          <w:rFonts w:ascii="Arial" w:hAnsi="Arial" w:cs="Arial"/>
          <w:b/>
          <w:color w:val="244061" w:themeColor="accent1" w:themeShade="80"/>
          <w:sz w:val="52"/>
          <w:szCs w:val="52"/>
        </w:rPr>
        <w:br/>
        <w:t>w postępowaniu cywilnym</w:t>
      </w:r>
    </w:p>
    <w:p w:rsidR="00691099" w:rsidRPr="002A2C8D" w:rsidRDefault="00691099" w:rsidP="00691099">
      <w:pPr>
        <w:spacing w:after="200" w:line="300" w:lineRule="auto"/>
        <w:jc w:val="center"/>
        <w:rPr>
          <w:rFonts w:ascii="Arial" w:hAnsi="Arial" w:cs="Arial"/>
          <w:color w:val="244061" w:themeColor="accent1" w:themeShade="80"/>
          <w:sz w:val="56"/>
          <w:szCs w:val="56"/>
        </w:rPr>
      </w:pP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softHyphen/>
      </w: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softHyphen/>
      </w: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softHyphen/>
      </w:r>
      <w:r w:rsidR="008128F4" w:rsidRPr="002A2C8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– </w:t>
      </w:r>
      <w:r w:rsidRPr="002A2C8D">
        <w:rPr>
          <w:rFonts w:ascii="Arial" w:hAnsi="Arial" w:cs="Arial"/>
          <w:b/>
          <w:i/>
          <w:color w:val="244061" w:themeColor="accent1" w:themeShade="80"/>
          <w:sz w:val="40"/>
          <w:szCs w:val="40"/>
        </w:rPr>
        <w:t>materiał do pre-konsultacji</w:t>
      </w: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2A2C8D">
        <w:rPr>
          <w:rFonts w:ascii="Arial" w:hAnsi="Arial" w:cs="Arial"/>
          <w:b/>
          <w:color w:val="244061" w:themeColor="accent1" w:themeShade="80"/>
          <w:sz w:val="36"/>
          <w:szCs w:val="36"/>
        </w:rPr>
        <w:t>Ministerstwo Rozwoju</w:t>
      </w:r>
    </w:p>
    <w:p w:rsidR="003F6F19" w:rsidRPr="002A2C8D" w:rsidRDefault="003F6F19" w:rsidP="00691099">
      <w:pPr>
        <w:spacing w:after="200" w:line="300" w:lineRule="auto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FA77F2" w:rsidRPr="00FA77F2" w:rsidRDefault="003F6F19" w:rsidP="00880E37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A2C8D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Warszawa, </w:t>
      </w:r>
      <w:r w:rsidR="001A143C" w:rsidRPr="002A2C8D">
        <w:rPr>
          <w:rFonts w:ascii="Arial" w:hAnsi="Arial" w:cs="Arial"/>
          <w:b/>
          <w:color w:val="244061" w:themeColor="accent1" w:themeShade="80"/>
          <w:sz w:val="28"/>
          <w:szCs w:val="28"/>
        </w:rPr>
        <w:t>lipiec</w:t>
      </w:r>
      <w:r w:rsidRPr="002A2C8D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2016 r.</w:t>
      </w:r>
      <w:bookmarkStart w:id="1" w:name="_Toc454539991"/>
    </w:p>
    <w:p w:rsidR="00FA77F2" w:rsidRPr="00FA77F2" w:rsidRDefault="00FA77F2">
      <w:pPr>
        <w:pStyle w:val="Spistreci1"/>
        <w:rPr>
          <w:rFonts w:ascii="Arial" w:eastAsiaTheme="minorEastAsia" w:hAnsi="Arial" w:cs="Arial"/>
          <w:b/>
          <w:caps/>
          <w:noProof/>
          <w:color w:val="244061" w:themeColor="accent1" w:themeShade="80"/>
          <w:sz w:val="22"/>
          <w:szCs w:val="22"/>
        </w:rPr>
      </w:pPr>
      <w:r w:rsidRPr="00FA77F2">
        <w:rPr>
          <w:rFonts w:ascii="Arial" w:hAnsi="Arial" w:cs="Arial"/>
          <w:b/>
          <w:caps/>
          <w:color w:val="244061" w:themeColor="accent1" w:themeShade="80"/>
          <w:sz w:val="22"/>
          <w:szCs w:val="22"/>
        </w:rPr>
        <w:lastRenderedPageBreak/>
        <w:fldChar w:fldCharType="begin"/>
      </w:r>
      <w:r w:rsidRPr="00FA77F2">
        <w:rPr>
          <w:rFonts w:ascii="Arial" w:hAnsi="Arial" w:cs="Arial"/>
          <w:b/>
          <w:caps/>
          <w:color w:val="244061" w:themeColor="accent1" w:themeShade="80"/>
          <w:sz w:val="22"/>
          <w:szCs w:val="22"/>
        </w:rPr>
        <w:instrText xml:space="preserve"> TOC \o "1-3" \h \z \t "AAA Pkt I;1;AAA Pkt 1;2;AAA Pkt I.1.1.;3" </w:instrText>
      </w:r>
      <w:r w:rsidRPr="00FA77F2">
        <w:rPr>
          <w:rFonts w:ascii="Arial" w:hAnsi="Arial" w:cs="Arial"/>
          <w:b/>
          <w:caps/>
          <w:color w:val="244061" w:themeColor="accent1" w:themeShade="80"/>
          <w:sz w:val="22"/>
          <w:szCs w:val="22"/>
        </w:rPr>
        <w:fldChar w:fldCharType="separate"/>
      </w:r>
      <w:hyperlink w:anchor="_Toc455939462" w:history="1">
        <w:r w:rsidRPr="00FA77F2">
          <w:rPr>
            <w:rStyle w:val="Hipercze"/>
            <w:rFonts w:ascii="Arial" w:hAnsi="Arial" w:cs="Arial"/>
            <w:b/>
            <w:caps/>
            <w:noProof/>
            <w:color w:val="244061" w:themeColor="accent1" w:themeShade="80"/>
            <w:sz w:val="22"/>
            <w:szCs w:val="22"/>
          </w:rPr>
          <w:t>Potrzeba ZMIAN</w:t>
        </w:r>
        <w:r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tab/>
        </w:r>
        <w:r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_Toc455939462 \h </w:instrText>
        </w:r>
        <w:r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</w:r>
        <w:r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t>2</w:t>
        </w:r>
        <w:r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>
      <w:pPr>
        <w:pStyle w:val="Spistreci1"/>
        <w:rPr>
          <w:rFonts w:ascii="Arial" w:eastAsiaTheme="minorEastAsia" w:hAnsi="Arial" w:cs="Arial"/>
          <w:b/>
          <w:caps/>
          <w:noProof/>
          <w:color w:val="244061" w:themeColor="accent1" w:themeShade="80"/>
          <w:sz w:val="22"/>
          <w:szCs w:val="22"/>
        </w:rPr>
      </w:pPr>
      <w:hyperlink w:anchor="_Toc455939463" w:history="1">
        <w:r w:rsidR="00FA77F2" w:rsidRPr="00FA77F2">
          <w:rPr>
            <w:rStyle w:val="Hipercze"/>
            <w:rFonts w:ascii="Arial" w:hAnsi="Arial" w:cs="Arial"/>
            <w:b/>
            <w:caps/>
            <w:noProof/>
            <w:color w:val="244061" w:themeColor="accent1" w:themeShade="80"/>
            <w:sz w:val="22"/>
            <w:szCs w:val="22"/>
          </w:rPr>
          <w:t>I.</w:t>
        </w:r>
        <w:r w:rsidR="00FA77F2" w:rsidRPr="00FA77F2">
          <w:rPr>
            <w:rFonts w:ascii="Arial" w:eastAsiaTheme="minorEastAsia" w:hAnsi="Arial" w:cs="Arial"/>
            <w:b/>
            <w:caps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caps/>
            <w:noProof/>
            <w:color w:val="244061" w:themeColor="accent1" w:themeShade="80"/>
            <w:sz w:val="22"/>
            <w:szCs w:val="22"/>
          </w:rPr>
          <w:t>Wprowadzenie – czym jest umowa procesowa?</w:t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_Toc455939463 \h </w:instrText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t>4</w:t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>
      <w:pPr>
        <w:pStyle w:val="Spistreci1"/>
        <w:rPr>
          <w:rFonts w:ascii="Arial" w:eastAsiaTheme="minorEastAsia" w:hAnsi="Arial" w:cs="Arial"/>
          <w:b/>
          <w:caps/>
          <w:noProof/>
          <w:color w:val="244061" w:themeColor="accent1" w:themeShade="80"/>
          <w:sz w:val="22"/>
          <w:szCs w:val="22"/>
        </w:rPr>
      </w:pPr>
      <w:hyperlink w:anchor="_Toc455939464" w:history="1">
        <w:r w:rsidR="00FA77F2" w:rsidRPr="00FA77F2">
          <w:rPr>
            <w:rStyle w:val="Hipercze"/>
            <w:rFonts w:ascii="Arial" w:hAnsi="Arial" w:cs="Arial"/>
            <w:b/>
            <w:caps/>
            <w:noProof/>
            <w:color w:val="244061" w:themeColor="accent1" w:themeShade="80"/>
            <w:sz w:val="22"/>
            <w:szCs w:val="22"/>
          </w:rPr>
          <w:t>II.</w:t>
        </w:r>
        <w:r w:rsidR="00FA77F2" w:rsidRPr="00FA77F2">
          <w:rPr>
            <w:rFonts w:ascii="Arial" w:eastAsiaTheme="minorEastAsia" w:hAnsi="Arial" w:cs="Arial"/>
            <w:b/>
            <w:caps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caps/>
            <w:noProof/>
            <w:color w:val="244061" w:themeColor="accent1" w:themeShade="80"/>
            <w:sz w:val="22"/>
            <w:szCs w:val="22"/>
          </w:rPr>
          <w:t>Szczegółowe propozycje</w:t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_Toc455939464 \h </w:instrText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t>6</w:t>
        </w:r>
        <w:r w:rsidR="00FA77F2" w:rsidRPr="00FA77F2">
          <w:rPr>
            <w:rFonts w:ascii="Arial" w:hAnsi="Arial" w:cs="Arial"/>
            <w:b/>
            <w:caps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 w:rsidP="00FA77F2">
      <w:pPr>
        <w:pStyle w:val="Spistreci2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939465" w:history="1"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II.1. </w:t>
        </w:r>
        <w:r w:rsidR="00FA77F2" w:rsidRPr="00FA77F2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Przedmiot i rodzaje umów procesowych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_Toc455939465 \h </w:instrTex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6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 w:rsidP="00FA77F2">
      <w:pPr>
        <w:pStyle w:val="Spistreci3"/>
        <w:tabs>
          <w:tab w:val="left" w:pos="709"/>
          <w:tab w:val="left" w:pos="1540"/>
          <w:tab w:val="right" w:leader="dot" w:pos="9628"/>
        </w:tabs>
        <w:ind w:left="0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939466" w:history="1"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II.1.1. </w:t>
        </w:r>
        <w:r w:rsidR="00FA77F2" w:rsidRPr="00FA77F2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Umowy dowodowe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_Toc455939466 \h </w:instrTex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6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 w:rsidP="00FA77F2">
      <w:pPr>
        <w:pStyle w:val="Spistreci3"/>
        <w:tabs>
          <w:tab w:val="left" w:pos="709"/>
          <w:tab w:val="left" w:pos="1540"/>
          <w:tab w:val="right" w:leader="dot" w:pos="9628"/>
        </w:tabs>
        <w:ind w:left="0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939467" w:history="1"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II.1.2. </w:t>
        </w:r>
        <w:r w:rsidR="00FA77F2" w:rsidRPr="00FA77F2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Inne umowy procesowe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_Toc455939467 \h </w:instrTex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8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 w:rsidP="00FA77F2">
      <w:pPr>
        <w:pStyle w:val="Spistreci2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939468" w:history="1"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II.2.</w:t>
        </w:r>
        <w:r w:rsidR="00FA77F2" w:rsidRPr="00FA77F2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Zakres zastosowania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_Toc455939468 \h </w:instrTex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10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 w:rsidP="00FA77F2">
      <w:pPr>
        <w:pStyle w:val="Spistreci2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939469" w:history="1"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II.3. </w:t>
        </w:r>
        <w:r w:rsidR="00FA77F2" w:rsidRPr="00FA77F2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Warunki zawierania umów procesowych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_Toc455939469 \h </w:instrTex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11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A564DD" w:rsidP="00FA77F2">
      <w:pPr>
        <w:pStyle w:val="Spistreci2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939470" w:history="1"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II.4.</w:t>
        </w:r>
        <w:r w:rsidR="00FA77F2" w:rsidRPr="00FA77F2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Kontrola umów procesowych przez sąd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_Toc455939470 \h </w:instrTex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5D4B1E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12</w:t>
        </w:r>
        <w:r w:rsidR="00FA77F2" w:rsidRPr="00FA77F2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FA77F2" w:rsidRPr="00FA77F2" w:rsidRDefault="00FA77F2" w:rsidP="00880E37">
      <w:pPr>
        <w:spacing w:line="300" w:lineRule="auto"/>
        <w:rPr>
          <w:rFonts w:ascii="Arial" w:hAnsi="Arial" w:cs="Arial"/>
          <w:b/>
          <w:caps/>
          <w:color w:val="244061" w:themeColor="accent1" w:themeShade="80"/>
          <w:sz w:val="22"/>
          <w:szCs w:val="22"/>
        </w:rPr>
      </w:pPr>
      <w:r w:rsidRPr="00FA77F2">
        <w:rPr>
          <w:rFonts w:ascii="Arial" w:hAnsi="Arial" w:cs="Arial"/>
          <w:b/>
          <w:caps/>
          <w:color w:val="244061" w:themeColor="accent1" w:themeShade="80"/>
          <w:sz w:val="22"/>
          <w:szCs w:val="22"/>
        </w:rPr>
        <w:fldChar w:fldCharType="end"/>
      </w:r>
    </w:p>
    <w:p w:rsidR="00AA41C4" w:rsidRDefault="00880E37" w:rsidP="00247941">
      <w:pPr>
        <w:pStyle w:val="AAAPktI"/>
        <w:spacing w:after="240"/>
      </w:pPr>
      <w:bookmarkStart w:id="2" w:name="_Toc455939462"/>
      <w:r>
        <w:t>P</w:t>
      </w:r>
      <w:r w:rsidR="00AA41C4">
        <w:t xml:space="preserve">otrzeba </w:t>
      </w:r>
      <w:r w:rsidR="00FA77F2">
        <w:t>ZMIAN</w:t>
      </w:r>
      <w:bookmarkEnd w:id="2"/>
    </w:p>
    <w:p w:rsidR="00AA41C4" w:rsidRDefault="00AA41C4" w:rsidP="00880E37">
      <w:pPr>
        <w:pStyle w:val="Tekst"/>
        <w:spacing w:after="160"/>
      </w:pPr>
      <w:r>
        <w:t>Kluczowym problemem związanym z dochodzeniem wierzytelności jest długotrwałość postępowań s</w:t>
      </w:r>
      <w:r w:rsidR="00870938">
        <w:t>ą</w:t>
      </w:r>
      <w:r>
        <w:t>dowych. Według statystyk prowadzonych przez Ministerstwo Sprawiedliwości, średni czas trwania procesów w sprawach gospodarczych</w:t>
      </w:r>
      <w:r>
        <w:rPr>
          <w:rStyle w:val="Odwoanieprzypisudolnego"/>
          <w:rFonts w:eastAsia="Calibri"/>
        </w:rPr>
        <w:footnoteReference w:id="1"/>
      </w:r>
      <w:r>
        <w:t xml:space="preserve"> w 2015 r. wynosił w sądach rejonowych 13,5 miesiąca, zaś w sądach okręgowych 14,3 miesiąca. 32% takich spraw była rozpoznawana </w:t>
      </w:r>
      <w:r w:rsidR="00983845">
        <w:t>przez </w:t>
      </w:r>
      <w:r>
        <w:t xml:space="preserve">sądy rejonowe dłużej niż 12 miesięcy, a ponad 8% – dłużej niż 2 lata. Natomiast w sądach okręgowych ponad 41% spraw gospodarczych rozpoznawana była dłużej niż 12 miesięcy, </w:t>
      </w:r>
      <w:r w:rsidR="00983845">
        <w:t>ponad </w:t>
      </w:r>
      <w:r>
        <w:t>25% – dłużej niż 2 lata, a rozpoznanie aż 10% spraw trwało</w:t>
      </w:r>
      <w:r w:rsidR="00954192">
        <w:t xml:space="preserve"> dłużej niż 3 lata. Dane te nie </w:t>
      </w:r>
      <w:r>
        <w:t>pozostawiają wątpliwości co do tego, że dochodzenie należności n</w:t>
      </w:r>
      <w:r w:rsidR="00844E05">
        <w:t>ie jest wystarczająco szybkie i </w:t>
      </w:r>
      <w:r>
        <w:t xml:space="preserve">sprawne, co w przypadku przedsiębiorców może </w:t>
      </w:r>
      <w:r w:rsidR="00844E05">
        <w:t>negatywnie</w:t>
      </w:r>
      <w:r>
        <w:t xml:space="preserve"> wpływać na ich płynność finansową.  </w:t>
      </w:r>
    </w:p>
    <w:p w:rsidR="00AA41C4" w:rsidRDefault="00AA41C4" w:rsidP="00880E37">
      <w:pPr>
        <w:pStyle w:val="Tekst"/>
        <w:spacing w:after="160"/>
      </w:pPr>
      <w:r>
        <w:t xml:space="preserve">Konieczne jest zatem poszukiwanie rozwiązań, które pozwolą na skrócenie czasu trwania postępowań, zwłaszcza w sprawach gospodarczych. W tego typu sprawach, czynnikiem, </w:t>
      </w:r>
      <w:r w:rsidR="00983845">
        <w:t>który </w:t>
      </w:r>
      <w:r>
        <w:t xml:space="preserve">istotnie wpływa na czas trwania postępowania jest natomiast znaczny </w:t>
      </w:r>
      <w:r w:rsidR="00844E05">
        <w:t xml:space="preserve">formalizm i </w:t>
      </w:r>
      <w:r>
        <w:t xml:space="preserve">stopień skomplikowania postępowania dowodowego, którego przebieg i zakres determinują bezwzględnie obowiązujące przepisy </w:t>
      </w:r>
      <w:r w:rsidR="00870938">
        <w:t>ustawy z dnia 17 listopada 1964</w:t>
      </w:r>
      <w:r w:rsidR="005D4B1E">
        <w:t xml:space="preserve"> – </w:t>
      </w:r>
      <w:r>
        <w:t>Kodeks postępowania cywilnego (dalej: „k.p.c.”)</w:t>
      </w:r>
      <w:r w:rsidR="00870938">
        <w:rPr>
          <w:rStyle w:val="Odwoanieprzypisudolnego"/>
        </w:rPr>
        <w:footnoteReference w:id="2"/>
      </w:r>
      <w:r>
        <w:t>.</w:t>
      </w:r>
    </w:p>
    <w:p w:rsidR="00AA41C4" w:rsidRDefault="00AA41C4" w:rsidP="00880E37">
      <w:pPr>
        <w:pStyle w:val="Tekst"/>
        <w:spacing w:after="160"/>
      </w:pPr>
      <w:r>
        <w:t>W szczególności, w dużej części spraw</w:t>
      </w:r>
      <w:r w:rsidR="00844E05">
        <w:t xml:space="preserve"> </w:t>
      </w:r>
      <w:r>
        <w:t xml:space="preserve">związanych </w:t>
      </w:r>
      <w:r w:rsidR="00870938">
        <w:t xml:space="preserve">zwłaszcza </w:t>
      </w:r>
      <w:r>
        <w:t xml:space="preserve">z działalnością gospodarczą niezbędne jest korzystanie z wiedzy specjalistycznej. To zaś powoduje konieczność przeprowadzenia przez sąd dowodu z opinii biegłego, którego w </w:t>
      </w:r>
      <w:r w:rsidR="00954192">
        <w:t>świetle art. 278 § 1 k.p.c. nie </w:t>
      </w:r>
      <w:r>
        <w:t xml:space="preserve">może zastąpić żaden inny dowód, zwłaszcza tzw. prywatna ekspertyza. Skomplikowana i czasochłonna opinia biegłego jest często niezbędna </w:t>
      </w:r>
      <w:r w:rsidR="00844E05">
        <w:t>do</w:t>
      </w:r>
      <w:r>
        <w:t xml:space="preserve"> wykazania wysokości wierzytelności (np</w:t>
      </w:r>
      <w:r w:rsidR="00983845">
        <w:t>. </w:t>
      </w:r>
      <w:r>
        <w:t>wysokości poniesionej szkody). Niejednokrotnie zdarza się, że w jednej sprawie koniecznych jest kilka opinii biegłych</w:t>
      </w:r>
      <w:r w:rsidR="00844E05">
        <w:t xml:space="preserve"> różnej specjalności</w:t>
      </w:r>
      <w:r>
        <w:t>. Opinie takie sporządzane są przez podmioty wyznaczone przez sąd, co może wpływać negatywnie na stopień zaufania stron do wiedzy czy</w:t>
      </w:r>
      <w:r w:rsidR="00247941">
        <w:t> </w:t>
      </w:r>
      <w:r>
        <w:t xml:space="preserve">rzetelności biegłego, a przez to – sprzyjać kwestionowaniu opinii, do czego każda ze stron jest uprawniona. </w:t>
      </w:r>
    </w:p>
    <w:p w:rsidR="00AA41C4" w:rsidRDefault="00AA41C4" w:rsidP="00880E37">
      <w:pPr>
        <w:pStyle w:val="Tekst"/>
        <w:spacing w:after="160"/>
      </w:pPr>
      <w:r>
        <w:lastRenderedPageBreak/>
        <w:t>Ponadto, w postępowaniu cywilnym strony nie są</w:t>
      </w:r>
      <w:r w:rsidR="00844E05">
        <w:t>,</w:t>
      </w:r>
      <w:r>
        <w:t xml:space="preserve"> </w:t>
      </w:r>
      <w:r w:rsidR="00844E05">
        <w:t>co do zasady,</w:t>
      </w:r>
      <w:r>
        <w:t xml:space="preserve"> ograniczone w wyborze środków dowodowych zmierzających do wykazania faktów istotnych dla sprawy. Co ważne, w sporach między przedsiębiorcami takich ograniczeń nie powoduje zastrzeżenie formy pisemnej</w:t>
      </w:r>
      <w:r>
        <w:rPr>
          <w:rStyle w:val="Odwoanieprzypisudolnego"/>
          <w:rFonts w:eastAsia="Calibri"/>
        </w:rPr>
        <w:footnoteReference w:id="3"/>
      </w:r>
      <w:r>
        <w:t xml:space="preserve"> czynności prawnych dla celów dowodowych. Na etapie przygotowywania i wykonywania kontraktów strony rzadko przewidują i analizują możliwe problemy, jakie mogą </w:t>
      </w:r>
      <w:r w:rsidR="00844E05">
        <w:t xml:space="preserve">się </w:t>
      </w:r>
      <w:r>
        <w:t xml:space="preserve">ujawnić w trakcie ewentualnego sporu związanego z wykonaniem umowy </w:t>
      </w:r>
      <w:r w:rsidR="00844E05">
        <w:t>i dotyczącego go</w:t>
      </w:r>
      <w:r>
        <w:t xml:space="preserve"> procesu sądowego. W </w:t>
      </w:r>
      <w:r w:rsidR="00844E05">
        <w:t>konsekwencji,</w:t>
      </w:r>
      <w:r>
        <w:t xml:space="preserve"> w sprawach gospodarczych przeprowadzanych jest często wiele dowodów na te same okoliczności, co istotnie przedłuża czas trwania postępowania. Czas ten mogą również istotnie przedłużać inne czynności procesowe będące przejawem zasady dyspozycyjności, </w:t>
      </w:r>
      <w:r w:rsidR="00983845">
        <w:t>takie jak </w:t>
      </w:r>
      <w:r>
        <w:t>zmiana powództwa w toku procesu czy wytoczenie powództwa wzajemnego.</w:t>
      </w:r>
    </w:p>
    <w:p w:rsidR="00844E05" w:rsidRPr="002C441E" w:rsidRDefault="00844E05" w:rsidP="00880E37">
      <w:pPr>
        <w:pStyle w:val="Tekst"/>
        <w:spacing w:after="160"/>
      </w:pPr>
      <w:r w:rsidRPr="002C441E">
        <w:t xml:space="preserve">Powyższe okoliczności skłaniają do rozważenia, czy zasadne i celowe byłoby </w:t>
      </w:r>
      <w:r w:rsidR="00D41E57" w:rsidRPr="002C441E">
        <w:t>poszerzenie możliwości zawierania</w:t>
      </w:r>
      <w:r w:rsidRPr="002C441E">
        <w:t xml:space="preserve"> umów procesowych, rozumianych jako porozumienia między stronami trwającego procesu lub </w:t>
      </w:r>
      <w:r w:rsidR="00107490" w:rsidRPr="002C441E">
        <w:t xml:space="preserve">stronami </w:t>
      </w:r>
      <w:r w:rsidR="005249CF">
        <w:t>stosunku prawnego</w:t>
      </w:r>
      <w:r w:rsidRPr="002C441E">
        <w:t xml:space="preserve">, </w:t>
      </w:r>
      <w:r w:rsidR="00107490" w:rsidRPr="002C441E">
        <w:t>które to porozumienia mogą modyfikować ogólne reguły</w:t>
      </w:r>
      <w:r w:rsidRPr="002C441E">
        <w:t xml:space="preserve"> postępowania przed sądem cywilnym</w:t>
      </w:r>
      <w:r w:rsidR="00107490" w:rsidRPr="002C441E">
        <w:t xml:space="preserve"> w </w:t>
      </w:r>
      <w:r w:rsidRPr="002C441E">
        <w:t>sprawie jaka zawiśnie między tymi osobami</w:t>
      </w:r>
      <w:r w:rsidR="005249CF">
        <w:t>, w </w:t>
      </w:r>
      <w:r w:rsidR="00107490" w:rsidRPr="002C441E">
        <w:t xml:space="preserve">określonych </w:t>
      </w:r>
      <w:r w:rsidR="002C441E" w:rsidRPr="002C441E">
        <w:t>prawem</w:t>
      </w:r>
      <w:r w:rsidR="00107490" w:rsidRPr="002C441E">
        <w:t xml:space="preserve"> aspektach procedury cywilnej</w:t>
      </w:r>
      <w:r w:rsidR="002C441E" w:rsidRPr="002C441E">
        <w:t>.</w:t>
      </w:r>
    </w:p>
    <w:p w:rsidR="00AA41C4" w:rsidRDefault="00AA41C4" w:rsidP="00880E37">
      <w:pPr>
        <w:pStyle w:val="Tekst"/>
        <w:spacing w:after="160"/>
      </w:pPr>
      <w:r>
        <w:t xml:space="preserve">W obecnym stanie prawnym strony pozostające w sporze nie mają generalnej, formalnej możliwości porozumienia się co do kwestii procesowych. W szczególności, brak jest podstawy prawnej do zawierania umów dotyczących postępowania dowodowego wywołujących skutki procesowe tj. wiążących sąd. Tymczasem, </w:t>
      </w:r>
      <w:r w:rsidR="00107490">
        <w:t xml:space="preserve">wydaje się, że </w:t>
      </w:r>
      <w:r>
        <w:t>tzw. umowy procesowe mogłyby</w:t>
      </w:r>
      <w:r w:rsidR="00107490">
        <w:t xml:space="preserve"> w </w:t>
      </w:r>
      <w:r>
        <w:t xml:space="preserve">istotny sposób usprawnić i przyspieszyć dochodzenie roszczeń, </w:t>
      </w:r>
      <w:r w:rsidR="00844E05">
        <w:t xml:space="preserve">a </w:t>
      </w:r>
      <w:r w:rsidR="00107490">
        <w:t>ponadto</w:t>
      </w:r>
      <w:r>
        <w:t xml:space="preserve"> – wywołać u stron przeświadczenie o pewności ich prawa, skoro </w:t>
      </w:r>
      <w:r w:rsidR="00107490">
        <w:t>mogłoby</w:t>
      </w:r>
      <w:r>
        <w:t xml:space="preserve"> ono </w:t>
      </w:r>
      <w:r w:rsidR="00107490">
        <w:t xml:space="preserve">być </w:t>
      </w:r>
      <w:r>
        <w:t>do</w:t>
      </w:r>
      <w:r w:rsidR="00844E05">
        <w:t>chodzone lub negowane jedynie w </w:t>
      </w:r>
      <w:r>
        <w:t>procesie o z góry ustalonych przez same strony regułach</w:t>
      </w:r>
      <w:r>
        <w:rPr>
          <w:rStyle w:val="Odwoanieprzypisudolnego"/>
          <w:rFonts w:eastAsia="Calibri"/>
        </w:rPr>
        <w:footnoteReference w:id="4"/>
      </w:r>
      <w:r>
        <w:t xml:space="preserve">. </w:t>
      </w:r>
    </w:p>
    <w:p w:rsidR="00AA41C4" w:rsidRDefault="00107490" w:rsidP="00880E37">
      <w:pPr>
        <w:pStyle w:val="Tekst"/>
        <w:spacing w:after="160"/>
      </w:pPr>
      <w:r>
        <w:t>W</w:t>
      </w:r>
      <w:r w:rsidR="00AA41C4">
        <w:t>prowadzeni</w:t>
      </w:r>
      <w:r>
        <w:t>e</w:t>
      </w:r>
      <w:r w:rsidR="00AA41C4">
        <w:t xml:space="preserve"> umów procesowych stworz</w:t>
      </w:r>
      <w:r>
        <w:t>yłoby</w:t>
      </w:r>
      <w:r w:rsidR="00AA41C4">
        <w:t xml:space="preserve"> dla stron możliwości dostosowania sposobu procedowania przed sądem do dynamicznie zmieniającego się otoczenia. Tempo zmian </w:t>
      </w:r>
      <w:r w:rsidR="00983845">
        <w:t>we </w:t>
      </w:r>
      <w:r w:rsidR="00AA41C4">
        <w:t>współczesny</w:t>
      </w:r>
      <w:r>
        <w:t>m świecie uniemożliwia bieżące, szybki</w:t>
      </w:r>
      <w:r w:rsidR="00870938">
        <w:t>e</w:t>
      </w:r>
      <w:r>
        <w:t xml:space="preserve"> </w:t>
      </w:r>
      <w:r w:rsidR="00AA41C4">
        <w:t>dostosow</w:t>
      </w:r>
      <w:r>
        <w:t>ywa</w:t>
      </w:r>
      <w:r w:rsidR="00AA41C4">
        <w:t xml:space="preserve">nie ustawodawstwa </w:t>
      </w:r>
      <w:r w:rsidR="00983845">
        <w:t>do </w:t>
      </w:r>
      <w:r w:rsidR="00AA41C4">
        <w:t xml:space="preserve">nowych wyzwań. Otworzenie stronom możliwości wprowadzania udogodnień pozwalających </w:t>
      </w:r>
      <w:r w:rsidR="00983845">
        <w:t>na </w:t>
      </w:r>
      <w:r w:rsidR="00AA41C4">
        <w:t xml:space="preserve">łatwiejsze procedowanie </w:t>
      </w:r>
      <w:r>
        <w:t>nadałoby</w:t>
      </w:r>
      <w:r w:rsidR="00AA41C4">
        <w:t xml:space="preserve"> zupełnie inne znaczenie rozumieniu zasady dyspozycyjności, tj. pojęciu stron jako </w:t>
      </w:r>
      <w:r>
        <w:t>„</w:t>
      </w:r>
      <w:r w:rsidR="00AA41C4">
        <w:t>gospodarzy procesu</w:t>
      </w:r>
      <w:r>
        <w:t>”</w:t>
      </w:r>
      <w:r w:rsidR="00AA41C4">
        <w:t xml:space="preserve">. </w:t>
      </w:r>
    </w:p>
    <w:p w:rsidR="00FA77F2" w:rsidRPr="00880E37" w:rsidRDefault="00AA41C4" w:rsidP="00880E37">
      <w:pPr>
        <w:pStyle w:val="Tekst"/>
        <w:spacing w:after="160"/>
      </w:pPr>
      <w:r>
        <w:t xml:space="preserve">Dzięki umowom procesowym, strony mogłyby także wspólnie wyważyć potrzebę ujawniania określonych </w:t>
      </w:r>
      <w:r w:rsidR="00107490">
        <w:t xml:space="preserve">informacji, </w:t>
      </w:r>
      <w:r>
        <w:t xml:space="preserve">okoliczności i dokumentów w procesie z koniecznością ochrony tajemnic ich przedsiębiorstw. Ten ważny problem nie znajduje </w:t>
      </w:r>
      <w:r w:rsidR="00107490">
        <w:t>bowiem odpowiednich rozwiązań w </w:t>
      </w:r>
      <w:r w:rsidR="00880E37">
        <w:t>obowiązujących przepisach k.p.c.</w:t>
      </w:r>
    </w:p>
    <w:p w:rsidR="005D4B1E" w:rsidRDefault="005D4B1E" w:rsidP="00880E37">
      <w:pPr>
        <w:spacing w:after="160"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5D4B1E" w:rsidRDefault="005D4B1E" w:rsidP="00880E37">
      <w:pPr>
        <w:spacing w:after="160"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5D4B1E" w:rsidRDefault="005D4B1E" w:rsidP="00880E37">
      <w:pPr>
        <w:spacing w:after="160"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FA77F2" w:rsidRPr="00497FFE" w:rsidRDefault="00107490" w:rsidP="00880E37">
      <w:pPr>
        <w:spacing w:after="16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97FFE">
        <w:rPr>
          <w:rFonts w:ascii="Arial" w:hAnsi="Arial" w:cs="Arial"/>
          <w:b/>
          <w:sz w:val="22"/>
          <w:szCs w:val="22"/>
        </w:rPr>
        <w:lastRenderedPageBreak/>
        <w:t xml:space="preserve">Przedstawiony niżej zarys koncepcji </w:t>
      </w:r>
      <w:r>
        <w:rPr>
          <w:rFonts w:ascii="Arial" w:hAnsi="Arial" w:cs="Arial"/>
          <w:b/>
          <w:sz w:val="22"/>
          <w:szCs w:val="22"/>
        </w:rPr>
        <w:t>umów procesowych w postępowaniu cywilnym</w:t>
      </w:r>
      <w:r w:rsidRPr="00497FFE">
        <w:rPr>
          <w:rFonts w:ascii="Arial" w:hAnsi="Arial" w:cs="Arial"/>
          <w:b/>
          <w:sz w:val="22"/>
          <w:szCs w:val="22"/>
        </w:rPr>
        <w:t xml:space="preserve"> oddajemy do </w:t>
      </w:r>
      <w:r w:rsidRPr="00497FFE">
        <w:rPr>
          <w:rFonts w:ascii="Arial" w:hAnsi="Arial" w:cs="Arial"/>
          <w:b/>
          <w:sz w:val="22"/>
          <w:szCs w:val="22"/>
          <w:u w:val="single"/>
        </w:rPr>
        <w:t>pre-konsultacji</w:t>
      </w:r>
      <w:r w:rsidRPr="00497FFE">
        <w:rPr>
          <w:rStyle w:val="Odwoanieprzypisudolnego"/>
          <w:rFonts w:ascii="Arial" w:hAnsi="Arial"/>
          <w:sz w:val="22"/>
          <w:szCs w:val="22"/>
        </w:rPr>
        <w:footnoteReference w:id="5"/>
      </w:r>
      <w:r w:rsidRPr="00497FFE">
        <w:rPr>
          <w:rFonts w:ascii="Arial" w:hAnsi="Arial" w:cs="Arial"/>
          <w:b/>
          <w:sz w:val="22"/>
          <w:szCs w:val="22"/>
        </w:rPr>
        <w:t>, licząc na uwagi i propozycje zainteresowanych środowisk, organizacji i ekspertów. W celu ułatwienia pre-konsultacji, opis rozważanych w ramach koncepcji rozwiązań uzupełniony został o pytania lub rozwiązania alternatywne dotyczące poszczególnych kwestii, związanych z </w:t>
      </w:r>
      <w:r>
        <w:rPr>
          <w:rFonts w:ascii="Arial" w:hAnsi="Arial" w:cs="Arial"/>
          <w:b/>
          <w:sz w:val="22"/>
          <w:szCs w:val="22"/>
        </w:rPr>
        <w:t>przedmiotem, zakresem zastosowania, wymogami formalnymi czy kontrolą treści umów procesowych przez sąd.</w:t>
      </w:r>
    </w:p>
    <w:p w:rsidR="00AA41C4" w:rsidRDefault="00107490" w:rsidP="00247941">
      <w:pPr>
        <w:pStyle w:val="AAAPktI"/>
        <w:spacing w:after="240"/>
      </w:pPr>
      <w:bookmarkStart w:id="3" w:name="_Toc455939463"/>
      <w:r>
        <w:t>I.</w:t>
      </w:r>
      <w:r>
        <w:tab/>
      </w:r>
      <w:r w:rsidR="00AA41C4">
        <w:t xml:space="preserve">Wprowadzenie </w:t>
      </w:r>
      <w:r w:rsidR="002C441E">
        <w:t>– czym jest umowa procesowa?</w:t>
      </w:r>
      <w:bookmarkEnd w:id="3"/>
    </w:p>
    <w:p w:rsidR="00AA41C4" w:rsidRDefault="00AA41C4" w:rsidP="00AA41C4">
      <w:pPr>
        <w:pStyle w:val="Tekst"/>
      </w:pPr>
      <w:r>
        <w:t xml:space="preserve">Pojęcie umowy procesowej nie jest obce teorii ani praktyce postępowania cywilnego. Przez umowę procesową rozumie się, najogólniej rzecz ujmując, taką czynność dwustronną </w:t>
      </w:r>
      <w:r w:rsidR="00053934">
        <w:t>(</w:t>
      </w:r>
      <w:r>
        <w:t>umowę zawartą przed wszczęciem postępowania lub w jego toku</w:t>
      </w:r>
      <w:r w:rsidR="00053934">
        <w:t>)</w:t>
      </w:r>
      <w:r>
        <w:t>, która dotyczy postępowania przed sądem i</w:t>
      </w:r>
      <w:r w:rsidR="00D41E57">
        <w:t> </w:t>
      </w:r>
      <w:r>
        <w:t>wywołuje określone ustawą skutki procesowe, w tym – określone w takiej umowie ustalenia wiążą sąd (musi się on stosować do postanowień umowy procesowej)</w:t>
      </w:r>
      <w:r>
        <w:rPr>
          <w:rStyle w:val="Odwoanieprzypisudolnego"/>
          <w:rFonts w:eastAsia="Calibri"/>
        </w:rPr>
        <w:footnoteReference w:id="6"/>
      </w:r>
      <w:r>
        <w:t>.</w:t>
      </w:r>
    </w:p>
    <w:p w:rsidR="00AA41C4" w:rsidRDefault="00AA41C4" w:rsidP="00AA41C4">
      <w:pPr>
        <w:pStyle w:val="Tekst"/>
      </w:pPr>
      <w:r>
        <w:t xml:space="preserve">Umowa procesowa jest przejawem autonomii woli stron, która na gruncie postępowania cywilnego wyraża się w zasadzie dyspozycyjności. Zgodnie z tą zasadą, wola stron jest decydująca </w:t>
      </w:r>
      <w:r w:rsidR="00983845">
        <w:t>dla </w:t>
      </w:r>
      <w:r>
        <w:t xml:space="preserve">wszczęcia i kontynuowania postępowania cywilnego. W kontekście umów procesowych istotna jest zwłaszcza dyspozycyjność w znaczeniu formalnym, czyli prawo stron do rozporządzania wszelkiego rodzaju środkami procesowymi i korzystania z instytucji procesowych dla obrony </w:t>
      </w:r>
      <w:r w:rsidR="00983845">
        <w:t>ich </w:t>
      </w:r>
      <w:r>
        <w:t>praw oraz do dokonywania w tym zakresie odpowiednich czynności procesowych</w:t>
      </w:r>
      <w:r>
        <w:rPr>
          <w:rStyle w:val="Odwoanieprzypisudolnego"/>
          <w:rFonts w:eastAsia="Calibri"/>
        </w:rPr>
        <w:footnoteReference w:id="7"/>
      </w:r>
      <w:r>
        <w:t xml:space="preserve">. Strony procesu mogą w zasadzie swobodnie decydować o tym, jakich czynności procesowych dokonują. Możliwość rozporządzania zarówno uprawnieniami materialnoprawnymi jak i środkami procesowymi może występować nie tylko w czynnościach jednostronnych, lecz także być realizowana przez strony za pomocą </w:t>
      </w:r>
      <w:r w:rsidR="00D41E57">
        <w:t>czynności dwustronnych – umów czy porozumień.</w:t>
      </w:r>
    </w:p>
    <w:p w:rsidR="00016359" w:rsidRPr="005D4B1E" w:rsidRDefault="00842E6C" w:rsidP="005D4B1E">
      <w:pPr>
        <w:pStyle w:val="Tekst"/>
      </w:pPr>
      <w:r w:rsidRPr="00842E6C">
        <w:t>W postępowaniu cywilnym istotne znaczenie ma</w:t>
      </w:r>
      <w:r w:rsidR="00053934">
        <w:t>,</w:t>
      </w:r>
      <w:r w:rsidRPr="00842E6C">
        <w:t xml:space="preserve"> ściśle związana z zasadą kontradyktoryjności</w:t>
      </w:r>
      <w:r w:rsidR="00053934">
        <w:t xml:space="preserve">, </w:t>
      </w:r>
      <w:r w:rsidRPr="00842E6C">
        <w:t>zasada prawdy materialnej</w:t>
      </w:r>
      <w:r>
        <w:t xml:space="preserve">. Zasada </w:t>
      </w:r>
      <w:r w:rsidR="00053934">
        <w:t xml:space="preserve">ta, </w:t>
      </w:r>
      <w:r w:rsidRPr="00842E6C">
        <w:t>wyrażona w art. 3 k.p.c.</w:t>
      </w:r>
      <w:r w:rsidR="00053934">
        <w:t>,</w:t>
      </w:r>
      <w:r w:rsidRPr="005D4B1E">
        <w:t xml:space="preserve"> </w:t>
      </w:r>
      <w:r w:rsidR="00CA4A37" w:rsidRPr="005D4B1E">
        <w:t xml:space="preserve">jest </w:t>
      </w:r>
      <w:r w:rsidRPr="005D4B1E">
        <w:t>skierowan</w:t>
      </w:r>
      <w:r w:rsidR="00A36AD2" w:rsidRPr="005D4B1E">
        <w:t>a</w:t>
      </w:r>
      <w:r w:rsidRPr="005D4B1E">
        <w:t xml:space="preserve"> do uczestników i</w:t>
      </w:r>
      <w:r w:rsidR="00A36AD2" w:rsidRPr="005D4B1E">
        <w:t> </w:t>
      </w:r>
      <w:r w:rsidRPr="005D4B1E">
        <w:t>stron postępowania</w:t>
      </w:r>
      <w:r w:rsidR="005541D3" w:rsidRPr="005D4B1E">
        <w:t xml:space="preserve"> (strona powinna w toku procesu działać w sposób rzetelny i lojalny wobec strony przeciwnej oraz sądu). </w:t>
      </w:r>
      <w:r w:rsidR="00765C8E" w:rsidRPr="005D4B1E">
        <w:t>O</w:t>
      </w:r>
      <w:r w:rsidR="00CA4A37" w:rsidRPr="005D4B1E">
        <w:t xml:space="preserve">dnosi się ona </w:t>
      </w:r>
      <w:r w:rsidR="00016359" w:rsidRPr="005D4B1E">
        <w:t xml:space="preserve">nie </w:t>
      </w:r>
      <w:r w:rsidR="00CA4A37" w:rsidRPr="005D4B1E">
        <w:t>do</w:t>
      </w:r>
      <w:r w:rsidRPr="005D4B1E">
        <w:t xml:space="preserve"> obowiązk</w:t>
      </w:r>
      <w:r w:rsidR="00053934" w:rsidRPr="005D4B1E">
        <w:t>ów</w:t>
      </w:r>
      <w:r w:rsidRPr="005D4B1E">
        <w:t xml:space="preserve"> procesowych </w:t>
      </w:r>
      <w:r w:rsidR="005541D3" w:rsidRPr="005D4B1E">
        <w:t xml:space="preserve">stron </w:t>
      </w:r>
      <w:r w:rsidRPr="005D4B1E">
        <w:t>(</w:t>
      </w:r>
      <w:r w:rsidRPr="005D4B1E">
        <w:rPr>
          <w:i/>
        </w:rPr>
        <w:t>sensu scricto</w:t>
      </w:r>
      <w:r w:rsidRPr="005D4B1E">
        <w:t xml:space="preserve">), lecz </w:t>
      </w:r>
      <w:r w:rsidR="00CA4A37" w:rsidRPr="005D4B1E">
        <w:t>ciężarów</w:t>
      </w:r>
      <w:r w:rsidR="005541D3" w:rsidRPr="005D4B1E">
        <w:t xml:space="preserve"> procesowych. Strona</w:t>
      </w:r>
      <w:r w:rsidRPr="005D4B1E">
        <w:t xml:space="preserve">, która się z nich nie wywiąże, musi liczyć </w:t>
      </w:r>
      <w:r w:rsidR="00A36AD2" w:rsidRPr="005D4B1E">
        <w:t xml:space="preserve">się </w:t>
      </w:r>
      <w:r w:rsidRPr="005D4B1E">
        <w:t>z</w:t>
      </w:r>
      <w:r w:rsidR="00A36AD2" w:rsidRPr="005D4B1E">
        <w:t> </w:t>
      </w:r>
      <w:r w:rsidR="005D4B1E">
        <w:t>konsekwencjami procesowymi</w:t>
      </w:r>
      <w:r w:rsidR="00CA4A37" w:rsidRPr="005D4B1E">
        <w:rPr>
          <w:vertAlign w:val="superscript"/>
        </w:rPr>
        <w:footnoteReference w:id="8"/>
      </w:r>
      <w:r w:rsidR="005D4B1E">
        <w:t>.</w:t>
      </w:r>
      <w:r w:rsidR="00CA4A37" w:rsidRPr="005D4B1E">
        <w:t xml:space="preserve"> </w:t>
      </w:r>
      <w:r w:rsidR="00016359" w:rsidRPr="005D4B1E">
        <w:t>Dążenie do wydania orzeczenia zgodnego z prawdą nie ma charakteru bezwzględnego</w:t>
      </w:r>
      <w:r w:rsidR="00053934" w:rsidRPr="005D4B1E">
        <w:t>,</w:t>
      </w:r>
      <w:r w:rsidR="00016359" w:rsidRPr="005D4B1E">
        <w:t xml:space="preserve"> zarówno w wymiarze prawa materialnego jak i procesowego. </w:t>
      </w:r>
      <w:r w:rsidR="005541D3" w:rsidRPr="005D4B1E">
        <w:t xml:space="preserve">Niemniej postanowienia umów procesowych powinny być formułowane z poszanowaniem powyższej zasady. </w:t>
      </w:r>
    </w:p>
    <w:p w:rsidR="005D4B1E" w:rsidRDefault="002C441E" w:rsidP="005D4B1E">
      <w:pPr>
        <w:pStyle w:val="Tekst"/>
        <w:spacing w:line="276" w:lineRule="auto"/>
      </w:pPr>
      <w:r>
        <w:t>W obecnym stanie prawnym m</w:t>
      </w:r>
      <w:r w:rsidR="00AA41C4">
        <w:t>ożliwość podejmowania skutec</w:t>
      </w:r>
      <w:r>
        <w:t>znych czynności procesowych – w </w:t>
      </w:r>
      <w:r w:rsidR="00AA41C4">
        <w:t xml:space="preserve">tym, zawierania umów procesowych – jest znacznie ograniczona. W postępowaniu cywilnym strony nie mogą podejmować wszystkich działań, jakie wydadzą się im odpowiednie do osiągnięcia </w:t>
      </w:r>
      <w:r w:rsidR="00AA41C4">
        <w:lastRenderedPageBreak/>
        <w:t xml:space="preserve">określonego celu i rozstrzygnięcia sprawy; mogą dokonywać jedynie tych czynności, </w:t>
      </w:r>
      <w:r w:rsidR="00983845">
        <w:t>do których </w:t>
      </w:r>
      <w:r w:rsidR="00AA41C4">
        <w:t>upoważnia je ustawa</w:t>
      </w:r>
      <w:r w:rsidR="00AA41C4">
        <w:rPr>
          <w:rStyle w:val="Odwoanieprzypisudolnego"/>
          <w:rFonts w:eastAsia="Calibri"/>
        </w:rPr>
        <w:footnoteReference w:id="9"/>
      </w:r>
      <w:r w:rsidR="00AA41C4">
        <w:t xml:space="preserve">. Przepisy ustawy muszą także określać skutek czynności procesowych. </w:t>
      </w:r>
      <w:r w:rsidR="00AA41C4">
        <w:rPr>
          <w:i/>
        </w:rPr>
        <w:t>De lege lata</w:t>
      </w:r>
      <w:r w:rsidR="00AA41C4">
        <w:t xml:space="preserve"> możliwe jest zatem zawarcie jedynie takich umów procesowych, </w:t>
      </w:r>
      <w:r w:rsidR="00983845">
        <w:t>które </w:t>
      </w:r>
      <w:r w:rsidR="00AA41C4">
        <w:t>zostały uregulowane w k.p.c., a mianowicie:</w:t>
      </w:r>
    </w:p>
    <w:p w:rsidR="00AA41C4" w:rsidRPr="002C441E" w:rsidRDefault="00AA41C4" w:rsidP="00FA77F2">
      <w:pPr>
        <w:pStyle w:val="Tekst"/>
        <w:numPr>
          <w:ilvl w:val="0"/>
          <w:numId w:val="35"/>
        </w:numPr>
        <w:spacing w:after="120"/>
        <w:ind w:left="425" w:hanging="425"/>
      </w:pPr>
      <w:r w:rsidRPr="002C441E">
        <w:t>umowa o właściwość miejscową sądu (art. 46 k.p.c.),</w:t>
      </w:r>
    </w:p>
    <w:p w:rsidR="00AA41C4" w:rsidRPr="002C441E" w:rsidRDefault="00AA41C4" w:rsidP="00FA77F2">
      <w:pPr>
        <w:pStyle w:val="Tekst"/>
        <w:numPr>
          <w:ilvl w:val="0"/>
          <w:numId w:val="35"/>
        </w:numPr>
        <w:spacing w:after="120"/>
        <w:ind w:left="425" w:hanging="425"/>
      </w:pPr>
      <w:r w:rsidRPr="002C441E">
        <w:t>umowa o mediację (art. 183</w:t>
      </w:r>
      <w:r w:rsidRPr="002C441E">
        <w:rPr>
          <w:vertAlign w:val="superscript"/>
        </w:rPr>
        <w:t>1</w:t>
      </w:r>
      <w:r w:rsidRPr="002C441E">
        <w:t xml:space="preserve"> § 2 k.p.c.),</w:t>
      </w:r>
    </w:p>
    <w:p w:rsidR="00AA41C4" w:rsidRPr="002C441E" w:rsidRDefault="00AA41C4" w:rsidP="00FA77F2">
      <w:pPr>
        <w:pStyle w:val="Tekst"/>
        <w:numPr>
          <w:ilvl w:val="0"/>
          <w:numId w:val="35"/>
        </w:numPr>
        <w:spacing w:after="120"/>
        <w:ind w:left="425" w:hanging="425"/>
      </w:pPr>
      <w:r w:rsidRPr="002C441E">
        <w:t>umowa o jurysdykcję krajową (art. 1104 i 1105 k.p.c.),</w:t>
      </w:r>
    </w:p>
    <w:p w:rsidR="00AA41C4" w:rsidRPr="002C441E" w:rsidRDefault="00AA41C4" w:rsidP="00FA77F2">
      <w:pPr>
        <w:pStyle w:val="Tekst"/>
        <w:numPr>
          <w:ilvl w:val="0"/>
          <w:numId w:val="35"/>
        </w:numPr>
        <w:spacing w:after="120"/>
        <w:ind w:left="425" w:hanging="425"/>
      </w:pPr>
      <w:r w:rsidRPr="002C441E">
        <w:t>zapis na sąd polubowny (art. 1161 § 1 k.p.c.),</w:t>
      </w:r>
    </w:p>
    <w:p w:rsidR="00AA41C4" w:rsidRPr="002C441E" w:rsidRDefault="00AA41C4" w:rsidP="00FA77F2">
      <w:pPr>
        <w:pStyle w:val="Tekst"/>
        <w:numPr>
          <w:ilvl w:val="0"/>
          <w:numId w:val="35"/>
        </w:numPr>
        <w:spacing w:after="120"/>
        <w:ind w:left="425" w:hanging="425"/>
      </w:pPr>
      <w:r w:rsidRPr="002C441E">
        <w:t>umowa o zasady i sposób postępowania przed sądem polubownym (art. 1184 § 1 k.p.c.).</w:t>
      </w:r>
    </w:p>
    <w:p w:rsidR="00AA41C4" w:rsidRDefault="00AA41C4" w:rsidP="00AA41C4">
      <w:pPr>
        <w:pStyle w:val="Tekst"/>
        <w:rPr>
          <w:sz w:val="20"/>
          <w:szCs w:val="20"/>
        </w:rPr>
      </w:pPr>
      <w:r>
        <w:t xml:space="preserve">Obecnie obowiązujące przepisy k.p.c. nie dają podstaw do zawierania innych umów procesowych, w tym – umów dowodowych i jedynie w ograniczonym zakresie pozwalają na realizację zasady dyspozycyjności w zakresie reguł postępowania dowodowego. W szczególności, brak jest przepisu, który pozwalałby na zawarcie umowy dowodowej. Strony mogą wpłynąć na zasady rządzące postępowaniem dowodowym jedynie w niewielkim zakresie (np. wyrażając zgodę </w:t>
      </w:r>
      <w:r w:rsidR="00983845">
        <w:t>na </w:t>
      </w:r>
      <w:r>
        <w:t xml:space="preserve">przeprowadzenie dowodu z zeznań świadków lub z przesłuchania stron na fakt dokonania czynności, dla której zastrzeżona została forma pisemna </w:t>
      </w:r>
      <w:r w:rsidR="002C441E">
        <w:t>dla celów dowodowych</w:t>
      </w:r>
      <w:r>
        <w:t xml:space="preserve">). Możliwe jest wprawdzie przyznanie określonych okoliczności przez stronę, co może wyeliminować konieczność przeprowadzenia na te fakty dalszych dowodów. Możliwość ta nie realizuje jednak z pewnością celów, jakie </w:t>
      </w:r>
      <w:r w:rsidR="002C441E">
        <w:t>mogłyby</w:t>
      </w:r>
      <w:r>
        <w:t xml:space="preserve"> być osiągnięte dzięki </w:t>
      </w:r>
      <w:r w:rsidR="002C441E">
        <w:t xml:space="preserve">tzw. </w:t>
      </w:r>
      <w:r>
        <w:t xml:space="preserve">umowie dowodowej. Po pierwsze, przyznanie podlega ocenie sądu (zgodnie z art. 229 k.p.c. fakty przyznane nie wymagają dowodu jedynie wówczas, gdy przyznanie nie budzi wątpliwości, a tzw. milczące przyznanie faktów, </w:t>
      </w:r>
      <w:r w:rsidR="00983845">
        <w:t>o którym </w:t>
      </w:r>
      <w:r>
        <w:t xml:space="preserve">mowa w art. 230 k.p.c. oceniane jest przy uwzględnieniu wyników całej rozprawy). </w:t>
      </w:r>
      <w:r w:rsidR="00983845">
        <w:t>Po </w:t>
      </w:r>
      <w:r>
        <w:t xml:space="preserve">drugie, ustalenie pewnych reguł związanych z postępowaniem dowodowym w umowie mogłoby nastąpić jeszcze przed wszczęciem postępowania i nie musiałoby się sprowadzać jedynie </w:t>
      </w:r>
      <w:r w:rsidR="00983845">
        <w:t>do </w:t>
      </w:r>
      <w:r>
        <w:t>wywołania skutków, jakie wynikają z wyraźnego lub milczącego przyznania faktów</w:t>
      </w:r>
      <w:r w:rsidR="00FA77F2">
        <w:t>.</w:t>
      </w:r>
    </w:p>
    <w:p w:rsidR="00AA41C4" w:rsidRDefault="00AA41C4" w:rsidP="00AA41C4">
      <w:pPr>
        <w:pStyle w:val="Tekst"/>
      </w:pPr>
      <w:r>
        <w:t>Należy podkreślić, że umowy procesowe są dopuszczalne w innych porządkach prawnych. Dopuszcza je w szerokim zakresie prawo niemieckie. Poza um</w:t>
      </w:r>
      <w:r w:rsidR="002C441E">
        <w:t>owami wyraźnie przewidzianymi w </w:t>
      </w:r>
      <w:r>
        <w:t>niemieckim kodeksie postępowania cywilnego (</w:t>
      </w:r>
      <w:r>
        <w:rPr>
          <w:i/>
        </w:rPr>
        <w:t>Zivilprozessordnung</w:t>
      </w:r>
      <w:r>
        <w:t xml:space="preserve">, ZPO), takimi </w:t>
      </w:r>
      <w:r w:rsidR="00983845">
        <w:t>jak </w:t>
      </w:r>
      <w:r>
        <w:t>przykładowo zapis na sąd polubowny, umowa prorogacyjna czy porozumienie co do skrócenia terminów innych niż prekluzyjne, za dopuszczalne uznaje się także wiele innych umów procesowych, w tym: umowę o ograniczenie środków dowodowych, umowę zrzeczenia się środka odwoławczego lub o jego cofnięcie, czy umowę ograniczającą zakres egzekucji</w:t>
      </w:r>
      <w:r>
        <w:rPr>
          <w:rStyle w:val="Odwoanieprzypisudolnego"/>
          <w:rFonts w:eastAsia="Calibri"/>
        </w:rPr>
        <w:footnoteReference w:id="10"/>
      </w:r>
      <w:r>
        <w:t xml:space="preserve">. </w:t>
      </w:r>
    </w:p>
    <w:p w:rsidR="00AA41C4" w:rsidRDefault="00AA41C4" w:rsidP="00AA41C4">
      <w:pPr>
        <w:pStyle w:val="Tekst"/>
      </w:pPr>
      <w:r>
        <w:t>Możliwość zawierania umów dotyczących określonych kwestii procesowych dopuszcza także federalne prawo amerykańskie (</w:t>
      </w:r>
      <w:r>
        <w:rPr>
          <w:i/>
        </w:rPr>
        <w:t>Federal Rules of Civil Procedure</w:t>
      </w:r>
      <w:r>
        <w:t xml:space="preserve">, FRCP). Warto wskazać, </w:t>
      </w:r>
      <w:r w:rsidR="00983845">
        <w:t>że </w:t>
      </w:r>
      <w:r>
        <w:t>umowy procesowe mogą dotyczyć m. in. kwestii doręczeń, zakresu okoliczności, jakie muszą zostać ujawnione przeciwnikowi (</w:t>
      </w:r>
      <w:r w:rsidR="00983845">
        <w:t xml:space="preserve">ang. </w:t>
      </w:r>
      <w:r>
        <w:rPr>
          <w:i/>
        </w:rPr>
        <w:t>initial disclosures</w:t>
      </w:r>
      <w:r>
        <w:t xml:space="preserve">), sposobu przeprowadzania dowodów, prawdziwości dokumentów czy znaczenia zeznań odebranych w innym postępowaniu. Wskazuje się, że prawo amerykańskie dopuszcza możliwość zawarcia przez strony, w granicach prawa, </w:t>
      </w:r>
      <w:r>
        <w:lastRenderedPageBreak/>
        <w:t xml:space="preserve">ważnych i wiążących </w:t>
      </w:r>
      <w:r w:rsidR="00983845">
        <w:t xml:space="preserve">postanowień (ang. </w:t>
      </w:r>
      <w:r w:rsidR="00983845">
        <w:rPr>
          <w:i/>
        </w:rPr>
        <w:t>s</w:t>
      </w:r>
      <w:r>
        <w:rPr>
          <w:i/>
        </w:rPr>
        <w:t>tipulations</w:t>
      </w:r>
      <w:r w:rsidR="00983845">
        <w:rPr>
          <w:i/>
        </w:rPr>
        <w:t>)</w:t>
      </w:r>
      <w:r>
        <w:t xml:space="preserve"> prawie co do każdego kroku i postępowania w sprawie</w:t>
      </w:r>
      <w:r>
        <w:rPr>
          <w:rStyle w:val="Odwoanieprzypisudolnego"/>
          <w:rFonts w:eastAsia="Calibri"/>
        </w:rPr>
        <w:footnoteReference w:id="11"/>
      </w:r>
      <w:r>
        <w:t xml:space="preserve">. Mimo oczywistych odmienności między amerykańskim systemem </w:t>
      </w:r>
      <w:r>
        <w:rPr>
          <w:i/>
        </w:rPr>
        <w:t xml:space="preserve">common law </w:t>
      </w:r>
      <w:r w:rsidR="00983845">
        <w:t>oraz </w:t>
      </w:r>
      <w:r>
        <w:t>prawem polskim, część tych rozwiązań może niewątpliwie stanowić inspirację dla zmian zwiększających możliwość re</w:t>
      </w:r>
      <w:r w:rsidR="002C441E">
        <w:t>alizacji zasady dyspozycyjności w polskim procesie cywilnym.</w:t>
      </w:r>
    </w:p>
    <w:p w:rsidR="00AA41C4" w:rsidRDefault="00D41E57" w:rsidP="00247941">
      <w:pPr>
        <w:pStyle w:val="AAAPktI"/>
        <w:spacing w:after="240"/>
      </w:pPr>
      <w:bookmarkStart w:id="4" w:name="_Toc455939464"/>
      <w:r>
        <w:t>II.</w:t>
      </w:r>
      <w:r>
        <w:tab/>
        <w:t>Szczegółowe propozycje</w:t>
      </w:r>
      <w:bookmarkEnd w:id="4"/>
    </w:p>
    <w:p w:rsidR="00AA41C4" w:rsidRDefault="00D41E57" w:rsidP="00D41E57">
      <w:pPr>
        <w:pStyle w:val="AAAPkt1"/>
      </w:pPr>
      <w:bookmarkStart w:id="5" w:name="_Toc455939465"/>
      <w:r>
        <w:t>I</w:t>
      </w:r>
      <w:r w:rsidR="002C441E">
        <w:t>I</w:t>
      </w:r>
      <w:r w:rsidR="00AA41C4">
        <w:t xml:space="preserve">.1. </w:t>
      </w:r>
      <w:r w:rsidR="00AA41C4">
        <w:tab/>
        <w:t>Przedmiot i rodzaje umów procesowych</w:t>
      </w:r>
      <w:bookmarkEnd w:id="5"/>
    </w:p>
    <w:p w:rsidR="00AA41C4" w:rsidRDefault="009C14C4" w:rsidP="00AA41C4">
      <w:pPr>
        <w:pStyle w:val="Tekst"/>
      </w:pPr>
      <w:r>
        <w:t>Jak wyżej wskazano,</w:t>
      </w:r>
      <w:r w:rsidR="00AA41C4">
        <w:t xml:space="preserve"> dopuszczalne są jedynie takie czynności procesowe, jakie zostały wprost p</w:t>
      </w:r>
      <w:r>
        <w:t xml:space="preserve">rzewidziane w przepisach k.p.c. W związku z tym, </w:t>
      </w:r>
      <w:r w:rsidRPr="009C14C4">
        <w:rPr>
          <w:b/>
        </w:rPr>
        <w:t>umowy procesowe mogłyby dotyczyć jedynie precyzyjnie określonych w przepisach aspektów postępowania cywilnego</w:t>
      </w:r>
      <w:r>
        <w:t xml:space="preserve">. </w:t>
      </w:r>
    </w:p>
    <w:p w:rsidR="00983845" w:rsidRDefault="009C14C4" w:rsidP="00247941">
      <w:pPr>
        <w:pStyle w:val="Tekst"/>
      </w:pPr>
      <w:r>
        <w:t xml:space="preserve">Poniżej przedstawiono </w:t>
      </w:r>
      <w:r w:rsidR="00A619C0">
        <w:t>rozważane w ramach koncepcji rodzaje umów procesowych</w:t>
      </w:r>
      <w:r>
        <w:t>.</w:t>
      </w:r>
      <w:bookmarkStart w:id="6" w:name="_Toc455939466"/>
    </w:p>
    <w:p w:rsidR="00AA41C4" w:rsidRPr="00D41E57" w:rsidRDefault="00FA77F2" w:rsidP="00D41E57">
      <w:pPr>
        <w:pStyle w:val="AAAPktI11"/>
      </w:pPr>
      <w:r>
        <w:t>II</w:t>
      </w:r>
      <w:r w:rsidR="00AA41C4" w:rsidRPr="00D41E57">
        <w:t xml:space="preserve">.1.1. </w:t>
      </w:r>
      <w:r w:rsidR="00AA41C4" w:rsidRPr="00D41E57">
        <w:tab/>
        <w:t>Umowy dowodowe</w:t>
      </w:r>
      <w:bookmarkEnd w:id="6"/>
    </w:p>
    <w:p w:rsidR="00AA41C4" w:rsidRDefault="009C14C4" w:rsidP="00AA41C4">
      <w:pPr>
        <w:pStyle w:val="Tekst"/>
      </w:pPr>
      <w:r>
        <w:t>Należy</w:t>
      </w:r>
      <w:r w:rsidR="00AA41C4">
        <w:t xml:space="preserve"> w szczególności </w:t>
      </w:r>
      <w:r>
        <w:t xml:space="preserve">rozważyć możliwość dopuszczenia umów procesowych dotyczących </w:t>
      </w:r>
      <w:r w:rsidR="00AA41C4">
        <w:t>zakresu i przebiegu postępowania dowodowego, a także sposobu przeprowadzania dowodów</w:t>
      </w:r>
      <w:r w:rsidR="005541D3">
        <w:rPr>
          <w:rStyle w:val="Odwoanieprzypisudolnego"/>
        </w:rPr>
        <w:footnoteReference w:id="12"/>
      </w:r>
      <w:r w:rsidR="00AA41C4">
        <w:t xml:space="preserve">. </w:t>
      </w:r>
      <w:r w:rsidR="00983845">
        <w:t>Do </w:t>
      </w:r>
      <w:r>
        <w:t>tej grupy</w:t>
      </w:r>
      <w:r w:rsidR="00AA41C4">
        <w:t xml:space="preserve"> można </w:t>
      </w:r>
      <w:r>
        <w:t xml:space="preserve">byłoby zaliczyć </w:t>
      </w:r>
      <w:r w:rsidR="00AA41C4">
        <w:t>następujące rodzaje umów:</w:t>
      </w:r>
    </w:p>
    <w:p w:rsidR="00AA41C4" w:rsidRPr="00D41E57" w:rsidRDefault="00AA41C4" w:rsidP="009C14C4">
      <w:pPr>
        <w:pStyle w:val="Tekst"/>
        <w:numPr>
          <w:ilvl w:val="0"/>
          <w:numId w:val="36"/>
        </w:numPr>
        <w:ind w:left="426"/>
      </w:pPr>
      <w:r w:rsidRPr="009C14C4">
        <w:rPr>
          <w:b/>
        </w:rPr>
        <w:t>Umowy rozszerzające lub zawężające możliwość dowodzenia</w:t>
      </w:r>
      <w:r w:rsidRPr="00D41E57">
        <w:t>, czyli określające katalog dowodów niezbędnych lub wystarczających do ustalenia przez sąd określonych faktów (</w:t>
      </w:r>
      <w:r w:rsidR="009C14C4">
        <w:t>nazywane umowami dowodowymi</w:t>
      </w:r>
      <w:r w:rsidRPr="00D41E57">
        <w:t xml:space="preserve"> </w:t>
      </w:r>
      <w:r w:rsidRPr="009C14C4">
        <w:rPr>
          <w:i/>
        </w:rPr>
        <w:t>sensu stricto</w:t>
      </w:r>
      <w:r w:rsidRPr="00D41E57">
        <w:t>). Umowy takie mogłyby w szczególności wskazywać, że dla udowodnienia pewnego faktu nie będzie konieczny dowód wymagany przez obowiązujące zasady dowodzenia (np. dla wykazania wysokości szkody wystarczy prywatna ekspertyza</w:t>
      </w:r>
      <w:r w:rsidR="009C14C4">
        <w:t>, bez konieczności przeprowadzania dowodu z opinii biegłego</w:t>
      </w:r>
      <w:r w:rsidRPr="00D41E57">
        <w:t>).</w:t>
      </w:r>
    </w:p>
    <w:p w:rsidR="00AA41C4" w:rsidRPr="00D41E57" w:rsidRDefault="00AA41C4" w:rsidP="009C14C4">
      <w:pPr>
        <w:pStyle w:val="Tekst"/>
        <w:ind w:left="426"/>
      </w:pPr>
      <w:r w:rsidRPr="00D41E57">
        <w:t xml:space="preserve">Do tej kategorii umów należałoby także zaliczyć umowy wykluczające określone dowody </w:t>
      </w:r>
      <w:r w:rsidR="00983845" w:rsidRPr="00D41E57">
        <w:t>za</w:t>
      </w:r>
      <w:r w:rsidR="00983845">
        <w:t> </w:t>
      </w:r>
      <w:r w:rsidRPr="00D41E57">
        <w:t xml:space="preserve">pomocą których strony mogłyby udowodnić określone twierdzenia o faktach (np. strony postanawiają, że osoba nie będąca ekspertem nie może potwierdzać uszkodzenia towaru), albo wskazujące, że dla wykazania określonej okoliczności nie będzie wystarczające przeprowadzenie danego dowodu. </w:t>
      </w:r>
    </w:p>
    <w:p w:rsidR="00AA41C4" w:rsidRPr="00D41E57" w:rsidRDefault="00AA41C4" w:rsidP="009C14C4">
      <w:pPr>
        <w:pStyle w:val="Tekst"/>
        <w:numPr>
          <w:ilvl w:val="0"/>
          <w:numId w:val="36"/>
        </w:numPr>
        <w:tabs>
          <w:tab w:val="left" w:pos="426"/>
        </w:tabs>
        <w:ind w:left="426" w:hanging="426"/>
      </w:pPr>
      <w:r w:rsidRPr="009C14C4">
        <w:rPr>
          <w:b/>
        </w:rPr>
        <w:t>Umowy co do przedmiotu dowodu</w:t>
      </w:r>
      <w:r w:rsidRPr="00D41E57">
        <w:t xml:space="preserve">, czyli określające okoliczności, na jakie </w:t>
      </w:r>
      <w:r w:rsidR="009C14C4">
        <w:t>konieczne jest przeprowadzenie</w:t>
      </w:r>
      <w:r w:rsidRPr="00D41E57">
        <w:t xml:space="preserve"> </w:t>
      </w:r>
      <w:r w:rsidR="009C14C4">
        <w:t>dowodu</w:t>
      </w:r>
      <w:r w:rsidRPr="00D41E57">
        <w:t xml:space="preserve">. W świetle art. 227 k.p.c., możliwe i celowe </w:t>
      </w:r>
      <w:r w:rsidR="009C14C4">
        <w:t>wydaje się</w:t>
      </w:r>
      <w:r w:rsidRPr="00D41E57">
        <w:t xml:space="preserve"> jedynie zawieranie umów co do przedmiotu dowodu w sensie negatywnym, tj. takich, które eliminują potrzebę udowodnienia pewnych twierdzeń podobnie jak prz</w:t>
      </w:r>
      <w:r w:rsidR="009C14C4">
        <w:t>yznanie w rozumieniu art. 229 i </w:t>
      </w:r>
      <w:r w:rsidRPr="00D41E57">
        <w:t xml:space="preserve">230 k.p.c. Zwiększenie zakresu okoliczności będących przedmiotem dowodu o takie, </w:t>
      </w:r>
      <w:r w:rsidR="00DF3B09" w:rsidRPr="00D41E57">
        <w:t>które</w:t>
      </w:r>
      <w:r w:rsidR="00DF3B09">
        <w:t> </w:t>
      </w:r>
      <w:r w:rsidRPr="00D41E57">
        <w:t xml:space="preserve">nie są istotne dla rozstrzygnięcia sprawy nie byłoby uzasadnione. Strony nie mogłyby również, </w:t>
      </w:r>
      <w:r w:rsidR="003D50EC">
        <w:t>c</w:t>
      </w:r>
      <w:r w:rsidRPr="00D41E57">
        <w:t>o oczywiste, modyfikować zakresu faktów istotnych z punktu widzenia przesłanek materialnoprawnych danego roszczenia.</w:t>
      </w:r>
    </w:p>
    <w:p w:rsidR="00AA41C4" w:rsidRPr="00D41E57" w:rsidRDefault="00AA41C4" w:rsidP="009C14C4">
      <w:pPr>
        <w:pStyle w:val="Tekst"/>
        <w:numPr>
          <w:ilvl w:val="0"/>
          <w:numId w:val="36"/>
        </w:numPr>
        <w:ind w:left="426" w:hanging="426"/>
      </w:pPr>
      <w:r w:rsidRPr="009C14C4">
        <w:rPr>
          <w:b/>
        </w:rPr>
        <w:lastRenderedPageBreak/>
        <w:t>Umowy co do rozkładu ciężaru udowodnienia</w:t>
      </w:r>
      <w:r w:rsidRPr="00D41E57">
        <w:t xml:space="preserve"> (</w:t>
      </w:r>
      <w:r w:rsidRPr="009C14C4">
        <w:rPr>
          <w:i/>
        </w:rPr>
        <w:t>onus probandi</w:t>
      </w:r>
      <w:r w:rsidRPr="00D41E57">
        <w:t xml:space="preserve">) </w:t>
      </w:r>
      <w:r w:rsidR="009326E3">
        <w:t>można</w:t>
      </w:r>
      <w:r w:rsidRPr="00D41E57">
        <w:t xml:space="preserve"> uznać </w:t>
      </w:r>
      <w:r w:rsidR="00DF3B09" w:rsidRPr="00D41E57">
        <w:t>za</w:t>
      </w:r>
      <w:r w:rsidR="00DF3B09">
        <w:t> </w:t>
      </w:r>
      <w:r w:rsidRPr="00D41E57">
        <w:t>dopuszczalne, ale tylko w zakresie stosunków podlegających normom</w:t>
      </w:r>
      <w:r w:rsidR="009C14C4">
        <w:t xml:space="preserve"> względnie wiążącym</w:t>
      </w:r>
      <w:r w:rsidRPr="00D41E57">
        <w:t xml:space="preserve"> </w:t>
      </w:r>
      <w:r w:rsidR="009C14C4">
        <w:t>(przepisom o charakterze dyspozytywnym)</w:t>
      </w:r>
      <w:r w:rsidRPr="00D41E57">
        <w:t xml:space="preserve">. </w:t>
      </w:r>
    </w:p>
    <w:p w:rsidR="00AA41C4" w:rsidRPr="00D41E57" w:rsidRDefault="00AA41C4" w:rsidP="009C14C4">
      <w:pPr>
        <w:pStyle w:val="Tekst"/>
        <w:numPr>
          <w:ilvl w:val="0"/>
          <w:numId w:val="36"/>
        </w:numPr>
        <w:ind w:left="426" w:hanging="426"/>
      </w:pPr>
      <w:r w:rsidRPr="00443C9C">
        <w:rPr>
          <w:b/>
        </w:rPr>
        <w:t>Umowy regulujące sposób przeprowadzenia dowodu</w:t>
      </w:r>
      <w:r w:rsidRPr="00D41E57">
        <w:t xml:space="preserve">, np. wskazujące na możliwość </w:t>
      </w:r>
      <w:r w:rsidR="00DF3B09" w:rsidRPr="00D41E57">
        <w:t>lub</w:t>
      </w:r>
      <w:r w:rsidR="00DF3B09">
        <w:t> </w:t>
      </w:r>
      <w:r w:rsidRPr="00D41E57">
        <w:t>konieczność przesłuchania świad</w:t>
      </w:r>
      <w:r w:rsidR="00443C9C">
        <w:t xml:space="preserve">ka w obecności eksperta, </w:t>
      </w:r>
      <w:r w:rsidRPr="00D41E57">
        <w:t xml:space="preserve">przesłuchania świadka </w:t>
      </w:r>
      <w:r w:rsidR="00DF3B09">
        <w:t>poza </w:t>
      </w:r>
      <w:r w:rsidR="00443C9C">
        <w:t xml:space="preserve">sądem czy </w:t>
      </w:r>
      <w:r w:rsidRPr="00D41E57">
        <w:t>w drodze wideokonferencji.</w:t>
      </w:r>
    </w:p>
    <w:p w:rsidR="00AA41C4" w:rsidRPr="00D41E57" w:rsidRDefault="00443C9C" w:rsidP="00AA41C4">
      <w:pPr>
        <w:pStyle w:val="Tekst"/>
      </w:pPr>
      <w:r>
        <w:t xml:space="preserve">Spośród szczegółowych rozwiązań, jakie mogłyby przewidywać umowy </w:t>
      </w:r>
      <w:r w:rsidR="00865622">
        <w:t>dowodowe</w:t>
      </w:r>
      <w:r>
        <w:t>, należy rozważać</w:t>
      </w:r>
      <w:r w:rsidR="00AA41C4">
        <w:t>:</w:t>
      </w:r>
    </w:p>
    <w:p w:rsidR="00AA41C4" w:rsidRDefault="00AA41C4" w:rsidP="00443C9C">
      <w:pPr>
        <w:pStyle w:val="Tekst"/>
        <w:numPr>
          <w:ilvl w:val="0"/>
          <w:numId w:val="37"/>
        </w:numPr>
        <w:spacing w:after="120"/>
        <w:ind w:left="425" w:hanging="425"/>
      </w:pPr>
      <w:r>
        <w:t>wiążące dla stron powoływanie eksperta (rzeczoznawcy)</w:t>
      </w:r>
      <w:r w:rsidR="00443C9C">
        <w:t xml:space="preserve"> już na etapie realizacji umowy</w:t>
      </w:r>
      <w:r w:rsidR="00DF3B09">
        <w:t>,</w:t>
      </w:r>
    </w:p>
    <w:p w:rsidR="00443C9C" w:rsidRDefault="00AA41C4" w:rsidP="00443C9C">
      <w:pPr>
        <w:pStyle w:val="Tekst"/>
        <w:numPr>
          <w:ilvl w:val="0"/>
          <w:numId w:val="37"/>
        </w:numPr>
        <w:spacing w:after="120"/>
        <w:ind w:left="425" w:hanging="425"/>
      </w:pPr>
      <w:r>
        <w:t>ograniczenie możliwości dopuszczania i przeprowadzania dowodu z opinii biegłego (np. tylko przez sąd z</w:t>
      </w:r>
      <w:r w:rsidR="00443C9C">
        <w:t xml:space="preserve"> </w:t>
      </w:r>
      <w:r>
        <w:t xml:space="preserve">urzędu lub tylko w zakresie zarzutów przedstawionych </w:t>
      </w:r>
      <w:r w:rsidR="00443C9C">
        <w:t>do ekspertyzy rzeczoznawcy)</w:t>
      </w:r>
      <w:r w:rsidR="00DF3B09">
        <w:t>,</w:t>
      </w:r>
    </w:p>
    <w:p w:rsidR="00AA41C4" w:rsidRDefault="00AA41C4" w:rsidP="00443C9C">
      <w:pPr>
        <w:pStyle w:val="Tekst"/>
        <w:numPr>
          <w:ilvl w:val="0"/>
          <w:numId w:val="37"/>
        </w:numPr>
        <w:spacing w:after="120"/>
        <w:ind w:left="425" w:hanging="425"/>
      </w:pPr>
      <w:r>
        <w:t>możliwość przesłuchania rzeczoznawcy przez sąd przy odpowiednim zastosowaniu przepisów o biegłym</w:t>
      </w:r>
      <w:r w:rsidR="00DF3B09">
        <w:t>,</w:t>
      </w:r>
    </w:p>
    <w:p w:rsidR="00AA41C4" w:rsidRDefault="00AA41C4" w:rsidP="00443C9C">
      <w:pPr>
        <w:pStyle w:val="Tekst"/>
        <w:numPr>
          <w:ilvl w:val="0"/>
          <w:numId w:val="37"/>
        </w:numPr>
        <w:spacing w:after="120"/>
        <w:ind w:left="425" w:hanging="425"/>
      </w:pPr>
      <w:r>
        <w:t xml:space="preserve">przesłuchanie świadków przez strony np. przed notariuszem i złożenie w sądzie nagrania </w:t>
      </w:r>
      <w:r w:rsidR="00DF3B09">
        <w:t>lub </w:t>
      </w:r>
      <w:r>
        <w:t xml:space="preserve">zeznań na piśmie z podpisem notarialnie poświadczonym (stawiennictwo świadka </w:t>
      </w:r>
      <w:r w:rsidR="009326E3">
        <w:t xml:space="preserve">byłoby </w:t>
      </w:r>
      <w:r>
        <w:t>dobrowolne)</w:t>
      </w:r>
      <w:r w:rsidR="00DF3B09">
        <w:t>,</w:t>
      </w:r>
    </w:p>
    <w:p w:rsidR="00AA41C4" w:rsidRDefault="00AA41C4" w:rsidP="00443C9C">
      <w:pPr>
        <w:pStyle w:val="Tekst"/>
        <w:numPr>
          <w:ilvl w:val="0"/>
          <w:numId w:val="37"/>
        </w:numPr>
        <w:spacing w:after="120"/>
        <w:ind w:left="425" w:hanging="425"/>
      </w:pPr>
      <w:r>
        <w:t>ograniczenie postępowania dowodowego do określonego typu środków dowodowych np</w:t>
      </w:r>
      <w:r w:rsidR="00DF3B09">
        <w:t>. przy </w:t>
      </w:r>
      <w:r>
        <w:t>zarzucie potrącenia</w:t>
      </w:r>
      <w:r w:rsidR="00DF3B09">
        <w:t>,</w:t>
      </w:r>
    </w:p>
    <w:p w:rsidR="00AA41C4" w:rsidRDefault="00AA41C4" w:rsidP="00443C9C">
      <w:pPr>
        <w:pStyle w:val="Tekst"/>
        <w:numPr>
          <w:ilvl w:val="0"/>
          <w:numId w:val="37"/>
        </w:numPr>
        <w:spacing w:after="120"/>
        <w:ind w:left="425" w:hanging="425"/>
      </w:pPr>
      <w:r>
        <w:t>wprowadzenie jako zasady orzekania przez sąd na z</w:t>
      </w:r>
      <w:r w:rsidR="00443C9C">
        <w:t>asadzie z art. 322 k.p.c. tj. w </w:t>
      </w:r>
      <w:r>
        <w:t xml:space="preserve">przypadkach, gdy ustalenie </w:t>
      </w:r>
      <w:r w:rsidR="00754CDA">
        <w:t xml:space="preserve">wysokości </w:t>
      </w:r>
      <w:r>
        <w:t xml:space="preserve">kwoty </w:t>
      </w:r>
      <w:r w:rsidR="009326E3">
        <w:t xml:space="preserve">jest utrudnione – </w:t>
      </w:r>
      <w:r>
        <w:t xml:space="preserve">zasądzanie odpowiedniej kwoty </w:t>
      </w:r>
      <w:r w:rsidR="009326E3">
        <w:t xml:space="preserve">na podstawie wszystkich okoliczności sprawy </w:t>
      </w:r>
      <w:r>
        <w:t xml:space="preserve">bez konieczności </w:t>
      </w:r>
      <w:r w:rsidR="009326E3">
        <w:t>przeprowadzania</w:t>
      </w:r>
      <w:r>
        <w:t xml:space="preserve"> dowodu z opinii biegłego.</w:t>
      </w:r>
    </w:p>
    <w:p w:rsidR="00AA41C4" w:rsidRDefault="00443C9C" w:rsidP="00AA41C4">
      <w:pPr>
        <w:pStyle w:val="Tekst"/>
      </w:pPr>
      <w:r>
        <w:t>Wydaje się</w:t>
      </w:r>
      <w:r w:rsidR="00AA41C4">
        <w:t xml:space="preserve">, </w:t>
      </w:r>
      <w:r>
        <w:t xml:space="preserve">że </w:t>
      </w:r>
      <w:r w:rsidR="00AA41C4">
        <w:t xml:space="preserve">strony nie powinny móc modyfikować zasad koncentracji materiału w sposób, </w:t>
      </w:r>
      <w:r w:rsidR="00DF3B09">
        <w:t>który </w:t>
      </w:r>
      <w:r w:rsidR="00AA41C4">
        <w:t xml:space="preserve">zauważalnie przedłuży postępowanie w sprawie, </w:t>
      </w:r>
      <w:r>
        <w:t xml:space="preserve">a zwłaszcza – </w:t>
      </w:r>
      <w:r w:rsidR="00AA41C4">
        <w:t xml:space="preserve">zmusi sąd do podejmowania dodatkowych czynności procesowych, których dokonanie nie byłoby konieczne w braku umowy dowodowej. Dopuszczalne wydaje się natomiast, by strony, podobnie jak sąd w przypadku o którym mowa w art. 207 § 3 k.p.c., mogły określić porządek składania pism, termin, </w:t>
      </w:r>
      <w:r w:rsidR="00DF3B09">
        <w:t>w którym </w:t>
      </w:r>
      <w:r w:rsidR="00AA41C4">
        <w:t xml:space="preserve">należy je złożyć, i okoliczności, które mają być wyjaśnione (mogłoby to oczywiście mieć miejsce jedynie przypadku, gdy umowa procesowa zostaje zawarta już po wszczęciu postępowania). </w:t>
      </w:r>
    </w:p>
    <w:p w:rsidR="00AA41C4" w:rsidRDefault="00AA41C4" w:rsidP="00AA41C4">
      <w:pPr>
        <w:pStyle w:val="Tekst"/>
      </w:pPr>
      <w:r>
        <w:t xml:space="preserve">Rozważenia wymaga także, czy w umowie procesowej wszczętej przed wytoczeniem powództwa strony mogłyby przewidzieć obowiązek </w:t>
      </w:r>
      <w:r w:rsidR="009326E3">
        <w:t>wyznaczenia</w:t>
      </w:r>
      <w:r>
        <w:t xml:space="preserve"> posiedzenia, o którym mowa w art. 207 </w:t>
      </w:r>
      <w:r w:rsidR="00DF3B09">
        <w:t>§ </w:t>
      </w:r>
      <w:r>
        <w:t>3 k.p.c. przez sąd.</w:t>
      </w:r>
    </w:p>
    <w:p w:rsidR="00AA41C4" w:rsidRDefault="00443C9C" w:rsidP="00AA41C4">
      <w:pPr>
        <w:pStyle w:val="Tekst"/>
      </w:pPr>
      <w:r>
        <w:t>Zgodnie z koncepcją, s</w:t>
      </w:r>
      <w:r w:rsidR="00AA41C4">
        <w:t>trony nie mogłyby umową procesową wyłączyć zastosowania art. 232 zd. 2 k.p.c., tj. nie mogłyby pozbawić sądu możliwości dopuszczenia dowodu z urzędu. Rozważenia wymaga jednak, czy w przypadku zawarcia umowy dow</w:t>
      </w:r>
      <w:r>
        <w:t>odowej możliwość dopuszczenia i </w:t>
      </w:r>
      <w:r w:rsidR="00AA41C4">
        <w:t xml:space="preserve">przeprowadzenia dowodu z urzędu przez sąd nie powinna być wprost ograniczona do </w:t>
      </w:r>
      <w:r w:rsidR="00AA41C4">
        <w:lastRenderedPageBreak/>
        <w:t>wyjątkowych przypadków, tj. do sytuacji, w której brak takiej decyzji sądu spowodowałby rażące naruszenie interesów jednej ze stron, występuje rażąca nieporadność strony lub ryzyko przeprowadzenia procesu fikcyjnego.</w:t>
      </w:r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shd w:val="clear" w:color="auto" w:fill="F3F7FB"/>
        <w:tblLook w:val="04A0" w:firstRow="1" w:lastRow="0" w:firstColumn="1" w:lastColumn="0" w:noHBand="0" w:noVBand="1"/>
      </w:tblPr>
      <w:tblGrid>
        <w:gridCol w:w="9747"/>
      </w:tblGrid>
      <w:tr w:rsidR="00386280" w:rsidRPr="00B966A6" w:rsidTr="00FA77F2">
        <w:tc>
          <w:tcPr>
            <w:tcW w:w="9747" w:type="dxa"/>
            <w:shd w:val="clear" w:color="auto" w:fill="F3F7FB"/>
          </w:tcPr>
          <w:p w:rsidR="00386280" w:rsidRPr="002A2C8D" w:rsidRDefault="00386280" w:rsidP="0033312E">
            <w:pPr>
              <w:pStyle w:val="AAATekst"/>
              <w:rPr>
                <w:b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color w:val="244061" w:themeColor="accent1" w:themeShade="80"/>
                <w:sz w:val="22"/>
                <w:szCs w:val="22"/>
              </w:rPr>
              <w:t>Pytania:</w:t>
            </w:r>
          </w:p>
          <w:p w:rsidR="00386280" w:rsidRPr="00386280" w:rsidRDefault="00386280" w:rsidP="0033312E">
            <w:pPr>
              <w:pStyle w:val="Tekst"/>
              <w:spacing w:after="120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1. </w:t>
            </w:r>
            <w:r>
              <w:rPr>
                <w:color w:val="244061" w:themeColor="accent1" w:themeShade="80"/>
              </w:rPr>
              <w:t>Które z opisanych rodzajów umów dowodowych należy dopuścić?</w:t>
            </w:r>
          </w:p>
          <w:p w:rsidR="00386280" w:rsidRDefault="00386280" w:rsidP="0033312E">
            <w:pPr>
              <w:pStyle w:val="Tekst"/>
              <w:spacing w:after="120"/>
            </w:pPr>
            <w:r w:rsidRPr="00386280">
              <w:rPr>
                <w:b/>
                <w:color w:val="244061" w:themeColor="accent1" w:themeShade="80"/>
              </w:rPr>
              <w:t>2.</w:t>
            </w:r>
            <w:r>
              <w:rPr>
                <w:color w:val="244061" w:themeColor="accent1" w:themeShade="80"/>
              </w:rPr>
              <w:t xml:space="preserve"> </w:t>
            </w:r>
            <w:r w:rsidRPr="004C1A2B">
              <w:rPr>
                <w:color w:val="244061" w:themeColor="accent1" w:themeShade="80"/>
              </w:rPr>
              <w:t xml:space="preserve">Czy w przypadku zawarcia umowy </w:t>
            </w:r>
            <w:r>
              <w:rPr>
                <w:color w:val="244061" w:themeColor="accent1" w:themeShade="80"/>
              </w:rPr>
              <w:t>dowodowej</w:t>
            </w:r>
            <w:r w:rsidRPr="004C1A2B">
              <w:rPr>
                <w:color w:val="244061" w:themeColor="accent1" w:themeShade="80"/>
              </w:rPr>
              <w:t xml:space="preserve"> możliwość dopuszczenia dowodu z urzędu należy istotnie ograniczyć? Czy należałoby wskazać, że umowa procesowa nie może wyłączać uprawnienia jednej ze stron do żądania przeprowadzenia dowodu z opinii biegłego?</w:t>
            </w:r>
          </w:p>
          <w:p w:rsidR="00386280" w:rsidRPr="00386280" w:rsidRDefault="00386280" w:rsidP="0033312E">
            <w:pPr>
              <w:pStyle w:val="Tekst"/>
              <w:spacing w:after="120"/>
              <w:rPr>
                <w:color w:val="244061" w:themeColor="accent1" w:themeShade="80"/>
              </w:rPr>
            </w:pPr>
            <w:r w:rsidRPr="00386280">
              <w:rPr>
                <w:b/>
                <w:color w:val="244061" w:themeColor="accent1" w:themeShade="80"/>
              </w:rPr>
              <w:t>3.</w:t>
            </w:r>
            <w:r w:rsidRPr="00386280">
              <w:rPr>
                <w:color w:val="244061" w:themeColor="accent1" w:themeShade="80"/>
              </w:rPr>
              <w:t xml:space="preserve"> Czy umowa dowodowa mogłaby zobowiązywać sąd do oszacowania wysokości należnej powodowi kwoty, przy uwzględnieniu wszystkich okoliczności sprawy</w:t>
            </w:r>
            <w:r>
              <w:rPr>
                <w:color w:val="244061" w:themeColor="accent1" w:themeShade="80"/>
              </w:rPr>
              <w:t xml:space="preserve"> (art. 322 k.p.c.)</w:t>
            </w:r>
            <w:r w:rsidRPr="00386280">
              <w:rPr>
                <w:color w:val="244061" w:themeColor="accent1" w:themeShade="80"/>
              </w:rPr>
              <w:t>?</w:t>
            </w:r>
          </w:p>
          <w:p w:rsidR="00386280" w:rsidRPr="0033312E" w:rsidRDefault="00386280" w:rsidP="0033312E">
            <w:pPr>
              <w:pStyle w:val="Tekst"/>
              <w:spacing w:after="120"/>
              <w:rPr>
                <w:color w:val="244061" w:themeColor="accent1" w:themeShade="80"/>
              </w:rPr>
            </w:pPr>
            <w:r w:rsidRPr="00386280">
              <w:rPr>
                <w:b/>
                <w:color w:val="244061" w:themeColor="accent1" w:themeShade="80"/>
              </w:rPr>
              <w:t>4.</w:t>
            </w:r>
            <w:r w:rsidRPr="00386280">
              <w:rPr>
                <w:color w:val="244061" w:themeColor="accent1" w:themeShade="80"/>
              </w:rPr>
              <w:t xml:space="preserve"> Czy strony w umowie dowodowej powinny mieć możliwość modyfikacji zasad koncentracji materiału dowodowego, przewidzianych w art. 207 i </w:t>
            </w:r>
            <w:r w:rsidR="00DF3B09">
              <w:rPr>
                <w:color w:val="244061" w:themeColor="accent1" w:themeShade="80"/>
              </w:rPr>
              <w:t xml:space="preserve">art. </w:t>
            </w:r>
            <w:r w:rsidRPr="00386280">
              <w:rPr>
                <w:color w:val="244061" w:themeColor="accent1" w:themeShade="80"/>
              </w:rPr>
              <w:t>217 k.p.c.?</w:t>
            </w:r>
          </w:p>
        </w:tc>
      </w:tr>
    </w:tbl>
    <w:p w:rsidR="00AA41C4" w:rsidRPr="00D41E57" w:rsidRDefault="00FA77F2" w:rsidP="00D41E57">
      <w:pPr>
        <w:pStyle w:val="AAAPktI11"/>
      </w:pPr>
      <w:bookmarkStart w:id="7" w:name="_Toc455939467"/>
      <w:r>
        <w:t>I</w:t>
      </w:r>
      <w:r w:rsidR="00D41E57">
        <w:t>I</w:t>
      </w:r>
      <w:r w:rsidR="00AA41C4" w:rsidRPr="00D41E57">
        <w:t xml:space="preserve">.1.2. </w:t>
      </w:r>
      <w:r w:rsidR="00AA41C4" w:rsidRPr="00D41E57">
        <w:tab/>
        <w:t>Inne umowy procesowe</w:t>
      </w:r>
      <w:bookmarkEnd w:id="7"/>
    </w:p>
    <w:p w:rsidR="00AA41C4" w:rsidRDefault="00865622" w:rsidP="00AA41C4">
      <w:pPr>
        <w:pStyle w:val="Tekst"/>
      </w:pPr>
      <w:r w:rsidRPr="00865622">
        <w:rPr>
          <w:b/>
        </w:rPr>
        <w:t>[Inne czynności dyspozycyjne]</w:t>
      </w:r>
      <w:r>
        <w:t xml:space="preserve"> </w:t>
      </w:r>
      <w:r w:rsidR="00443C9C">
        <w:t>Kolejną kwestią wymagającą rozważenia jest to, czy</w:t>
      </w:r>
      <w:r w:rsidR="00AA41C4">
        <w:t xml:space="preserve"> </w:t>
      </w:r>
      <w:r w:rsidR="00443C9C">
        <w:t>umowy procesowe mogłyby</w:t>
      </w:r>
      <w:r w:rsidR="00AA41C4">
        <w:t xml:space="preserve"> dotyczyć również innych czynności będących przejawem zasady dyspozycyjności. Wydaje się, że w świetle tej zasady </w:t>
      </w:r>
      <w:r w:rsidR="00443C9C">
        <w:t>możliwe byłoby</w:t>
      </w:r>
      <w:r w:rsidR="00AA41C4">
        <w:t xml:space="preserve"> </w:t>
      </w:r>
      <w:r w:rsidR="00443C9C">
        <w:t>zezwolenie</w:t>
      </w:r>
      <w:r w:rsidR="00AA41C4">
        <w:t xml:space="preserve"> stronom </w:t>
      </w:r>
      <w:r w:rsidR="00DF3B09">
        <w:t>na </w:t>
      </w:r>
      <w:r w:rsidR="00AA41C4" w:rsidRPr="00443C9C">
        <w:rPr>
          <w:b/>
        </w:rPr>
        <w:t>dobrowolne ograniczenie lub nawet wyłączenie</w:t>
      </w:r>
      <w:r w:rsidR="00AA41C4">
        <w:t xml:space="preserve"> możliwości </w:t>
      </w:r>
      <w:r w:rsidR="00443C9C">
        <w:t xml:space="preserve">podnoszenia w procesie </w:t>
      </w:r>
      <w:r w:rsidR="00443C9C" w:rsidRPr="00443C9C">
        <w:rPr>
          <w:b/>
        </w:rPr>
        <w:t>zarzutu potrącenia</w:t>
      </w:r>
      <w:r w:rsidR="00443C9C">
        <w:t xml:space="preserve">, </w:t>
      </w:r>
      <w:r w:rsidR="00443C9C" w:rsidRPr="00443C9C">
        <w:rPr>
          <w:b/>
        </w:rPr>
        <w:t xml:space="preserve">dokonywania </w:t>
      </w:r>
      <w:r w:rsidR="00AA41C4" w:rsidRPr="00443C9C">
        <w:rPr>
          <w:b/>
        </w:rPr>
        <w:t>zmiany powództwa</w:t>
      </w:r>
      <w:r w:rsidR="00AA41C4">
        <w:t xml:space="preserve"> czy </w:t>
      </w:r>
      <w:r w:rsidR="00443C9C" w:rsidRPr="00443C9C">
        <w:rPr>
          <w:b/>
        </w:rPr>
        <w:t>wnoszenia</w:t>
      </w:r>
      <w:r w:rsidR="00AA41C4" w:rsidRPr="00443C9C">
        <w:rPr>
          <w:b/>
        </w:rPr>
        <w:t xml:space="preserve"> pozwu wzajemnego</w:t>
      </w:r>
      <w:r w:rsidR="00AA41C4">
        <w:t xml:space="preserve">. Trzeba jednak zastrzec, że tego rodzaju umowa nie </w:t>
      </w:r>
      <w:r w:rsidR="00443C9C">
        <w:t>mogłaby</w:t>
      </w:r>
      <w:r w:rsidR="00AA41C4">
        <w:t xml:space="preserve"> zasadniczo wykluczać możliwości wytoczenia odrębnego powództwa (abstrahując od tego, że zawarcie takiej umowy procesowej </w:t>
      </w:r>
      <w:r w:rsidR="00DF3B09">
        <w:t>już </w:t>
      </w:r>
      <w:r w:rsidR="00AA41C4">
        <w:t xml:space="preserve">po powstaniu roszczenia mogłoby stanowić jednocześnie zrzeczenie się roszczenia, </w:t>
      </w:r>
      <w:r w:rsidR="00DF3B09">
        <w:t>co </w:t>
      </w:r>
      <w:r w:rsidR="00AA41C4">
        <w:t>każdorazowo wymagałoby oceny w świetle przepisów prawa materialnego).</w:t>
      </w:r>
    </w:p>
    <w:p w:rsidR="00865622" w:rsidRDefault="00865622" w:rsidP="00AA41C4">
      <w:pPr>
        <w:pStyle w:val="Tekst"/>
      </w:pPr>
      <w:r w:rsidRPr="00865622">
        <w:rPr>
          <w:b/>
        </w:rPr>
        <w:t>[Możliwość zaskarżenia wyroku]</w:t>
      </w:r>
      <w:r>
        <w:t xml:space="preserve"> Ponadto, można zastanawiać się, czy umowa procesowa mogłaby </w:t>
      </w:r>
      <w:r w:rsidRPr="00865622">
        <w:rPr>
          <w:b/>
        </w:rPr>
        <w:t>wyłączyć lub ograniczyć</w:t>
      </w:r>
      <w:r>
        <w:t xml:space="preserve"> </w:t>
      </w:r>
      <w:r w:rsidRPr="00865622">
        <w:rPr>
          <w:b/>
        </w:rPr>
        <w:t>możliwość zaskarżenia wyroku sądu I instancji</w:t>
      </w:r>
      <w:r>
        <w:t>. Wydaje się, że strony w umowie procesowej mogłyby np. wskazać, że dopuszczalne będą jedynie określone zarzuty (na wzór podstaw kasacyjnych czy zarzutów apelac</w:t>
      </w:r>
      <w:r w:rsidR="00777214">
        <w:t xml:space="preserve">ji w postępowaniu uproszczonym), czy też, że wniesienie apelacji będzie możliwe jedynie w razie wniesienia </w:t>
      </w:r>
      <w:r w:rsidR="00DF3B09">
        <w:t>przez </w:t>
      </w:r>
      <w:r w:rsidR="00777214">
        <w:t>skarżącego odpowiedniego zabezpieczenia.</w:t>
      </w:r>
    </w:p>
    <w:p w:rsidR="00AA41C4" w:rsidRDefault="00865622" w:rsidP="00AA41C4">
      <w:pPr>
        <w:pStyle w:val="Tekst"/>
      </w:pPr>
      <w:r w:rsidRPr="00865622">
        <w:rPr>
          <w:b/>
        </w:rPr>
        <w:t>[Doręczenia]</w:t>
      </w:r>
      <w:r>
        <w:t xml:space="preserve"> </w:t>
      </w:r>
      <w:r w:rsidR="00AA41C4">
        <w:t xml:space="preserve">Należy także rozważyć możliwość modyfikacji przez strony w umowie procesowej kwestii doręczeń dokonywanych w toku postępowania. Przepisy k.p.c. dotyczące doręczeń mają charakter </w:t>
      </w:r>
      <w:r w:rsidR="00AA41C4" w:rsidRPr="00865622">
        <w:rPr>
          <w:i/>
        </w:rPr>
        <w:t>iuris cogentis</w:t>
      </w:r>
      <w:r w:rsidR="00AA41C4">
        <w:t xml:space="preserve">. Nie oznacza to jednak, że ustawodawca uznaje zasadę oficjalności doręczeń za bezwzględną. Wyjątek od niej – mający swe źródła jeszcze w okresie międzywojennym – stanowi doręczenie bezpośrednie, przewidziane w art. 132 k.p.c. Warto zaznaczyć, że ostatnie zmiany legislacyjne zmierzają do odformalizowania  wykazywania doręczenia pisma drugiej stronie bezpośrednio – z dniem 8 września 2016 r. wymóg załączenia </w:t>
      </w:r>
      <w:r w:rsidR="00DF3B09">
        <w:t>do </w:t>
      </w:r>
      <w:r w:rsidR="00AA41C4">
        <w:t xml:space="preserve">pisma procesowego doręczanego bezpośrednio zostanie zmieniony na obowiązek złożenia oświadczenia o doręczeniu lub nadaniu pisma. W tej samej nowelizacji k.p.c. dopuszczono szeroką możliwość dokonywania doręczeń elektronicznych przez sąd (za pomocą systemu </w:t>
      </w:r>
      <w:r w:rsidR="00AA41C4">
        <w:lastRenderedPageBreak/>
        <w:t>teleinformatycznego). Pisma mają być doręczane elektronicznie w każdym przypadku, gdy adresat wniósł pismo za pomocą systemu teleinformatycznego albo dokonał wyboru takiego sposobu doręczania pism.</w:t>
      </w:r>
    </w:p>
    <w:p w:rsidR="00AA41C4" w:rsidRDefault="00AA41C4" w:rsidP="00AA41C4">
      <w:pPr>
        <w:pStyle w:val="Tekst"/>
      </w:pPr>
      <w:r>
        <w:t xml:space="preserve">W związku z powyższym, </w:t>
      </w:r>
      <w:r w:rsidR="00865622">
        <w:t>wydaje się, że</w:t>
      </w:r>
      <w:r>
        <w:t xml:space="preserve"> </w:t>
      </w:r>
      <w:r w:rsidR="00865622">
        <w:t>można dopuścić</w:t>
      </w:r>
      <w:r>
        <w:t xml:space="preserve"> możliwość uregulowania przez strony doręczeń w umowie procesowej. Strony mogłyby przykładowo postanowić, że wzajemne doręczenia będą dokonywane elektronicznie (np. za pośrednictwem poczty e-mail na wskazany adres) z obowiązkiem poinformowania sądu o nadaniu lub doręczeniu pisma drogą elektroniczną.</w:t>
      </w:r>
    </w:p>
    <w:p w:rsidR="00AA41C4" w:rsidRDefault="00AA41C4" w:rsidP="00A619C0">
      <w:pPr>
        <w:pStyle w:val="Tekst"/>
      </w:pPr>
      <w:r>
        <w:t>Ponadto, można także rozważać uregulowanie w umowie p</w:t>
      </w:r>
      <w:r w:rsidR="00A619C0">
        <w:t xml:space="preserve">rocesowej </w:t>
      </w:r>
      <w:r>
        <w:t>zobowiązani</w:t>
      </w:r>
      <w:r w:rsidR="00A619C0">
        <w:t>a</w:t>
      </w:r>
      <w:r>
        <w:t xml:space="preserve"> stron </w:t>
      </w:r>
      <w:r w:rsidR="00DF3B09">
        <w:t>do </w:t>
      </w:r>
      <w:r>
        <w:t>zapewnienia stawiennictwa świadków na rozprawie bez dokonania doręczeń przez s</w:t>
      </w:r>
      <w:r w:rsidR="00865622">
        <w:t>ąd (można przewidzieć</w:t>
      </w:r>
      <w:r>
        <w:t xml:space="preserve"> </w:t>
      </w:r>
      <w:r w:rsidR="00865622">
        <w:t xml:space="preserve">np. </w:t>
      </w:r>
      <w:r>
        <w:t xml:space="preserve">tryb </w:t>
      </w:r>
      <w:r w:rsidR="009326E3">
        <w:t>przekazywania</w:t>
      </w:r>
      <w:r>
        <w:t xml:space="preserve"> stronie formalnego wezwania dla świadka, któr</w:t>
      </w:r>
      <w:r w:rsidR="00865622">
        <w:t>e</w:t>
      </w:r>
      <w:r>
        <w:t xml:space="preserve"> będzie mogła doręczyć samodziel</w:t>
      </w:r>
      <w:r w:rsidR="00FA77F2">
        <w:t>nie).</w:t>
      </w:r>
      <w:r>
        <w:t xml:space="preserve"> </w:t>
      </w:r>
    </w:p>
    <w:p w:rsidR="00AA41C4" w:rsidRDefault="00AA41C4" w:rsidP="00AA41C4">
      <w:pPr>
        <w:pStyle w:val="Tekst"/>
      </w:pPr>
      <w:r>
        <w:t>W związku z faktem, że oficjalność doręczeń w postępowaniach sądowych, w tym zwłaszcza oczekiwanie przez sąd na dowody doręczenia zawiadomień i wezwań, znacznie przedłużają postępowania cywilne, uregulowanie przejawów zasady dyspozycyjności również w tym obszarze mogłoby usprawnić przebieg procesów w sprawach cywilnych.</w:t>
      </w:r>
    </w:p>
    <w:p w:rsidR="00AA41C4" w:rsidRDefault="00865622" w:rsidP="00AA41C4">
      <w:pPr>
        <w:pStyle w:val="Tekst"/>
      </w:pPr>
      <w:r w:rsidRPr="00865622">
        <w:rPr>
          <w:b/>
        </w:rPr>
        <w:t>[Inne kwestie]</w:t>
      </w:r>
      <w:r>
        <w:t xml:space="preserve"> </w:t>
      </w:r>
      <w:r w:rsidR="00AA41C4">
        <w:t xml:space="preserve">Rozwiązaniem, które mogłoby istotnie przyspieszyć postępowanie </w:t>
      </w:r>
      <w:r w:rsidR="00A619C0">
        <w:t>byłaby</w:t>
      </w:r>
      <w:r w:rsidR="00AA41C4">
        <w:t xml:space="preserve"> możliwość zobowiązania sądu przez strony do wskazania przed wydaniem wyroku</w:t>
      </w:r>
      <w:r w:rsidR="00A01F24">
        <w:t xml:space="preserve"> </w:t>
      </w:r>
      <w:r w:rsidR="00AA41C4">
        <w:t xml:space="preserve">jakie są możliwe podstawy prawne rozstrzygnięcia oraz czy roszczenie jest uprawdopodobnione i w jakiej części. Taka jasność sytuacji procesowej pozwoliłaby uniknąć komplikacji na etapie postępowania apelacyjnego, wynikających z nieprzewidywania przez stronę przyjętej przez sąd kwalifikacji prawnej i stwierdzanych dopiero w wyroku uchybień dowodowych. </w:t>
      </w:r>
    </w:p>
    <w:p w:rsidR="00AA41C4" w:rsidRDefault="00AA41C4" w:rsidP="00AA41C4">
      <w:pPr>
        <w:pStyle w:val="Tekst"/>
      </w:pPr>
      <w:r>
        <w:t>Umowa procesowa mogłaby także</w:t>
      </w:r>
      <w:r w:rsidR="00A01F24">
        <w:t>, jak się wydaje,</w:t>
      </w:r>
      <w:r>
        <w:t xml:space="preserve"> przewidywać </w:t>
      </w:r>
      <w:r w:rsidRPr="00A619C0">
        <w:rPr>
          <w:b/>
        </w:rPr>
        <w:t>obowiązkową próbę przeprowadzenia postępowania mediacyjnego</w:t>
      </w:r>
      <w:r>
        <w:t xml:space="preserve"> (przy poszanowaniu zasady dobrowolności mediacji).</w:t>
      </w:r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shd w:val="clear" w:color="auto" w:fill="F3F7FB"/>
        <w:tblLook w:val="04A0" w:firstRow="1" w:lastRow="0" w:firstColumn="1" w:lastColumn="0" w:noHBand="0" w:noVBand="1"/>
      </w:tblPr>
      <w:tblGrid>
        <w:gridCol w:w="9747"/>
      </w:tblGrid>
      <w:tr w:rsidR="00386280" w:rsidRPr="00B966A6" w:rsidTr="00FA77F2">
        <w:tc>
          <w:tcPr>
            <w:tcW w:w="9747" w:type="dxa"/>
            <w:shd w:val="clear" w:color="auto" w:fill="F3F7FB"/>
          </w:tcPr>
          <w:p w:rsidR="00386280" w:rsidRPr="002A2C8D" w:rsidRDefault="00386280" w:rsidP="0033312E">
            <w:pPr>
              <w:pStyle w:val="AAATekst"/>
              <w:rPr>
                <w:b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color w:val="244061" w:themeColor="accent1" w:themeShade="80"/>
                <w:sz w:val="22"/>
                <w:szCs w:val="22"/>
              </w:rPr>
              <w:t>Pytania:</w:t>
            </w:r>
          </w:p>
          <w:p w:rsidR="00386280" w:rsidRDefault="0033312E" w:rsidP="0033312E">
            <w:pPr>
              <w:pStyle w:val="Tekst"/>
              <w:spacing w:before="120" w:after="120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</w:t>
            </w:r>
            <w:r w:rsidR="00386280" w:rsidRPr="004C1A2B">
              <w:rPr>
                <w:b/>
                <w:color w:val="244061" w:themeColor="accent1" w:themeShade="80"/>
              </w:rPr>
              <w:t>.</w:t>
            </w:r>
            <w:r w:rsidR="00386280">
              <w:rPr>
                <w:color w:val="244061" w:themeColor="accent1" w:themeShade="80"/>
              </w:rPr>
              <w:t xml:space="preserve"> </w:t>
            </w:r>
            <w:r w:rsidR="00386280" w:rsidRPr="004C1A2B">
              <w:rPr>
                <w:color w:val="244061" w:themeColor="accent1" w:themeShade="80"/>
              </w:rPr>
              <w:t xml:space="preserve">Czy należy dopuścić możliwość wyłączenia w umowie procesowej pozwu wzajemnego </w:t>
            </w:r>
            <w:r w:rsidR="00DF3B09" w:rsidRPr="004C1A2B">
              <w:rPr>
                <w:color w:val="244061" w:themeColor="accent1" w:themeShade="80"/>
              </w:rPr>
              <w:t>czy</w:t>
            </w:r>
            <w:r w:rsidR="00DF3B09">
              <w:rPr>
                <w:color w:val="244061" w:themeColor="accent1" w:themeShade="80"/>
              </w:rPr>
              <w:t> </w:t>
            </w:r>
            <w:r w:rsidR="00386280" w:rsidRPr="004C1A2B">
              <w:rPr>
                <w:color w:val="244061" w:themeColor="accent1" w:themeShade="80"/>
              </w:rPr>
              <w:t>zmiany powództwa, podnoszenia zarzutów procesowych?</w:t>
            </w:r>
          </w:p>
          <w:p w:rsidR="00386280" w:rsidRDefault="0033312E" w:rsidP="0033312E">
            <w:pPr>
              <w:pStyle w:val="Tekst"/>
              <w:spacing w:before="120" w:after="120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</w:t>
            </w:r>
            <w:r w:rsidR="00386280" w:rsidRPr="004C1A2B">
              <w:rPr>
                <w:b/>
                <w:color w:val="244061" w:themeColor="accent1" w:themeShade="80"/>
              </w:rPr>
              <w:t>.</w:t>
            </w:r>
            <w:r w:rsidR="00386280">
              <w:rPr>
                <w:color w:val="244061" w:themeColor="accent1" w:themeShade="80"/>
              </w:rPr>
              <w:t xml:space="preserve"> Czy należy dopuścić możliwość wyłączenia lub ograniczenia przez strony zaskarżenia wyroku sądu pierwszej instancji, np. poprzez ograniczenie dopuszczalnych podstaw zaskarżenia wyroku bądź uzależnienie możliwości wniesienia apelacji od ustanowienia zabezpieczenia?</w:t>
            </w:r>
          </w:p>
          <w:p w:rsidR="00386280" w:rsidRDefault="0033312E" w:rsidP="0033312E">
            <w:pPr>
              <w:pStyle w:val="Tekst"/>
              <w:spacing w:before="120" w:after="120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</w:t>
            </w:r>
            <w:r w:rsidR="00386280" w:rsidRPr="00386280">
              <w:rPr>
                <w:b/>
                <w:color w:val="244061" w:themeColor="accent1" w:themeShade="80"/>
              </w:rPr>
              <w:t>.</w:t>
            </w:r>
            <w:r w:rsidR="00386280">
              <w:rPr>
                <w:color w:val="244061" w:themeColor="accent1" w:themeShade="80"/>
              </w:rPr>
              <w:t xml:space="preserve"> Czy należy dopuścić możliwość modyfikowania przez strony w umowie procesowej zasad dokonywania doręczeń?</w:t>
            </w:r>
          </w:p>
          <w:p w:rsidR="00386280" w:rsidRPr="0033312E" w:rsidRDefault="0033312E" w:rsidP="00DF3B09">
            <w:pPr>
              <w:pStyle w:val="Tekst"/>
              <w:spacing w:before="120" w:after="120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4. </w:t>
            </w:r>
            <w:r w:rsidRPr="0033312E">
              <w:rPr>
                <w:color w:val="244061" w:themeColor="accent1" w:themeShade="80"/>
              </w:rPr>
              <w:t xml:space="preserve">Czy należy </w:t>
            </w:r>
            <w:r>
              <w:rPr>
                <w:color w:val="244061" w:themeColor="accent1" w:themeShade="80"/>
              </w:rPr>
              <w:t xml:space="preserve">dopuścić możliwość </w:t>
            </w:r>
            <w:r w:rsidRPr="0033312E">
              <w:rPr>
                <w:color w:val="244061" w:themeColor="accent1" w:themeShade="80"/>
              </w:rPr>
              <w:t xml:space="preserve">zobowiązania sądu przez strony w umowie procesowej </w:t>
            </w:r>
            <w:r w:rsidR="00DF3B09" w:rsidRPr="0033312E">
              <w:rPr>
                <w:color w:val="244061" w:themeColor="accent1" w:themeShade="80"/>
              </w:rPr>
              <w:t>do</w:t>
            </w:r>
            <w:r w:rsidR="00DF3B09">
              <w:rPr>
                <w:color w:val="244061" w:themeColor="accent1" w:themeShade="80"/>
              </w:rPr>
              <w:t> </w:t>
            </w:r>
            <w:r w:rsidRPr="0033312E">
              <w:rPr>
                <w:color w:val="244061" w:themeColor="accent1" w:themeShade="80"/>
              </w:rPr>
              <w:t xml:space="preserve">wskazania przed wydaniem wyroku możliwych podstaw prawnych rozstrzygnięcia </w:t>
            </w:r>
            <w:r w:rsidR="00DF3B09" w:rsidRPr="0033312E">
              <w:rPr>
                <w:color w:val="244061" w:themeColor="accent1" w:themeShade="80"/>
              </w:rPr>
              <w:t>oraz</w:t>
            </w:r>
            <w:r w:rsidR="00DF3B09">
              <w:rPr>
                <w:color w:val="244061" w:themeColor="accent1" w:themeShade="80"/>
              </w:rPr>
              <w:t> </w:t>
            </w:r>
            <w:r w:rsidR="00DF3B09" w:rsidRPr="0033312E">
              <w:rPr>
                <w:color w:val="244061" w:themeColor="accent1" w:themeShade="80"/>
              </w:rPr>
              <w:t>czy</w:t>
            </w:r>
            <w:r w:rsidR="00DF3B09">
              <w:rPr>
                <w:color w:val="244061" w:themeColor="accent1" w:themeShade="80"/>
              </w:rPr>
              <w:t> </w:t>
            </w:r>
            <w:r w:rsidRPr="0033312E">
              <w:rPr>
                <w:color w:val="244061" w:themeColor="accent1" w:themeShade="80"/>
              </w:rPr>
              <w:t>roszczenie jest uprawdopodobnione i w jakiej części?</w:t>
            </w:r>
          </w:p>
        </w:tc>
      </w:tr>
    </w:tbl>
    <w:p w:rsidR="005D4B1E" w:rsidRDefault="005D4B1E" w:rsidP="00D41E57">
      <w:pPr>
        <w:pStyle w:val="AAAPkt1"/>
      </w:pPr>
      <w:bookmarkStart w:id="8" w:name="_Toc455939468"/>
      <w:r>
        <w:br w:type="page"/>
      </w:r>
    </w:p>
    <w:p w:rsidR="00AA41C4" w:rsidRDefault="002878D0" w:rsidP="00D41E57">
      <w:pPr>
        <w:pStyle w:val="AAAPkt1"/>
      </w:pPr>
      <w:r>
        <w:lastRenderedPageBreak/>
        <w:t>II</w:t>
      </w:r>
      <w:r w:rsidR="00AA41C4">
        <w:t>.2.</w:t>
      </w:r>
      <w:r w:rsidR="00AA41C4">
        <w:tab/>
        <w:t>Zakres zastosowania</w:t>
      </w:r>
      <w:bookmarkEnd w:id="8"/>
    </w:p>
    <w:p w:rsidR="00AA41C4" w:rsidRDefault="00AA41C4" w:rsidP="00AA41C4">
      <w:pPr>
        <w:pStyle w:val="Tekst"/>
      </w:pPr>
      <w:r>
        <w:t xml:space="preserve">O tym, czy w danej sprawie może zostać zawarta umowa procesowa powinien decydować charakter sprawy. </w:t>
      </w:r>
    </w:p>
    <w:p w:rsidR="00AA41C4" w:rsidRDefault="00AA41C4" w:rsidP="00AA41C4">
      <w:pPr>
        <w:pStyle w:val="Tekst"/>
      </w:pPr>
      <w:r>
        <w:t xml:space="preserve">Umowy procesowe </w:t>
      </w:r>
      <w:r w:rsidR="00A619C0">
        <w:t>mogłyby znaleźć zastosowanie</w:t>
      </w:r>
      <w:r>
        <w:t xml:space="preserve"> przede wszystkim w </w:t>
      </w:r>
      <w:r w:rsidR="00A619C0">
        <w:t xml:space="preserve">procesie. </w:t>
      </w:r>
      <w:r>
        <w:t xml:space="preserve">Z uwagi </w:t>
      </w:r>
      <w:r w:rsidR="00DF3B09">
        <w:t>na </w:t>
      </w:r>
      <w:r>
        <w:t xml:space="preserve">ograniczony zakres kontradyktoryjności i dyspozycyjności w postępowaniu nieprocesowym, zastosowanie w tym trybie umów procesowych może budzić wątpliwości. </w:t>
      </w:r>
      <w:r w:rsidR="00A619C0">
        <w:t>Można jednak zastanawiać się, czy</w:t>
      </w:r>
      <w:r>
        <w:t xml:space="preserve"> charakter przynajmniej pewnych k</w:t>
      </w:r>
      <w:r w:rsidR="00A619C0">
        <w:t>ategorii spraw rozpoznawanych w </w:t>
      </w:r>
      <w:r>
        <w:t>postępowaniu nieprocesowym, tj. tych, w których wystę</w:t>
      </w:r>
      <w:r w:rsidR="00A619C0">
        <w:t>puje spór o prawo (np. sprawy o </w:t>
      </w:r>
      <w:r>
        <w:t xml:space="preserve">stwierdzenie zasiedzenia czy o podział majątku) </w:t>
      </w:r>
      <w:r w:rsidR="00A619C0">
        <w:t>lub</w:t>
      </w:r>
      <w:r>
        <w:t xml:space="preserve"> w postępowaniu egzekucyjnym (powództwa przeciwegzekucyjne), nie </w:t>
      </w:r>
      <w:r w:rsidR="00A619C0">
        <w:t>pozwala na to</w:t>
      </w:r>
      <w:r>
        <w:t xml:space="preserve">, by w odpowiednim zakresie – tj. bez naruszenia przepisów bezwzględnie wiążących – strony mogły zawierać umowy procesowe. </w:t>
      </w:r>
    </w:p>
    <w:p w:rsidR="00AA41C4" w:rsidRDefault="00AA41C4" w:rsidP="00AA41C4">
      <w:pPr>
        <w:pStyle w:val="Tekst"/>
      </w:pPr>
      <w:r>
        <w:t xml:space="preserve">Z drugiej strony, nie wszystkie sprawy rozpoznawane w procesie </w:t>
      </w:r>
      <w:r w:rsidR="00A619C0">
        <w:t>wydają się</w:t>
      </w:r>
      <w:r>
        <w:t xml:space="preserve"> odpowiednie </w:t>
      </w:r>
      <w:r w:rsidR="00DF3B09">
        <w:t>do </w:t>
      </w:r>
      <w:r>
        <w:t>tego</w:t>
      </w:r>
      <w:r w:rsidR="00DF3B09">
        <w:t>, </w:t>
      </w:r>
      <w:r>
        <w:t xml:space="preserve">by strony modyfikowały zakres postępowania dowodowego (np. sprawy o rozwód) </w:t>
      </w:r>
      <w:r w:rsidR="00DF3B09">
        <w:t>czy w </w:t>
      </w:r>
      <w:r>
        <w:t>inny sposób zmieniały ogólne reguły postępowania.</w:t>
      </w:r>
    </w:p>
    <w:p w:rsidR="00AA41C4" w:rsidRDefault="00AA41C4" w:rsidP="00AA41C4">
      <w:pPr>
        <w:pStyle w:val="Tekst"/>
      </w:pPr>
      <w:r>
        <w:t>Przepisy wyłączające możliwość zawierania umów procesowych byłyby uzasadnione w większości postępowań odrębnych, z uwagi na ich przedmiot, cel i cechy konstrukcyjne, tj. w: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postępowaniu w sprawach małżeńskich,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postępowaniu w sprawach ze stosunków między rodzicami a dziećmi,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postępowaniu w sprawach z zakresu prawa pracy i ubezpieczeń społecznych,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postępowaniu w sprawach z zakresu ochrony posiadania,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postępowaniu w sprawach z zakresu ochrony konkurencji,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w postępowaniu uproszczonym,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spacing w:after="120"/>
        <w:ind w:left="425" w:hanging="425"/>
      </w:pPr>
      <w:r>
        <w:t>w europejskich postępowaniach w sprawach transgranicznych,</w:t>
      </w:r>
    </w:p>
    <w:p w:rsidR="00AA41C4" w:rsidRDefault="00AA41C4" w:rsidP="00A619C0">
      <w:pPr>
        <w:pStyle w:val="Tekst"/>
        <w:numPr>
          <w:ilvl w:val="0"/>
          <w:numId w:val="39"/>
        </w:numPr>
        <w:tabs>
          <w:tab w:val="left" w:pos="426"/>
        </w:tabs>
        <w:ind w:left="425" w:hanging="425"/>
      </w:pPr>
      <w:r>
        <w:t>w elektronicznym postępowaniu upominawczym.</w:t>
      </w:r>
    </w:p>
    <w:p w:rsidR="00AA41C4" w:rsidRDefault="00A619C0" w:rsidP="00AA41C4">
      <w:pPr>
        <w:pStyle w:val="Tekst"/>
      </w:pPr>
      <w:r>
        <w:t>W postępowaniu upominawczym</w:t>
      </w:r>
      <w:r w:rsidR="00AA41C4">
        <w:t xml:space="preserve"> możliwość stosowania umów procesowych </w:t>
      </w:r>
      <w:r>
        <w:t>mogłaby</w:t>
      </w:r>
      <w:r w:rsidR="00AA41C4">
        <w:t xml:space="preserve"> istnieć </w:t>
      </w:r>
      <w:r w:rsidR="00DF3B09">
        <w:t>po </w:t>
      </w:r>
      <w:r w:rsidR="00AA41C4">
        <w:t xml:space="preserve">utracie mocy przez nakaz zapłaty. </w:t>
      </w:r>
      <w:r>
        <w:t>U</w:t>
      </w:r>
      <w:r w:rsidR="00AA41C4">
        <w:t>zasadnione</w:t>
      </w:r>
      <w:r>
        <w:t xml:space="preserve"> wydaje się także</w:t>
      </w:r>
      <w:r w:rsidR="00AA41C4">
        <w:t>, by w postępowaniu nakazowym reguły określone przez strony w umowie procesowej obowiązywały po skutecznym wniesieniu zarzutów i wyznaczeniu rozprawy. Co oczywiste, postanowienia umów procesowych nie mogłyby naruszać bezwzględnie obowiązujących przepisów dotyczących poszczególnych postępowań odrębnych.</w:t>
      </w:r>
    </w:p>
    <w:p w:rsidR="00A619C0" w:rsidRPr="009326E3" w:rsidRDefault="00AA41C4" w:rsidP="00AA41C4">
      <w:pPr>
        <w:pStyle w:val="Tekst"/>
        <w:rPr>
          <w:b/>
        </w:rPr>
      </w:pPr>
      <w:r w:rsidRPr="009326E3">
        <w:rPr>
          <w:b/>
        </w:rPr>
        <w:t xml:space="preserve">Rozważenia wymaga, czy konieczne jest przedmiotowe ograniczenie zakresu zastosowania przepisów dotyczących umów procesowych, np. jedynie do </w:t>
      </w:r>
      <w:r w:rsidR="00A619C0" w:rsidRPr="009326E3">
        <w:rPr>
          <w:b/>
        </w:rPr>
        <w:t>spraw między przedsiębiorcami w </w:t>
      </w:r>
      <w:r w:rsidRPr="009326E3">
        <w:rPr>
          <w:b/>
        </w:rPr>
        <w:t xml:space="preserve">zakresie prowadzonej przez nich działalności gospodarczej, albo ograniczenie możliwości </w:t>
      </w:r>
      <w:r w:rsidR="00DF3B09" w:rsidRPr="009326E3">
        <w:rPr>
          <w:b/>
        </w:rPr>
        <w:t>ich </w:t>
      </w:r>
      <w:r w:rsidRPr="009326E3">
        <w:rPr>
          <w:b/>
        </w:rPr>
        <w:t xml:space="preserve">stosowania w zależności od wysokości wartości przedmiotu sporu. </w:t>
      </w:r>
    </w:p>
    <w:p w:rsidR="00AA41C4" w:rsidRDefault="00825588" w:rsidP="00AA41C4">
      <w:pPr>
        <w:pStyle w:val="Tekst"/>
      </w:pPr>
      <w:r>
        <w:t>P</w:t>
      </w:r>
      <w:r w:rsidR="00AA41C4">
        <w:t xml:space="preserve">ozytywne określanie zakresu spraw, w których mogłaby znaleźć zastosowanie umowa procesowa nie </w:t>
      </w:r>
      <w:r>
        <w:t>wydaje się</w:t>
      </w:r>
      <w:r w:rsidR="00AA41C4">
        <w:t xml:space="preserve"> konieczne. Należy wprawdzie przypuszczać, że w praktyce umowy </w:t>
      </w:r>
      <w:r w:rsidR="00AA41C4">
        <w:lastRenderedPageBreak/>
        <w:t>procesowe będą wykorzys</w:t>
      </w:r>
      <w:r w:rsidR="00A619C0">
        <w:t>tywane w sporach gospodarczych, n</w:t>
      </w:r>
      <w:r w:rsidR="00AA41C4">
        <w:t>iemniej, mogłyby one znaleźć zastosowanie także w innych, nawet drobnych, sprawach, zwłaszcza że treść umowy procesowej podlegałaby każdorazowo kontroli sądu.</w:t>
      </w:r>
    </w:p>
    <w:p w:rsidR="0032129E" w:rsidRPr="005249CF" w:rsidRDefault="00825588" w:rsidP="00AA41C4">
      <w:pPr>
        <w:pStyle w:val="Tekst"/>
        <w:rPr>
          <w:b/>
        </w:rPr>
      </w:pPr>
      <w:r w:rsidRPr="005249CF">
        <w:rPr>
          <w:b/>
        </w:rPr>
        <w:t>Wydaje się jednak, że należy</w:t>
      </w:r>
      <w:r w:rsidR="00AA41C4" w:rsidRPr="005249CF">
        <w:rPr>
          <w:b/>
        </w:rPr>
        <w:t xml:space="preserve"> wykluczyć możliwoś</w:t>
      </w:r>
      <w:r w:rsidRPr="005249CF">
        <w:rPr>
          <w:b/>
        </w:rPr>
        <w:t>ć zawierania umów procesowych w </w:t>
      </w:r>
      <w:r w:rsidR="00AA41C4" w:rsidRPr="005249CF">
        <w:rPr>
          <w:b/>
        </w:rPr>
        <w:t xml:space="preserve">stosunkach między przedsiębiorcą a konsumentem. </w:t>
      </w:r>
      <w:r w:rsidR="002878D0" w:rsidRPr="005249CF">
        <w:rPr>
          <w:b/>
        </w:rPr>
        <w:t>Umowy procesowe nie powinny również być dopuszczalne w ramach zamówień publicznych.</w:t>
      </w:r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shd w:val="clear" w:color="auto" w:fill="F3F7FB"/>
        <w:tblLook w:val="04A0" w:firstRow="1" w:lastRow="0" w:firstColumn="1" w:lastColumn="0" w:noHBand="0" w:noVBand="1"/>
      </w:tblPr>
      <w:tblGrid>
        <w:gridCol w:w="9747"/>
      </w:tblGrid>
      <w:tr w:rsidR="0033312E" w:rsidRPr="00B966A6" w:rsidTr="00FA77F2">
        <w:tc>
          <w:tcPr>
            <w:tcW w:w="9747" w:type="dxa"/>
            <w:shd w:val="clear" w:color="auto" w:fill="F3F7FB"/>
          </w:tcPr>
          <w:p w:rsidR="0033312E" w:rsidRPr="002A2C8D" w:rsidRDefault="0033312E" w:rsidP="0033312E">
            <w:pPr>
              <w:pStyle w:val="AAATekst"/>
              <w:rPr>
                <w:b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color w:val="244061" w:themeColor="accent1" w:themeShade="80"/>
                <w:sz w:val="22"/>
                <w:szCs w:val="22"/>
              </w:rPr>
              <w:t>Pytania:</w:t>
            </w:r>
          </w:p>
          <w:p w:rsidR="0033312E" w:rsidRDefault="0033312E" w:rsidP="0033312E">
            <w:pPr>
              <w:pStyle w:val="Tekst"/>
              <w:spacing w:after="120"/>
              <w:rPr>
                <w:color w:val="244061" w:themeColor="accent1" w:themeShade="80"/>
              </w:rPr>
            </w:pPr>
            <w:r w:rsidRPr="0033312E">
              <w:rPr>
                <w:b/>
                <w:color w:val="244061" w:themeColor="accent1" w:themeShade="80"/>
              </w:rPr>
              <w:t>1.</w:t>
            </w:r>
            <w:r>
              <w:rPr>
                <w:color w:val="244061" w:themeColor="accent1" w:themeShade="80"/>
              </w:rPr>
              <w:t xml:space="preserve"> </w:t>
            </w:r>
            <w:r w:rsidRPr="0033312E">
              <w:rPr>
                <w:color w:val="244061" w:themeColor="accent1" w:themeShade="80"/>
              </w:rPr>
              <w:t xml:space="preserve">Czy konieczne jest pozytywne określenie spraw, w których możliwe jest zawarcie umowy procesowej? </w:t>
            </w:r>
          </w:p>
          <w:p w:rsidR="0033312E" w:rsidRPr="0033312E" w:rsidRDefault="0033312E" w:rsidP="0033312E">
            <w:pPr>
              <w:pStyle w:val="Tekst"/>
              <w:spacing w:after="120"/>
              <w:rPr>
                <w:color w:val="244061" w:themeColor="accent1" w:themeShade="80"/>
              </w:rPr>
            </w:pPr>
            <w:r w:rsidRPr="0033312E">
              <w:rPr>
                <w:b/>
                <w:color w:val="244061" w:themeColor="accent1" w:themeShade="80"/>
              </w:rPr>
              <w:t>2.</w:t>
            </w:r>
            <w:r>
              <w:rPr>
                <w:color w:val="244061" w:themeColor="accent1" w:themeShade="80"/>
              </w:rPr>
              <w:t xml:space="preserve"> C</w:t>
            </w:r>
            <w:r w:rsidRPr="0033312E">
              <w:rPr>
                <w:color w:val="244061" w:themeColor="accent1" w:themeShade="80"/>
              </w:rPr>
              <w:t>zy możliwość zawierania umów procesowych powinna być ograniczona jedynie do spraw  między przedsiębiorcami związanych z prowa</w:t>
            </w:r>
            <w:r w:rsidR="005249CF">
              <w:rPr>
                <w:color w:val="244061" w:themeColor="accent1" w:themeShade="80"/>
              </w:rPr>
              <w:t>dzoną działalnością gospodarczą albo w inny sposób limitowana?</w:t>
            </w:r>
          </w:p>
          <w:p w:rsidR="0033312E" w:rsidRPr="00926DD3" w:rsidRDefault="0033312E" w:rsidP="0033312E">
            <w:pPr>
              <w:pStyle w:val="Tekst"/>
              <w:spacing w:after="120"/>
              <w:rPr>
                <w:bCs/>
                <w:color w:val="244061" w:themeColor="accent1" w:themeShade="80"/>
              </w:rPr>
            </w:pPr>
            <w:r w:rsidRPr="0033312E">
              <w:rPr>
                <w:b/>
                <w:color w:val="244061" w:themeColor="accent1" w:themeShade="80"/>
              </w:rPr>
              <w:t>3.</w:t>
            </w:r>
            <w:r>
              <w:rPr>
                <w:color w:val="244061" w:themeColor="accent1" w:themeShade="80"/>
              </w:rPr>
              <w:t xml:space="preserve"> </w:t>
            </w:r>
            <w:r w:rsidRPr="0033312E">
              <w:rPr>
                <w:color w:val="244061" w:themeColor="accent1" w:themeShade="80"/>
              </w:rPr>
              <w:t>Czy możliwość zawierania umów procesowych należy wyraźnie wyłączyć w trybie nieprocesowym</w:t>
            </w:r>
            <w:r>
              <w:rPr>
                <w:color w:val="244061" w:themeColor="accent1" w:themeShade="80"/>
              </w:rPr>
              <w:t>, czy też przepisy dotyczące umów procesowych powinny być odpowiednio stosowane w innych niż proces rodzajach postępowania?</w:t>
            </w:r>
            <w:r w:rsidRPr="0033312E">
              <w:rPr>
                <w:color w:val="244061" w:themeColor="accent1" w:themeShade="80"/>
              </w:rPr>
              <w:t xml:space="preserve"> </w:t>
            </w:r>
          </w:p>
        </w:tc>
      </w:tr>
    </w:tbl>
    <w:p w:rsidR="00AA41C4" w:rsidRDefault="002878D0" w:rsidP="00D41E57">
      <w:pPr>
        <w:pStyle w:val="AAAPkt1"/>
      </w:pPr>
      <w:bookmarkStart w:id="9" w:name="_Toc455939469"/>
      <w:r>
        <w:t>II</w:t>
      </w:r>
      <w:r w:rsidR="00AA41C4">
        <w:t xml:space="preserve">.3. </w:t>
      </w:r>
      <w:r w:rsidR="00FA77F2">
        <w:tab/>
      </w:r>
      <w:r w:rsidR="00AA41C4">
        <w:t>Warunki zawierania umów procesowych</w:t>
      </w:r>
      <w:bookmarkEnd w:id="9"/>
    </w:p>
    <w:p w:rsidR="00AA41C4" w:rsidRDefault="00825588" w:rsidP="00AA41C4">
      <w:pPr>
        <w:pStyle w:val="Tekst"/>
      </w:pPr>
      <w:r>
        <w:t>Zgodnie z koncepcją, u</w:t>
      </w:r>
      <w:r w:rsidR="00AA41C4">
        <w:t>mowy procesowe mogłyby być zawierane zarówno przed procesem (</w:t>
      </w:r>
      <w:r w:rsidR="00DF3B09">
        <w:t>na </w:t>
      </w:r>
      <w:r w:rsidR="00AA41C4">
        <w:t xml:space="preserve">etapie kontraktowania, w tym – mogłyby mieć postać klauzul zawartych </w:t>
      </w:r>
      <w:r w:rsidR="00DF3B09">
        <w:t>w </w:t>
      </w:r>
      <w:r w:rsidR="00AA41C4">
        <w:t xml:space="preserve">umowach określających stosunek prawny łączący strony). Umożliwienie stronom ustalenia zasad dochodzenia praw przed sądem już na etapie zawierania umowy głównej </w:t>
      </w:r>
      <w:r>
        <w:t>mogłoby</w:t>
      </w:r>
      <w:r w:rsidR="00AA41C4">
        <w:t xml:space="preserve">, </w:t>
      </w:r>
      <w:r w:rsidR="00DF3B09">
        <w:t>co do </w:t>
      </w:r>
      <w:r w:rsidR="00AA41C4">
        <w:t xml:space="preserve">zasady, dawać stronom gwarancję, że na etapie postępowania przed sądem nie zostaną zaskoczone zmianą procedury, której nie </w:t>
      </w:r>
      <w:r>
        <w:t>przewidywały</w:t>
      </w:r>
      <w:r w:rsidR="00AA41C4">
        <w:t>, a w konsekwencji</w:t>
      </w:r>
      <w:r>
        <w:t>, nie</w:t>
      </w:r>
      <w:r w:rsidR="00AA41C4">
        <w:t xml:space="preserve"> </w:t>
      </w:r>
      <w:r>
        <w:t>przygotowały</w:t>
      </w:r>
      <w:r w:rsidR="00AA41C4">
        <w:t xml:space="preserve"> odpowiednich środków </w:t>
      </w:r>
      <w:r>
        <w:t>dowodzenia</w:t>
      </w:r>
      <w:r w:rsidR="00AA41C4">
        <w:t xml:space="preserve"> na etapie realizacji kontraktu.</w:t>
      </w:r>
    </w:p>
    <w:p w:rsidR="00AA41C4" w:rsidRDefault="00AA41C4" w:rsidP="00AA41C4">
      <w:pPr>
        <w:pStyle w:val="Tekst"/>
      </w:pPr>
      <w:r>
        <w:t xml:space="preserve">Ponadto, powinna istnieć także możliwość zawarcia umowy procesowej już po wszczęciu postępowania. Nie wydaje się zasadne wprowadzenie sztywnych ograniczeń czasowych </w:t>
      </w:r>
      <w:r w:rsidR="00DF3B09">
        <w:t>dla </w:t>
      </w:r>
      <w:r>
        <w:t>zawarcia i przedstawienia sądowi takich umów – mogłyby one być zawierane i przedkładane sądowi na każdym etapie (do zakończenia rozprawy przed sądem II instancji), przy czym – czynności procesowe dokonane przed zawarciem i przed</w:t>
      </w:r>
      <w:r w:rsidR="00825588">
        <w:t>łożeniem takiej umowy zgodnie z </w:t>
      </w:r>
      <w:r>
        <w:t xml:space="preserve">ogólnymi, kodeksowymi zasadami, </w:t>
      </w:r>
      <w:r w:rsidR="005249CF">
        <w:t>powinny pozostawać</w:t>
      </w:r>
      <w:r>
        <w:t xml:space="preserve"> w mocy.</w:t>
      </w:r>
    </w:p>
    <w:p w:rsidR="00AA41C4" w:rsidRDefault="00AA41C4" w:rsidP="00AA41C4">
      <w:pPr>
        <w:pStyle w:val="Tekst"/>
      </w:pPr>
      <w:r>
        <w:t>Skuteczne zawarcie umowy procesowej powinno być warunkowane posiadaniem przez strony zdolności procesowej, a stosowanie umowy w konkretnej sprawie powinno być możliwe wówczas, gdy strony umowy mają w danej sprawie legitymację procesową.</w:t>
      </w:r>
    </w:p>
    <w:p w:rsidR="00AA41C4" w:rsidRDefault="00AA41C4" w:rsidP="00AA41C4">
      <w:pPr>
        <w:pStyle w:val="Tekst"/>
      </w:pPr>
      <w:r>
        <w:t>Umowa procesowa – by mogła znaleźć zastosowanie w procesie – powinna być</w:t>
      </w:r>
      <w:r w:rsidR="00825588">
        <w:t>, jak się wydaje,</w:t>
      </w:r>
      <w:r>
        <w:t xml:space="preserve"> zawarta na piśmie pod rygorem </w:t>
      </w:r>
      <w:r w:rsidR="00825588">
        <w:t>nieważności</w:t>
      </w:r>
      <w:r>
        <w:t xml:space="preserve"> (</w:t>
      </w:r>
      <w:r w:rsidR="00825588">
        <w:t>względnie – bezskuteczności</w:t>
      </w:r>
      <w:r>
        <w:t>).</w:t>
      </w:r>
    </w:p>
    <w:p w:rsidR="00025248" w:rsidRDefault="00025248" w:rsidP="00AA41C4">
      <w:pPr>
        <w:pStyle w:val="Tekst"/>
      </w:pPr>
      <w:r>
        <w:t xml:space="preserve">Rozważenia wymaga problem możliwości rozwiązania bądź „unieważnienia” (np. przez uchylenie się od skutków prawnych oświadczenia woli) umowy procesowej przez jedną ze stron i skutków tego zdarzenia dla czynności dokonanych przez strony i sąd zgodnie z postanowieniami umowy. </w:t>
      </w:r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shd w:val="clear" w:color="auto" w:fill="F3F7FB"/>
        <w:tblLook w:val="04A0" w:firstRow="1" w:lastRow="0" w:firstColumn="1" w:lastColumn="0" w:noHBand="0" w:noVBand="1"/>
      </w:tblPr>
      <w:tblGrid>
        <w:gridCol w:w="9747"/>
      </w:tblGrid>
      <w:tr w:rsidR="00025248" w:rsidRPr="00B966A6" w:rsidTr="00FA77F2">
        <w:tc>
          <w:tcPr>
            <w:tcW w:w="9747" w:type="dxa"/>
            <w:shd w:val="clear" w:color="auto" w:fill="F3F7FB"/>
          </w:tcPr>
          <w:p w:rsidR="00025248" w:rsidRPr="002A2C8D" w:rsidRDefault="00025248" w:rsidP="00FA77F2">
            <w:pPr>
              <w:pStyle w:val="AAATekst"/>
              <w:rPr>
                <w:b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color w:val="244061" w:themeColor="accent1" w:themeShade="80"/>
                <w:sz w:val="22"/>
                <w:szCs w:val="22"/>
              </w:rPr>
              <w:lastRenderedPageBreak/>
              <w:t>Pytania:</w:t>
            </w:r>
          </w:p>
          <w:p w:rsidR="00025248" w:rsidRDefault="00025248" w:rsidP="00025248">
            <w:pPr>
              <w:pStyle w:val="Tekst"/>
              <w:spacing w:after="120"/>
              <w:rPr>
                <w:color w:val="244061" w:themeColor="accent1" w:themeShade="80"/>
              </w:rPr>
            </w:pPr>
            <w:r w:rsidRPr="0033312E">
              <w:rPr>
                <w:b/>
                <w:color w:val="244061" w:themeColor="accent1" w:themeShade="80"/>
              </w:rPr>
              <w:t>1.</w:t>
            </w:r>
            <w:r>
              <w:rPr>
                <w:color w:val="244061" w:themeColor="accent1" w:themeShade="80"/>
              </w:rPr>
              <w:t xml:space="preserve"> Czy należy dopuścić możliwość zawierania umów procesowych przed wszczęciem postępowania – tj. w formie postanowień umowy „głównej”, materialnoprawnej?</w:t>
            </w:r>
          </w:p>
          <w:p w:rsidR="00025248" w:rsidRDefault="00025248" w:rsidP="00025248">
            <w:pPr>
              <w:pStyle w:val="Tekst"/>
              <w:spacing w:after="120"/>
              <w:rPr>
                <w:color w:val="244061" w:themeColor="accent1" w:themeShade="80"/>
              </w:rPr>
            </w:pPr>
            <w:r w:rsidRPr="00025248">
              <w:rPr>
                <w:b/>
                <w:color w:val="244061" w:themeColor="accent1" w:themeShade="80"/>
              </w:rPr>
              <w:t>2.</w:t>
            </w:r>
            <w:r>
              <w:rPr>
                <w:color w:val="244061" w:themeColor="accent1" w:themeShade="80"/>
              </w:rPr>
              <w:t xml:space="preserve"> Czy należy ograniczyć czas, w którym strony mogą zawrzeć umowę procesową (np. tylko w postępowaniu </w:t>
            </w:r>
            <w:r w:rsidR="005249CF">
              <w:rPr>
                <w:color w:val="244061" w:themeColor="accent1" w:themeShade="80"/>
              </w:rPr>
              <w:t>przed sądem pierwszej instancji lub</w:t>
            </w:r>
            <w:r>
              <w:rPr>
                <w:color w:val="244061" w:themeColor="accent1" w:themeShade="80"/>
              </w:rPr>
              <w:t xml:space="preserve"> przed wdaniem się w spór co do istoty sprawy)?</w:t>
            </w:r>
          </w:p>
          <w:p w:rsidR="00025248" w:rsidRPr="00926DD3" w:rsidRDefault="00025248" w:rsidP="00DF3B09">
            <w:pPr>
              <w:pStyle w:val="Tekst"/>
              <w:spacing w:after="120"/>
              <w:rPr>
                <w:bCs/>
                <w:color w:val="244061" w:themeColor="accent1" w:themeShade="80"/>
              </w:rPr>
            </w:pPr>
            <w:r w:rsidRPr="00025248">
              <w:rPr>
                <w:b/>
                <w:color w:val="244061" w:themeColor="accent1" w:themeShade="80"/>
              </w:rPr>
              <w:t>3.</w:t>
            </w:r>
            <w:r>
              <w:rPr>
                <w:color w:val="244061" w:themeColor="accent1" w:themeShade="80"/>
              </w:rPr>
              <w:t xml:space="preserve"> Czy </w:t>
            </w:r>
            <w:r w:rsidR="005E3966">
              <w:rPr>
                <w:color w:val="244061" w:themeColor="accent1" w:themeShade="80"/>
              </w:rPr>
              <w:t>do umów procesowych należałoby stosować przepisy prawa cywilnego materialnego, np</w:t>
            </w:r>
            <w:r w:rsidR="00DF3B09">
              <w:rPr>
                <w:color w:val="244061" w:themeColor="accent1" w:themeShade="80"/>
              </w:rPr>
              <w:t>. </w:t>
            </w:r>
            <w:r w:rsidR="005E3966">
              <w:rPr>
                <w:color w:val="244061" w:themeColor="accent1" w:themeShade="80"/>
              </w:rPr>
              <w:t>w zakresie wykładni, możliwości stwierdzenia nieważności umowy procesowej, uchylenia się od skutków prawnych oświadczenia woli itd.?</w:t>
            </w:r>
          </w:p>
        </w:tc>
      </w:tr>
    </w:tbl>
    <w:p w:rsidR="00AA41C4" w:rsidRDefault="002878D0" w:rsidP="00D41E57">
      <w:pPr>
        <w:pStyle w:val="AAAPkt1"/>
      </w:pPr>
      <w:bookmarkStart w:id="10" w:name="_Toc455939470"/>
      <w:r>
        <w:t>II</w:t>
      </w:r>
      <w:r w:rsidR="00AA41C4">
        <w:t>.4.</w:t>
      </w:r>
      <w:r w:rsidR="00AA41C4">
        <w:tab/>
        <w:t>Kontrola umów procesowych przez sąd</w:t>
      </w:r>
      <w:bookmarkEnd w:id="10"/>
    </w:p>
    <w:p w:rsidR="00825588" w:rsidRDefault="00AA41C4" w:rsidP="00AA41C4">
      <w:pPr>
        <w:pStyle w:val="Tekst"/>
      </w:pPr>
      <w:r>
        <w:t>Umowy procesowe – podobnie jak inne dyspozytywne czynności procesowe – powinny</w:t>
      </w:r>
      <w:r w:rsidR="00880E37">
        <w:t xml:space="preserve"> podlegać kontroli sądu. </w:t>
      </w:r>
      <w:r w:rsidR="00825588">
        <w:t xml:space="preserve">Rozważenia wymaga natomiast sposób kontroli umów procesowych. W tym zakresie można wskazać </w:t>
      </w:r>
      <w:r w:rsidR="00825588" w:rsidRPr="00880E37">
        <w:rPr>
          <w:b/>
        </w:rPr>
        <w:t>dwa możliwe modele</w:t>
      </w:r>
      <w:r w:rsidR="00825588">
        <w:t>:</w:t>
      </w:r>
    </w:p>
    <w:p w:rsidR="00825588" w:rsidRPr="00825588" w:rsidRDefault="00825588" w:rsidP="00880E37">
      <w:pPr>
        <w:pStyle w:val="Tekst"/>
        <w:tabs>
          <w:tab w:val="left" w:pos="1418"/>
        </w:tabs>
        <w:spacing w:before="240"/>
        <w:ind w:left="1418" w:hanging="1418"/>
        <w:rPr>
          <w:b/>
        </w:rPr>
      </w:pPr>
      <w:r w:rsidRPr="002878D0">
        <w:rPr>
          <w:b/>
        </w:rPr>
        <w:t>Wariant 1</w:t>
      </w:r>
      <w:r w:rsidRPr="00825588">
        <w:rPr>
          <w:b/>
        </w:rPr>
        <w:t xml:space="preserve"> </w:t>
      </w:r>
      <w:r w:rsidR="005E3966">
        <w:rPr>
          <w:b/>
        </w:rPr>
        <w:t xml:space="preserve"> </w:t>
      </w:r>
      <w:r w:rsidRPr="00825588">
        <w:rPr>
          <w:b/>
        </w:rPr>
        <w:t xml:space="preserve">– </w:t>
      </w:r>
      <w:r>
        <w:rPr>
          <w:b/>
        </w:rPr>
        <w:tab/>
      </w:r>
      <w:r w:rsidRPr="00825588">
        <w:rPr>
          <w:b/>
        </w:rPr>
        <w:t>kontrola i zatwierdzenie umowy procesowej przez sąd na początkowym etapie postępowania</w:t>
      </w:r>
      <w:r w:rsidR="003A4527">
        <w:rPr>
          <w:b/>
        </w:rPr>
        <w:t xml:space="preserve"> (model kontroli </w:t>
      </w:r>
      <w:r w:rsidR="003A4527" w:rsidRPr="003A4527">
        <w:rPr>
          <w:b/>
          <w:i/>
        </w:rPr>
        <w:t>ex ante</w:t>
      </w:r>
      <w:r w:rsidR="003A4527">
        <w:rPr>
          <w:b/>
        </w:rPr>
        <w:t>)</w:t>
      </w:r>
    </w:p>
    <w:p w:rsidR="002878D0" w:rsidRDefault="00825588" w:rsidP="00AA41C4">
      <w:pPr>
        <w:pStyle w:val="Tekst"/>
      </w:pPr>
      <w:r>
        <w:t xml:space="preserve">W tym modelu, umowa procesowa musiałaby zostać przedłożona przez strony wraz z pierwszym pismem procesowym, a następnie podlegałaby kontroli sądu, który zatwierdzałby ją w całości </w:t>
      </w:r>
      <w:r w:rsidR="00DF3B09">
        <w:t>lub </w:t>
      </w:r>
      <w:r>
        <w:t>w części lub odmawiałby zatwierdzenia umowy procesowej.</w:t>
      </w:r>
      <w:r w:rsidR="002878D0">
        <w:t xml:space="preserve"> </w:t>
      </w:r>
      <w:r w:rsidR="00AA41C4">
        <w:t xml:space="preserve">Przepisy powinny </w:t>
      </w:r>
      <w:r w:rsidR="002878D0">
        <w:t xml:space="preserve">w takim wariancie </w:t>
      </w:r>
      <w:r w:rsidR="00AA41C4">
        <w:t>określać podstawowe zasady, jakim muszą odpowiadać umowy procesowe, wskazując obligatoryjne przesłanki odmowy zatwierdz</w:t>
      </w:r>
      <w:r w:rsidR="002878D0">
        <w:t>enia umowy procesowej przez sąd.</w:t>
      </w:r>
    </w:p>
    <w:p w:rsidR="00AA41C4" w:rsidRDefault="00825588" w:rsidP="00AA41C4">
      <w:pPr>
        <w:pStyle w:val="Tekst"/>
      </w:pPr>
      <w:r>
        <w:t xml:space="preserve">W omawianym </w:t>
      </w:r>
      <w:r w:rsidR="002878D0">
        <w:t>modelu</w:t>
      </w:r>
      <w:r>
        <w:t>, p</w:t>
      </w:r>
      <w:r w:rsidR="00AA41C4">
        <w:t xml:space="preserve">owód mógłby załączyć umowę procesową do pozwu (o ile została zawarta). Jeśli nie uczyniłby tego, fakt zawarcia umowy procesowej sąd </w:t>
      </w:r>
      <w:r>
        <w:t>uwzględniałby</w:t>
      </w:r>
      <w:r w:rsidR="00AA41C4">
        <w:t xml:space="preserve"> na zarzut pozwanego podniesiony przed wdaniem się w spór co do istoty sprawy (zarzut pozytywny). Wnosząc odpowiedź na pozew pozwany powinien mieć także możliwość zakwestionowania skutecznego zawarcia umowy procesowej przedłożonej przez powoda (zarzut negatywny</w:t>
      </w:r>
      <w:r>
        <w:t>).</w:t>
      </w:r>
    </w:p>
    <w:p w:rsidR="00AA41C4" w:rsidRDefault="00AA41C4" w:rsidP="00AA41C4">
      <w:pPr>
        <w:pStyle w:val="Tekst"/>
      </w:pPr>
      <w:r>
        <w:t xml:space="preserve">Sąd </w:t>
      </w:r>
      <w:r w:rsidR="00825588">
        <w:t>zatwierdzałby</w:t>
      </w:r>
      <w:r>
        <w:t xml:space="preserve"> umowę procesową, wydając stosowne postanowienie. </w:t>
      </w:r>
      <w:r w:rsidR="00825588">
        <w:t>W celu przyspieszenia procedury można byłoby przewidzieć, że z</w:t>
      </w:r>
      <w:r>
        <w:t xml:space="preserve">atwierdzenie umowy procesowej </w:t>
      </w:r>
      <w:r w:rsidR="00825588">
        <w:t>może</w:t>
      </w:r>
      <w:r>
        <w:t xml:space="preserve"> nast</w:t>
      </w:r>
      <w:r w:rsidR="00825588">
        <w:t xml:space="preserve">ępować </w:t>
      </w:r>
      <w:r w:rsidR="00DF3B09">
        <w:t>na </w:t>
      </w:r>
      <w:r w:rsidR="00825588">
        <w:t>posiedzeniu niejawnym, a p</w:t>
      </w:r>
      <w:r>
        <w:t xml:space="preserve">ostanowienie </w:t>
      </w:r>
      <w:r w:rsidR="00825588">
        <w:t>w tym przedmiocie nie wymaga</w:t>
      </w:r>
      <w:r>
        <w:t xml:space="preserve"> uzasadnienia. Strony powinny mieć możliwość zaskarżenia tego orzeczenia, jednak </w:t>
      </w:r>
      <w:r w:rsidR="00825588">
        <w:t>można</w:t>
      </w:r>
      <w:r>
        <w:t xml:space="preserve"> </w:t>
      </w:r>
      <w:r w:rsidR="002878D0">
        <w:t>rozważać zastosowanie  w </w:t>
      </w:r>
      <w:r>
        <w:t>tym przypadku środka niedewolutywnego, tj. wniosku o uchylenie lub zmianę postanowienia przez ten sam lub równorzędny skład sądu.</w:t>
      </w:r>
    </w:p>
    <w:p w:rsidR="00AA41C4" w:rsidRDefault="00AA41C4" w:rsidP="00AA41C4">
      <w:pPr>
        <w:pStyle w:val="Tekst"/>
      </w:pPr>
      <w:r>
        <w:t xml:space="preserve">Sąd mógłby odmówić zatwierdzenia umowy procesowej, jeśli postanowienia umowy byłyby sprzeczne z prawem lub </w:t>
      </w:r>
      <w:r w:rsidR="002878D0">
        <w:t>z dobrymi obyczajami</w:t>
      </w:r>
      <w:r>
        <w:t>, zmierzałyby do obejścia prawa, rażąco naruszałyby prawa jednej ze stron</w:t>
      </w:r>
      <w:r w:rsidR="002878D0">
        <w:t xml:space="preserve"> czy zmierzałyby do istotnego przedłużenia postępowania</w:t>
      </w:r>
      <w:r>
        <w:t>. Odmowa zatwierdzenia umowy również mogłaby nast</w:t>
      </w:r>
      <w:r w:rsidR="002878D0">
        <w:t>ępować na posiedzeniu niejawnym. Wydaje się, że</w:t>
      </w:r>
      <w:r>
        <w:t xml:space="preserve"> w uzasadnieniu sad powinien </w:t>
      </w:r>
      <w:r w:rsidR="002878D0">
        <w:t>także wskazywać</w:t>
      </w:r>
      <w:r>
        <w:t xml:space="preserve"> postanowienia umowy, które zostały przez sąd zweryfikowane jako niedopuszczalne oraz, czy w z</w:t>
      </w:r>
      <w:r w:rsidR="002878D0">
        <w:t xml:space="preserve">wiązku z tym umowa obowiązuje </w:t>
      </w:r>
      <w:r w:rsidR="002878D0">
        <w:lastRenderedPageBreak/>
        <w:t>w </w:t>
      </w:r>
      <w:r>
        <w:t xml:space="preserve">pozostałej części czy też sąd odmawia jej zatwierdzenia w całości. </w:t>
      </w:r>
      <w:r w:rsidR="002878D0">
        <w:t>Wydaje się, że p</w:t>
      </w:r>
      <w:r>
        <w:t>ostanowienie o odmowie zatwierdzenia umowy procesowej powinno być zaskarżalne zażaleniem</w:t>
      </w:r>
      <w:r w:rsidR="002878D0">
        <w:t>.</w:t>
      </w:r>
    </w:p>
    <w:p w:rsidR="00AA41C4" w:rsidRDefault="00AA41C4" w:rsidP="00AA41C4">
      <w:pPr>
        <w:pStyle w:val="Tekst"/>
      </w:pPr>
      <w:r>
        <w:t>W przypadku, gdy umowę zatwierdzono, sąd prowadzący postępowanie pow</w:t>
      </w:r>
      <w:r w:rsidR="002878D0">
        <w:t xml:space="preserve">inien mieć możliwość uchylenia lub </w:t>
      </w:r>
      <w:r>
        <w:t xml:space="preserve">zmiany postanowienia w przypadku oczywistego naruszenia zasady równości stron lub wykonywania umowy w sposób oczywiście prowadzący do przewlekłości postępowania. </w:t>
      </w:r>
    </w:p>
    <w:p w:rsidR="003A4527" w:rsidRDefault="003A4527" w:rsidP="00AA41C4">
      <w:pPr>
        <w:pStyle w:val="Tekst"/>
      </w:pPr>
      <w:r>
        <w:t xml:space="preserve">Dużą zaletą tego modelu jest niewątpliwie zapewnienie pewności co do reguł postępowania jakie będą obowiązały w toku procesu, co miałoby istotne znaczenie nie tylko dla stron, ale także </w:t>
      </w:r>
      <w:r w:rsidR="00DF3B09">
        <w:t>dla </w:t>
      </w:r>
      <w:r>
        <w:t xml:space="preserve">sądu. Za jego wadę </w:t>
      </w:r>
      <w:r w:rsidR="00DF3B09">
        <w:t xml:space="preserve">można </w:t>
      </w:r>
      <w:r>
        <w:t xml:space="preserve">natomiast </w:t>
      </w:r>
      <w:r w:rsidR="00DF3B09">
        <w:t xml:space="preserve">poczytywać </w:t>
      </w:r>
      <w:r>
        <w:t xml:space="preserve">konieczność oceny postanowień umowy procesowej przez sąd </w:t>
      </w:r>
      <w:r w:rsidRPr="003A4527">
        <w:rPr>
          <w:i/>
        </w:rPr>
        <w:t>in abstracto</w:t>
      </w:r>
      <w:r>
        <w:t>, tj. przed podjęciem przez strony konkretnych czynności procesowych, których dotyczy zawarta umowa. Wstępna kontrola umowy procesowej stanowiłaby także dodatkową czynność, która może przedłużyć proces, zwłaszcza jeśli sąd odmówi zatwierdzenia umowy procesowej, a rozstrzygnięcie to zostanie przez strony zaskarżone.</w:t>
      </w:r>
    </w:p>
    <w:p w:rsidR="002878D0" w:rsidRPr="00825588" w:rsidRDefault="002878D0" w:rsidP="00880E37">
      <w:pPr>
        <w:pStyle w:val="Tekst"/>
        <w:tabs>
          <w:tab w:val="left" w:pos="1418"/>
        </w:tabs>
        <w:spacing w:before="240"/>
        <w:ind w:left="1418" w:hanging="1418"/>
        <w:rPr>
          <w:b/>
        </w:rPr>
      </w:pPr>
      <w:r w:rsidRPr="002878D0">
        <w:rPr>
          <w:b/>
        </w:rPr>
        <w:t xml:space="preserve">Wariant </w:t>
      </w:r>
      <w:r>
        <w:rPr>
          <w:b/>
        </w:rPr>
        <w:t>2</w:t>
      </w:r>
      <w:r w:rsidRPr="00825588">
        <w:rPr>
          <w:b/>
        </w:rPr>
        <w:t xml:space="preserve"> </w:t>
      </w:r>
      <w:r w:rsidR="005E3966">
        <w:rPr>
          <w:b/>
        </w:rPr>
        <w:t xml:space="preserve"> </w:t>
      </w:r>
      <w:r w:rsidRPr="00825588">
        <w:rPr>
          <w:b/>
        </w:rPr>
        <w:t xml:space="preserve">– </w:t>
      </w:r>
      <w:r>
        <w:rPr>
          <w:b/>
        </w:rPr>
        <w:tab/>
        <w:t>kontrola i ocena możliwości stosowania poszczególnych postanowień umowy w toku procesu</w:t>
      </w:r>
      <w:r w:rsidR="003A4527">
        <w:rPr>
          <w:b/>
        </w:rPr>
        <w:t xml:space="preserve"> (model kontroli incydentalnej)</w:t>
      </w:r>
    </w:p>
    <w:p w:rsidR="00E21A67" w:rsidRDefault="002878D0" w:rsidP="00AA41C4">
      <w:pPr>
        <w:pStyle w:val="Tekst"/>
      </w:pPr>
      <w:r>
        <w:t xml:space="preserve">W tym modelu sąd nie dokonywałby </w:t>
      </w:r>
      <w:r w:rsidR="00E21A67">
        <w:t xml:space="preserve">oceny całości postanowień umowy procesowej na wstępnym etapie procesu i nie wydawałby postanowienia zatwierdzającego albo odmawiającego zatwierdzenia umowy procesowej </w:t>
      </w:r>
      <w:r w:rsidR="00E21A67" w:rsidRPr="00E21A67">
        <w:rPr>
          <w:i/>
        </w:rPr>
        <w:t>in genere</w:t>
      </w:r>
      <w:r w:rsidR="00E21A67">
        <w:t xml:space="preserve">. </w:t>
      </w:r>
    </w:p>
    <w:p w:rsidR="00777214" w:rsidRDefault="00E21A67" w:rsidP="00AA41C4">
      <w:pPr>
        <w:pStyle w:val="Tekst"/>
      </w:pPr>
      <w:r>
        <w:t xml:space="preserve">Uzgodnienia stron zawarte w umowie procesowej byłyby uwzględniane i kontrolowane </w:t>
      </w:r>
      <w:r w:rsidR="00777214">
        <w:t xml:space="preserve">incydentalnie, </w:t>
      </w:r>
      <w:r>
        <w:t xml:space="preserve">w ramach </w:t>
      </w:r>
      <w:r w:rsidR="00777214">
        <w:t xml:space="preserve">oceny </w:t>
      </w:r>
      <w:r>
        <w:t xml:space="preserve">konkretnych czynności procesowych stron. Przykładowo, </w:t>
      </w:r>
      <w:r w:rsidR="00BB06A6">
        <w:t>jeśli </w:t>
      </w:r>
      <w:r>
        <w:t xml:space="preserve">strony ograniczyłyby katalog możliwych środków dowodowych wskazując, że na daną okoliczność dowodem koniecznym i zarazem wystarczającym jest ekspertyza „prywatnego” rzeczoznawcy, sąd brałby tę okoliczność pod uwagę decydując o dopuszczeniu dowodów. </w:t>
      </w:r>
      <w:r w:rsidR="00BB06A6">
        <w:t>Gdyby </w:t>
      </w:r>
      <w:r>
        <w:t>np. powód zażądał dopuszczenia dowodu z opinii biegłego na tę okoliczność, a sąd uznałby</w:t>
      </w:r>
      <w:r w:rsidR="00BB06A6">
        <w:t>,</w:t>
      </w:r>
      <w:r>
        <w:t xml:space="preserve"> że </w:t>
      </w:r>
      <w:r w:rsidR="00FA77F2">
        <w:t>takie</w:t>
      </w:r>
      <w:r>
        <w:t xml:space="preserve"> postanowienie umowy procesowej jest ważne i skuteczne, powinien wówczas oddalić wniosek dowodowy powoda. </w:t>
      </w:r>
    </w:p>
    <w:p w:rsidR="002878D0" w:rsidRDefault="00777214" w:rsidP="00AA41C4">
      <w:pPr>
        <w:pStyle w:val="Tekst"/>
      </w:pPr>
      <w:r>
        <w:t xml:space="preserve">Na podobnych zasadach sąd oceniałby inne czynności, których dotyczyłaby umowa procesowa. Model ten opiera się na założeniu, że dopiero w sytuacji, </w:t>
      </w:r>
      <w:r w:rsidR="003A4527">
        <w:t>gdy strona dokonuje</w:t>
      </w:r>
      <w:r>
        <w:t xml:space="preserve"> określonej czynności zgodnie z umową procesową lub twierdzi, że dokonanie jej jest niedopuszczalne w świetle umowy procesowej, sąd każdorazowo </w:t>
      </w:r>
      <w:r w:rsidR="005249CF">
        <w:t>dokonuje</w:t>
      </w:r>
      <w:r>
        <w:t xml:space="preserve"> oceny tych twierdzeń i </w:t>
      </w:r>
      <w:r w:rsidR="005249CF">
        <w:t>podejmuje</w:t>
      </w:r>
      <w:r>
        <w:t xml:space="preserve"> odpowiednie dec</w:t>
      </w:r>
      <w:r w:rsidR="005249CF">
        <w:t>yzje procesowe (np. dopuszcza dowód lub oddala</w:t>
      </w:r>
      <w:r>
        <w:t xml:space="preserve"> wniosek dowodowy w przyp</w:t>
      </w:r>
      <w:r w:rsidR="005249CF">
        <w:t>adku umów dowodowych, odrzuca</w:t>
      </w:r>
      <w:r>
        <w:t xml:space="preserve"> p</w:t>
      </w:r>
      <w:r w:rsidR="005249CF">
        <w:t>ozew wzajemny, nie uwzględnia zarzutu potrącenia, odrzuca lub oddala</w:t>
      </w:r>
      <w:r>
        <w:t xml:space="preserve"> środek zaskarżenia ograniczony lub wyłączony przez strony</w:t>
      </w:r>
      <w:r w:rsidR="003A4527">
        <w:t xml:space="preserve"> itd.</w:t>
      </w:r>
      <w:r>
        <w:t>)</w:t>
      </w:r>
      <w:r w:rsidR="003A4527">
        <w:t>.</w:t>
      </w:r>
    </w:p>
    <w:p w:rsidR="003A4527" w:rsidRDefault="003A4527" w:rsidP="00AA41C4">
      <w:pPr>
        <w:pStyle w:val="Tekst"/>
      </w:pPr>
      <w:r>
        <w:t>Zaletą drugiego modelu kontroli umów procesowych byłoby uniknięcie dodatkowych czynności sądu na wstępnym etapie postępowania i konieczności abstrakcyjnej oceny postanowień umowy procesowej. Z drugiej strony, omawiane rozwiązanie powodowałoby, że strony – dokonując każdej czynności w zaufaniu do umowy procesowej – nie miałyby pewności co do tego, czy to konkretne działanie zostanie zaakceptowane przez sąd, tj. czy w tym zakresie sąd uzna postanowienia umowy za skuteczne i wiążące.</w:t>
      </w:r>
      <w:r w:rsidR="00334963">
        <w:t xml:space="preserve"> Niepewność ta byłaby szczególnie dotkliwa, a wręcz trudna do </w:t>
      </w:r>
      <w:r w:rsidR="00334963">
        <w:lastRenderedPageBreak/>
        <w:t xml:space="preserve">zaakceptowania zwłaszcza w odniesieniu do tych postanowień umów, które dotyczyłyby wnoszenia środków zaskarżenia lub innych czynności, mogących mieć daleko idące konsekwencje dla strony (np. możliwość wniesienia pozwu wzajemnego ze skutkiem </w:t>
      </w:r>
      <w:r w:rsidR="00223843">
        <w:t xml:space="preserve">w postaci </w:t>
      </w:r>
      <w:r w:rsidR="00334963">
        <w:t>przerwania biegu przedawnienia roszczenia).</w:t>
      </w:r>
    </w:p>
    <w:p w:rsidR="00880E37" w:rsidRPr="00223843" w:rsidRDefault="0032129E" w:rsidP="00AA41C4">
      <w:pPr>
        <w:pStyle w:val="Tekst"/>
        <w:rPr>
          <w:b/>
        </w:rPr>
      </w:pPr>
      <w:r w:rsidRPr="00223843">
        <w:rPr>
          <w:b/>
        </w:rPr>
        <w:t xml:space="preserve">Wydaje się, że – niezależnie od tego, który z powyższych wariantów zostałby przyjęty – dzięki kontroli umów procesowych </w:t>
      </w:r>
      <w:r w:rsidR="00386280" w:rsidRPr="00223843">
        <w:rPr>
          <w:b/>
        </w:rPr>
        <w:t xml:space="preserve">przez sąd </w:t>
      </w:r>
      <w:r w:rsidRPr="00223843">
        <w:rPr>
          <w:b/>
        </w:rPr>
        <w:t xml:space="preserve">zapewniona zostałaby ochrona przed nadużywaniem </w:t>
      </w:r>
      <w:r w:rsidR="00BB06A6" w:rsidRPr="00223843">
        <w:rPr>
          <w:b/>
        </w:rPr>
        <w:t>tej </w:t>
      </w:r>
      <w:r w:rsidRPr="00223843">
        <w:rPr>
          <w:b/>
        </w:rPr>
        <w:t xml:space="preserve">instytucji </w:t>
      </w:r>
      <w:r w:rsidR="00386280" w:rsidRPr="00223843">
        <w:rPr>
          <w:b/>
        </w:rPr>
        <w:t>przez silniejszych lub ni</w:t>
      </w:r>
      <w:r w:rsidR="00880E37" w:rsidRPr="00223843">
        <w:rPr>
          <w:b/>
        </w:rPr>
        <w:t xml:space="preserve">euczciwych uczestników obrotu. </w:t>
      </w:r>
    </w:p>
    <w:p w:rsidR="00880E37" w:rsidRDefault="00386280" w:rsidP="00AA41C4">
      <w:pPr>
        <w:pStyle w:val="Tekst"/>
      </w:pPr>
      <w:r>
        <w:t xml:space="preserve">Można </w:t>
      </w:r>
      <w:r w:rsidR="00223843">
        <w:t xml:space="preserve">jednak </w:t>
      </w:r>
      <w:r>
        <w:t>rozważać,</w:t>
      </w:r>
      <w:r w:rsidR="0032129E">
        <w:t xml:space="preserve"> czy przepisy powinny przewidywać dodatkowe – poza kontrolą umowy przez sąd – mechanizmy, które zapobiegałyby nadużywaniu umów procesowych, zwłaszcza </w:t>
      </w:r>
      <w:r w:rsidR="00BB06A6">
        <w:t>przez </w:t>
      </w:r>
      <w:r w:rsidR="0032129E">
        <w:t xml:space="preserve">silniejszych uczestników obrotu. Takim środkiem mogłaby być konieczność „potwierdzenia” w procesie, że wolą stron jest ich związanie postanowieniami umowy procesowej. Wydaje się jednak, że taki wymóg pozbawiałby sensu umowy procesowe zawierane przed wszczęciem postępowania, skoro żadna ze </w:t>
      </w:r>
      <w:r w:rsidR="00247941">
        <w:t xml:space="preserve">stron nie miałaby pewności, że </w:t>
      </w:r>
      <w:r w:rsidR="0032129E">
        <w:t>druga potwierdzi „skuteczność” umowy procesowej w razie zaistni</w:t>
      </w:r>
      <w:r w:rsidR="00223843">
        <w:t>enia</w:t>
      </w:r>
      <w:r w:rsidR="0032129E">
        <w:t xml:space="preserve"> sporu. Ograniczenie możliwości zawierania umów procesowych wprost w ten sposób, że mogłyby być one zawierane jedynie w toku procesu, ist</w:t>
      </w:r>
      <w:r w:rsidR="00247941">
        <w:t xml:space="preserve">otnie ograniczyłoby praktyczną </w:t>
      </w:r>
      <w:r w:rsidR="0032129E">
        <w:t>doniosłość proponowanej instytucji.</w:t>
      </w:r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shd w:val="clear" w:color="auto" w:fill="F3F7FB"/>
        <w:tblLook w:val="04A0" w:firstRow="1" w:lastRow="0" w:firstColumn="1" w:lastColumn="0" w:noHBand="0" w:noVBand="1"/>
      </w:tblPr>
      <w:tblGrid>
        <w:gridCol w:w="9747"/>
      </w:tblGrid>
      <w:tr w:rsidR="0033312E" w:rsidRPr="00B966A6" w:rsidTr="00FA77F2">
        <w:tc>
          <w:tcPr>
            <w:tcW w:w="9747" w:type="dxa"/>
            <w:shd w:val="clear" w:color="auto" w:fill="F3F7FB"/>
          </w:tcPr>
          <w:p w:rsidR="0033312E" w:rsidRPr="0033312E" w:rsidRDefault="0033312E" w:rsidP="005E3966">
            <w:pPr>
              <w:pStyle w:val="AAATekst"/>
              <w:rPr>
                <w:b/>
                <w:color w:val="244061" w:themeColor="accent1" w:themeShade="80"/>
                <w:sz w:val="22"/>
                <w:szCs w:val="22"/>
              </w:rPr>
            </w:pPr>
            <w:bookmarkStart w:id="11" w:name="_Toc455333826"/>
            <w:bookmarkEnd w:id="1"/>
            <w:r w:rsidRPr="0033312E">
              <w:rPr>
                <w:b/>
                <w:color w:val="244061" w:themeColor="accent1" w:themeShade="80"/>
                <w:sz w:val="22"/>
                <w:szCs w:val="22"/>
              </w:rPr>
              <w:t>Pytania:</w:t>
            </w:r>
          </w:p>
          <w:p w:rsidR="0033312E" w:rsidRPr="0033312E" w:rsidRDefault="0033312E" w:rsidP="005E3966">
            <w:pPr>
              <w:pStyle w:val="AAATekst"/>
              <w:rPr>
                <w:color w:val="244061" w:themeColor="accent1" w:themeShade="80"/>
                <w:sz w:val="22"/>
                <w:szCs w:val="22"/>
              </w:rPr>
            </w:pPr>
            <w:r w:rsidRPr="005E3966">
              <w:rPr>
                <w:b/>
                <w:color w:val="244061" w:themeColor="accent1" w:themeShade="80"/>
                <w:sz w:val="22"/>
                <w:szCs w:val="22"/>
              </w:rPr>
              <w:t>1.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>Jaki model kontroli umów procesowych je</w:t>
            </w:r>
            <w:r w:rsidR="00223843">
              <w:rPr>
                <w:color w:val="244061" w:themeColor="accent1" w:themeShade="80"/>
                <w:sz w:val="22"/>
                <w:szCs w:val="22"/>
              </w:rPr>
              <w:t xml:space="preserve">st właściwszy – model kontroli </w:t>
            </w:r>
            <w:r w:rsidRPr="0033312E">
              <w:rPr>
                <w:i/>
                <w:color w:val="244061" w:themeColor="accent1" w:themeShade="80"/>
                <w:sz w:val="22"/>
                <w:szCs w:val="22"/>
              </w:rPr>
              <w:t>ex ante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 xml:space="preserve"> na wstępnym etapie p</w:t>
            </w:r>
            <w:r w:rsidR="00223843">
              <w:rPr>
                <w:color w:val="244061" w:themeColor="accent1" w:themeShade="80"/>
                <w:sz w:val="22"/>
                <w:szCs w:val="22"/>
              </w:rPr>
              <w:t>rocesu, czy też model kontroli incydentalnej,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 xml:space="preserve"> dokonywanej przy każdej czynności procesowej stron?</w:t>
            </w:r>
          </w:p>
          <w:p w:rsidR="0033312E" w:rsidRDefault="0033312E" w:rsidP="005E3966">
            <w:pPr>
              <w:pStyle w:val="AAATekst"/>
              <w:rPr>
                <w:color w:val="244061" w:themeColor="accent1" w:themeShade="80"/>
                <w:sz w:val="22"/>
                <w:szCs w:val="22"/>
              </w:rPr>
            </w:pPr>
            <w:r w:rsidRPr="005E3966">
              <w:rPr>
                <w:b/>
                <w:color w:val="244061" w:themeColor="accent1" w:themeShade="80"/>
                <w:sz w:val="22"/>
                <w:szCs w:val="22"/>
              </w:rPr>
              <w:t>2.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 xml:space="preserve">W przypadku 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pierwszego 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>modelu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: </w:t>
            </w:r>
          </w:p>
          <w:p w:rsidR="0033312E" w:rsidRDefault="0033312E" w:rsidP="00223843">
            <w:pPr>
              <w:pStyle w:val="AAATekst"/>
              <w:numPr>
                <w:ilvl w:val="0"/>
                <w:numId w:val="40"/>
              </w:numPr>
              <w:ind w:left="426" w:hanging="426"/>
              <w:rPr>
                <w:color w:val="244061" w:themeColor="accent1" w:themeShade="80"/>
                <w:sz w:val="22"/>
                <w:szCs w:val="22"/>
              </w:rPr>
            </w:pPr>
            <w:r w:rsidRPr="0033312E">
              <w:rPr>
                <w:color w:val="244061" w:themeColor="accent1" w:themeShade="80"/>
                <w:sz w:val="22"/>
                <w:szCs w:val="22"/>
              </w:rPr>
              <w:t>jaki środek zaskarżenia postanowienia o zatwierdzeniu umow</w:t>
            </w:r>
            <w:r>
              <w:rPr>
                <w:color w:val="244061" w:themeColor="accent1" w:themeShade="80"/>
                <w:sz w:val="22"/>
                <w:szCs w:val="22"/>
              </w:rPr>
              <w:t>y procesowej należy przewidzieć – c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>zy odpowiedni byłby środek niedewol</w:t>
            </w:r>
            <w:r w:rsidR="00223843">
              <w:rPr>
                <w:color w:val="244061" w:themeColor="accent1" w:themeShade="80"/>
                <w:sz w:val="22"/>
                <w:szCs w:val="22"/>
              </w:rPr>
              <w:t xml:space="preserve">utywny (np. wniosek o uchylenie lub 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 xml:space="preserve">zmianę postanowienia do tego samego lub równorzędnego składu sądu)? </w:t>
            </w:r>
          </w:p>
          <w:p w:rsidR="0033312E" w:rsidRPr="0033312E" w:rsidRDefault="0033312E" w:rsidP="00223843">
            <w:pPr>
              <w:pStyle w:val="AAATekst"/>
              <w:numPr>
                <w:ilvl w:val="0"/>
                <w:numId w:val="40"/>
              </w:numPr>
              <w:ind w:left="426" w:hanging="426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color w:val="244061" w:themeColor="accent1" w:themeShade="80"/>
                <w:sz w:val="22"/>
                <w:szCs w:val="22"/>
              </w:rPr>
              <w:t>c</w:t>
            </w:r>
            <w:r w:rsidRPr="0033312E">
              <w:rPr>
                <w:color w:val="244061" w:themeColor="accent1" w:themeShade="80"/>
                <w:sz w:val="22"/>
                <w:szCs w:val="22"/>
              </w:rPr>
              <w:t>zy postanowienie o odmowie zatwierdzenia umowy powinno być zaskarżalne innym środkiem – zażaleniem?</w:t>
            </w:r>
          </w:p>
          <w:p w:rsidR="0033312E" w:rsidRPr="0033312E" w:rsidRDefault="005E3966" w:rsidP="005E3966">
            <w:pPr>
              <w:pStyle w:val="AAATekst"/>
              <w:rPr>
                <w:color w:val="244061" w:themeColor="accent1" w:themeShade="80"/>
                <w:sz w:val="22"/>
                <w:szCs w:val="22"/>
              </w:rPr>
            </w:pPr>
            <w:r w:rsidRPr="005E3966">
              <w:rPr>
                <w:b/>
                <w:color w:val="244061" w:themeColor="accent1" w:themeShade="80"/>
                <w:sz w:val="22"/>
                <w:szCs w:val="22"/>
              </w:rPr>
              <w:t>3</w:t>
            </w:r>
            <w:r w:rsidR="0033312E" w:rsidRPr="0033312E">
              <w:rPr>
                <w:color w:val="244061" w:themeColor="accent1" w:themeShade="80"/>
                <w:sz w:val="22"/>
                <w:szCs w:val="22"/>
              </w:rPr>
              <w:t>. Jak można zapobiec nadużywaniu umów procesowych przez silniejszych uczestników obrotu – zwłaszcza dużych przedsiębiorców w stosunkach ze słabszymi kontrahentami? Czy wystarczy kontrola sądu (przez zatwierdzenie umowy albo w ramach oceny konkretnych czynności stron)?</w:t>
            </w:r>
          </w:p>
          <w:p w:rsidR="0033312E" w:rsidRPr="00025248" w:rsidRDefault="005E3966" w:rsidP="005E3966">
            <w:pPr>
              <w:pStyle w:val="AAATekst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4</w:t>
            </w:r>
            <w:r w:rsidR="0033312E" w:rsidRPr="0033312E">
              <w:rPr>
                <w:color w:val="244061" w:themeColor="accent1" w:themeShade="80"/>
                <w:sz w:val="22"/>
                <w:szCs w:val="22"/>
              </w:rPr>
              <w:t xml:space="preserve">. Czy należałoby przewidzieć konieczność zgodnego potwierdzenia przez strony przed wdaniem się w spór co do istoty sprawy, że ich wolą jest związanie umową zawartą przed procesem? </w:t>
            </w:r>
          </w:p>
        </w:tc>
      </w:tr>
      <w:bookmarkEnd w:id="11"/>
    </w:tbl>
    <w:p w:rsidR="00CB50EB" w:rsidRPr="007F5F21" w:rsidRDefault="00CB50EB" w:rsidP="00691099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CB50EB" w:rsidRPr="007F5F21" w:rsidSect="003F6F1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6" w:left="1134" w:header="0" w:footer="192" w:gutter="0"/>
      <w:pgBorders w:display="firstPage"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2D" w:rsidRDefault="0013472D" w:rsidP="00044A68">
      <w:r>
        <w:separator/>
      </w:r>
    </w:p>
  </w:endnote>
  <w:endnote w:type="continuationSeparator" w:id="0">
    <w:p w:rsidR="0013472D" w:rsidRDefault="0013472D" w:rsidP="0004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F2" w:rsidRDefault="00FA77F2" w:rsidP="00DE4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77F2" w:rsidRDefault="00FA7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F2" w:rsidRPr="00BC1D53" w:rsidRDefault="00FA77F2">
    <w:pPr>
      <w:pStyle w:val="Stopka"/>
      <w:rPr>
        <w:rFonts w:ascii="Arial" w:hAnsi="Arial" w:cs="Arial"/>
        <w:color w:val="244061" w:themeColor="accent1" w:themeShade="80"/>
        <w:sz w:val="16"/>
        <w:szCs w:val="16"/>
      </w:rPr>
    </w:pPr>
  </w:p>
  <w:tbl>
    <w:tblPr>
      <w:tblW w:w="10930" w:type="dxa"/>
      <w:tblInd w:w="-631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"/>
      <w:gridCol w:w="255"/>
      <w:gridCol w:w="10420"/>
    </w:tblGrid>
    <w:tr w:rsidR="00FA77F2" w:rsidRPr="00BC1D53" w:rsidTr="00D87F0E">
      <w:trPr>
        <w:trHeight w:val="49"/>
      </w:trPr>
      <w:tc>
        <w:tcPr>
          <w:tcW w:w="255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A77F2" w:rsidRPr="00BC1D53" w:rsidRDefault="00FA77F2" w:rsidP="00DE4455">
          <w:pPr>
            <w:pStyle w:val="Stopka"/>
            <w:jc w:val="center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  <w:lang w:val="en-US" w:eastAsia="en-US"/>
            </w:rPr>
          </w:pPr>
        </w:p>
      </w:tc>
      <w:tc>
        <w:tcPr>
          <w:tcW w:w="255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A77F2" w:rsidRPr="00BC1D53" w:rsidRDefault="00FA77F2" w:rsidP="00DE4455">
          <w:pPr>
            <w:pStyle w:val="Stopka"/>
            <w:jc w:val="center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  <w:lang w:val="en-US" w:eastAsia="en-US"/>
            </w:rPr>
          </w:pPr>
        </w:p>
      </w:tc>
      <w:tc>
        <w:tcPr>
          <w:tcW w:w="1042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A77F2" w:rsidRPr="00BC1D53" w:rsidRDefault="00FA77F2" w:rsidP="00DE4455">
          <w:pPr>
            <w:pStyle w:val="Stopka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</w:p>
      </w:tc>
    </w:tr>
    <w:tr w:rsidR="00FA77F2" w:rsidRPr="00BC1D53" w:rsidTr="00D87F0E">
      <w:trPr>
        <w:trHeight w:val="199"/>
      </w:trPr>
      <w:tc>
        <w:tcPr>
          <w:tcW w:w="255" w:type="dxa"/>
          <w:tcBorders>
            <w:top w:val="nil"/>
            <w:left w:val="nil"/>
            <w:bottom w:val="nil"/>
            <w:right w:val="nil"/>
          </w:tcBorders>
        </w:tcPr>
        <w:p w:rsidR="00FA77F2" w:rsidRPr="00BC1D53" w:rsidRDefault="00FA77F2" w:rsidP="00DE4455">
          <w:pPr>
            <w:pStyle w:val="Stopka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A77F2" w:rsidRPr="00BC1D53" w:rsidRDefault="00FA77F2" w:rsidP="00DE4455">
          <w:pPr>
            <w:pStyle w:val="Stopka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</w:rPr>
          </w:pPr>
        </w:p>
      </w:tc>
      <w:tc>
        <w:tcPr>
          <w:tcW w:w="1042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FA77F2" w:rsidRPr="00BC1D53" w:rsidRDefault="00FA77F2" w:rsidP="00D87F0E">
          <w:pPr>
            <w:pStyle w:val="Stopka"/>
            <w:ind w:left="33" w:right="773"/>
            <w:jc w:val="center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Ministerstwo Rozwoju, Plac Trzech Krzyży 3/5, 00-507 Warszawa; tel. 22 693 59 35, fax 22 693 40 25, www.mr.gov.pl</w:t>
          </w:r>
        </w:p>
        <w:p w:rsidR="00FA77F2" w:rsidRPr="00BC1D53" w:rsidRDefault="00FA77F2" w:rsidP="00DE4455">
          <w:pPr>
            <w:pStyle w:val="Stopka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</w:p>
      </w:tc>
    </w:tr>
  </w:tbl>
  <w:sdt>
    <w:sdtPr>
      <w:id w:val="1758093874"/>
      <w:docPartObj>
        <w:docPartGallery w:val="Page Numbers (Bottom of Page)"/>
        <w:docPartUnique/>
      </w:docPartObj>
    </w:sdtPr>
    <w:sdtEndPr>
      <w:rPr>
        <w:rFonts w:ascii="Arial" w:hAnsi="Arial" w:cs="Arial"/>
        <w:color w:val="244061" w:themeColor="accent1" w:themeShade="80"/>
        <w:sz w:val="20"/>
        <w:szCs w:val="20"/>
      </w:rPr>
    </w:sdtEndPr>
    <w:sdtContent>
      <w:p w:rsidR="00FA77F2" w:rsidRPr="00BC1D53" w:rsidRDefault="00FA77F2" w:rsidP="00225FC2">
        <w:pPr>
          <w:pStyle w:val="Stopka"/>
          <w:jc w:val="right"/>
          <w:rPr>
            <w:rFonts w:ascii="Arial" w:hAnsi="Arial" w:cs="Arial"/>
            <w:color w:val="244061" w:themeColor="accent1" w:themeShade="80"/>
            <w:sz w:val="20"/>
            <w:szCs w:val="20"/>
          </w:rPr>
        </w:pP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fldChar w:fldCharType="begin"/>
        </w: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instrText>PAGE   \* MERGEFORMAT</w:instrText>
        </w: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fldChar w:fldCharType="separate"/>
        </w:r>
        <w:r w:rsidR="00A564DD">
          <w:rPr>
            <w:rFonts w:ascii="Arial" w:hAnsi="Arial" w:cs="Arial"/>
            <w:noProof/>
            <w:color w:val="244061" w:themeColor="accent1" w:themeShade="80"/>
            <w:sz w:val="20"/>
            <w:szCs w:val="20"/>
          </w:rPr>
          <w:t>13</w:t>
        </w: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fldChar w:fldCharType="end"/>
        </w:r>
      </w:p>
    </w:sdtContent>
  </w:sdt>
  <w:p w:rsidR="00FA77F2" w:rsidRDefault="00FA77F2">
    <w:pPr>
      <w:pStyle w:val="Stopka"/>
    </w:pPr>
  </w:p>
  <w:p w:rsidR="00FA77F2" w:rsidRDefault="00FA77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71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A77F2" w:rsidRDefault="00FA77F2" w:rsidP="00225F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FA77F2" w:rsidRPr="00225FC2" w:rsidRDefault="00A564DD" w:rsidP="00225F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FA77F2" w:rsidRPr="004F7982" w:rsidRDefault="00FA77F2" w:rsidP="00DE4455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2D" w:rsidRDefault="0013472D" w:rsidP="00044A68">
      <w:r>
        <w:separator/>
      </w:r>
    </w:p>
  </w:footnote>
  <w:footnote w:type="continuationSeparator" w:id="0">
    <w:p w:rsidR="0013472D" w:rsidRDefault="0013472D" w:rsidP="00044A68">
      <w:r>
        <w:continuationSeparator/>
      </w:r>
    </w:p>
  </w:footnote>
  <w:footnote w:id="1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Statystyki pochodzą ze sprawozdań statystycznych MS-S19r (sądy rejonowe) i MS-S19o (sądy okręgowe) za rok 2015 i dotyczą spraw oznaczonych symbolem „GC”.</w:t>
      </w:r>
    </w:p>
  </w:footnote>
  <w:footnote w:id="2">
    <w:p w:rsidR="00870938" w:rsidRPr="005D4B1E" w:rsidRDefault="00870938" w:rsidP="005D4B1E">
      <w:pPr>
        <w:pStyle w:val="Tekstprzypisudolnego"/>
        <w:spacing w:after="20"/>
        <w:jc w:val="both"/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T.j. Dz. U. 2014, poz. 101 ze zm.</w:t>
      </w:r>
    </w:p>
  </w:footnote>
  <w:footnote w:id="3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Zgodnie z brzmieniem art. 74 § 4 k.p.c., obowiązującym od 8 września 2016 r. dotyczy to także formy dokumentowej oraz elektronicznej.</w:t>
      </w:r>
    </w:p>
  </w:footnote>
  <w:footnote w:id="4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R. Kulski, </w:t>
      </w:r>
      <w:r w:rsidRPr="005D4B1E">
        <w:rPr>
          <w:rFonts w:ascii="Arial" w:hAnsi="Arial" w:cs="Arial"/>
          <w:i/>
        </w:rPr>
        <w:t xml:space="preserve">Umowy procesowe w postępowaniu cywilnym, </w:t>
      </w:r>
      <w:r w:rsidRPr="005D4B1E">
        <w:rPr>
          <w:rFonts w:ascii="Arial" w:hAnsi="Arial" w:cs="Arial"/>
        </w:rPr>
        <w:t>Wyd. Wolters Kluwer 2006, s. 312.</w:t>
      </w:r>
    </w:p>
  </w:footnote>
  <w:footnote w:id="5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Na podstawie „Wytycznych do przeprowadzenia oceny wpływu oraz konsultacji publicznych w ramach rządowego procesu legislacyjnego”, o których mowa w § 36 ust. 1 uchwały nr 190 Rady Ministrów z </w:t>
      </w:r>
      <w:r w:rsidR="00983845" w:rsidRPr="005D4B1E">
        <w:rPr>
          <w:rFonts w:ascii="Arial" w:hAnsi="Arial" w:cs="Arial"/>
        </w:rPr>
        <w:t>dnia 29 </w:t>
      </w:r>
      <w:r w:rsidRPr="005D4B1E">
        <w:rPr>
          <w:rFonts w:ascii="Arial" w:hAnsi="Arial" w:cs="Arial"/>
        </w:rPr>
        <w:t>października 2013 r. – Regulamin pracy Rady Ministrów (M.P. z 2013 r. poz. 979, z 2015 r. poz. 1063 oraz</w:t>
      </w:r>
      <w:r w:rsidR="00247941" w:rsidRPr="005D4B1E">
        <w:rPr>
          <w:rFonts w:ascii="Arial" w:hAnsi="Arial" w:cs="Arial"/>
        </w:rPr>
        <w:t> </w:t>
      </w:r>
      <w:r w:rsidRPr="005D4B1E">
        <w:rPr>
          <w:rFonts w:ascii="Arial" w:hAnsi="Arial" w:cs="Arial"/>
        </w:rPr>
        <w:t>z</w:t>
      </w:r>
      <w:r w:rsidR="00247941" w:rsidRPr="005D4B1E">
        <w:rPr>
          <w:rFonts w:ascii="Arial" w:hAnsi="Arial" w:cs="Arial"/>
        </w:rPr>
        <w:t> </w:t>
      </w:r>
      <w:r w:rsidRPr="005D4B1E">
        <w:rPr>
          <w:rFonts w:ascii="Arial" w:hAnsi="Arial" w:cs="Arial"/>
        </w:rPr>
        <w:t xml:space="preserve">2016 r. poz. 494), </w:t>
      </w:r>
      <w:r w:rsidRPr="005D4B1E">
        <w:rPr>
          <w:rFonts w:ascii="Arial" w:hAnsi="Arial" w:cs="Arial"/>
          <w:u w:val="single"/>
        </w:rPr>
        <w:t>pre-konsultacje</w:t>
      </w:r>
      <w:r w:rsidRPr="005D4B1E">
        <w:rPr>
          <w:rFonts w:ascii="Arial" w:hAnsi="Arial" w:cs="Arial"/>
        </w:rPr>
        <w:t xml:space="preserve"> są prowadzone </w:t>
      </w:r>
      <w:r w:rsidRPr="005D4B1E">
        <w:rPr>
          <w:rFonts w:ascii="Arial" w:hAnsi="Arial" w:cs="Arial"/>
          <w:u w:val="single"/>
        </w:rPr>
        <w:t>przed opracowaniem projektu i wpisaniem go do Wykazu prac legislacyjnych i programowych Rady Ministrów</w:t>
      </w:r>
      <w:r w:rsidRPr="005D4B1E">
        <w:rPr>
          <w:rFonts w:ascii="Arial" w:hAnsi="Arial" w:cs="Arial"/>
        </w:rPr>
        <w:t>.</w:t>
      </w:r>
    </w:p>
  </w:footnote>
  <w:footnote w:id="6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</w:t>
      </w:r>
      <w:r w:rsidRPr="005D4B1E">
        <w:rPr>
          <w:rFonts w:ascii="Arial" w:hAnsi="Arial" w:cs="Arial"/>
          <w:i/>
        </w:rPr>
        <w:t>Ibidem</w:t>
      </w:r>
      <w:r w:rsidRPr="005D4B1E">
        <w:rPr>
          <w:rFonts w:ascii="Arial" w:hAnsi="Arial" w:cs="Arial"/>
        </w:rPr>
        <w:t>, s. 37.</w:t>
      </w:r>
    </w:p>
  </w:footnote>
  <w:footnote w:id="7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</w:t>
      </w:r>
      <w:r w:rsidRPr="005D4B1E">
        <w:rPr>
          <w:rFonts w:ascii="Arial" w:hAnsi="Arial" w:cs="Arial"/>
          <w:i/>
        </w:rPr>
        <w:t>Ibidem</w:t>
      </w:r>
      <w:r w:rsidRPr="005D4B1E">
        <w:rPr>
          <w:rFonts w:ascii="Arial" w:hAnsi="Arial" w:cs="Arial"/>
        </w:rPr>
        <w:t>, s. 23.</w:t>
      </w:r>
    </w:p>
  </w:footnote>
  <w:footnote w:id="8">
    <w:p w:rsidR="00CA4A37" w:rsidRPr="005D4B1E" w:rsidRDefault="00CA4A37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O. M. Piaskowska „Kodeks postępowania cywilnego. Wybór orzczenictwa”, 2014, SIP LEX.</w:t>
      </w:r>
    </w:p>
  </w:footnote>
  <w:footnote w:id="9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</w:t>
      </w:r>
      <w:r w:rsidRPr="005D4B1E">
        <w:rPr>
          <w:rFonts w:ascii="Arial" w:hAnsi="Arial" w:cs="Arial"/>
          <w:i/>
        </w:rPr>
        <w:t>Ibidem,</w:t>
      </w:r>
      <w:r w:rsidRPr="005D4B1E">
        <w:rPr>
          <w:rFonts w:ascii="Arial" w:hAnsi="Arial" w:cs="Arial"/>
        </w:rPr>
        <w:t xml:space="preserve"> s. 25.</w:t>
      </w:r>
    </w:p>
  </w:footnote>
  <w:footnote w:id="10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</w:t>
      </w:r>
      <w:r w:rsidRPr="005D4B1E">
        <w:rPr>
          <w:rFonts w:ascii="Arial" w:hAnsi="Arial" w:cs="Arial"/>
          <w:i/>
        </w:rPr>
        <w:t>Ibidem</w:t>
      </w:r>
      <w:r w:rsidRPr="005D4B1E">
        <w:rPr>
          <w:rFonts w:ascii="Arial" w:hAnsi="Arial" w:cs="Arial"/>
        </w:rPr>
        <w:t>, s. 39 i n. oraz cytowana tam literatura niemiecka.</w:t>
      </w:r>
    </w:p>
  </w:footnote>
  <w:footnote w:id="11">
    <w:p w:rsidR="00FA77F2" w:rsidRPr="005D4B1E" w:rsidRDefault="00FA77F2" w:rsidP="005D4B1E">
      <w:pPr>
        <w:pStyle w:val="Tekstprzypisudolnego"/>
        <w:spacing w:after="20"/>
        <w:jc w:val="both"/>
        <w:rPr>
          <w:rFonts w:ascii="Arial" w:hAnsi="Arial" w:cs="Arial"/>
        </w:rPr>
      </w:pPr>
      <w:r w:rsidRPr="005D4B1E">
        <w:rPr>
          <w:rStyle w:val="Odwoanieprzypisudolnego"/>
          <w:rFonts w:ascii="Arial" w:hAnsi="Arial" w:cs="Arial"/>
        </w:rPr>
        <w:footnoteRef/>
      </w:r>
      <w:r w:rsidRPr="005D4B1E">
        <w:rPr>
          <w:rFonts w:ascii="Arial" w:hAnsi="Arial" w:cs="Arial"/>
        </w:rPr>
        <w:t xml:space="preserve"> </w:t>
      </w:r>
      <w:r w:rsidRPr="005D4B1E">
        <w:rPr>
          <w:rFonts w:ascii="Arial" w:hAnsi="Arial" w:cs="Arial"/>
          <w:i/>
        </w:rPr>
        <w:t>Ibidem</w:t>
      </w:r>
      <w:r w:rsidRPr="005D4B1E">
        <w:rPr>
          <w:rFonts w:ascii="Arial" w:hAnsi="Arial" w:cs="Arial"/>
        </w:rPr>
        <w:t>, s. 58.</w:t>
      </w:r>
    </w:p>
  </w:footnote>
  <w:footnote w:id="12">
    <w:p w:rsidR="005541D3" w:rsidRPr="005D4B1E" w:rsidRDefault="005541D3" w:rsidP="005D4B1E">
      <w:pPr>
        <w:spacing w:after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D4B1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D4B1E">
        <w:rPr>
          <w:rFonts w:ascii="Arial" w:hAnsi="Arial" w:cs="Arial"/>
          <w:sz w:val="20"/>
          <w:szCs w:val="20"/>
        </w:rPr>
        <w:t xml:space="preserve"> Podobne co do skutku rozwiązania zawiera m.in. art. 30 </w:t>
      </w:r>
      <w:r w:rsidRPr="005D4B1E">
        <w:rPr>
          <w:rFonts w:ascii="Arial" w:eastAsiaTheme="minorHAnsi" w:hAnsi="Arial" w:cs="Arial"/>
          <w:sz w:val="20"/>
          <w:szCs w:val="20"/>
          <w:lang w:eastAsia="en-US"/>
        </w:rPr>
        <w:t>Konwencji o umowie międzynarodowego przewozu drogowego towarów (CMR)</w:t>
      </w:r>
      <w:r w:rsidRPr="005D4B1E">
        <w:rPr>
          <w:rFonts w:ascii="Arial" w:hAnsi="Arial" w:cs="Arial"/>
          <w:sz w:val="20"/>
          <w:szCs w:val="20"/>
        </w:rPr>
        <w:t xml:space="preserve">, </w:t>
      </w:r>
      <w:r w:rsidRPr="005D4B1E">
        <w:rPr>
          <w:rFonts w:ascii="Arial" w:eastAsiaTheme="minorHAnsi" w:hAnsi="Arial" w:cs="Arial"/>
          <w:sz w:val="20"/>
          <w:szCs w:val="20"/>
          <w:lang w:eastAsia="en-US"/>
        </w:rPr>
        <w:t>sporządzonej w Genewie dnia 19 maja 1956 r. (Dz. U. z 1962 r. Nr 49, poz. 238).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F2" w:rsidRDefault="00FA77F2" w:rsidP="00DE4455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4EDFE" wp14:editId="26EADDE0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617220"/>
              <wp:effectExtent l="0" t="0" r="508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7F2" w:rsidRPr="001A2848" w:rsidRDefault="00FA77F2" w:rsidP="00DE445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FA77F2" w:rsidRPr="001A2848" w:rsidRDefault="00FA77F2" w:rsidP="00DE445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FA77F2" w:rsidRPr="001A2848" w:rsidRDefault="00FA77F2" w:rsidP="00DE445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4pt;margin-top:32.45pt;width:206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" stroked="f">
              <v:textbox style="mso-fit-shape-to-text:t">
                <w:txbxContent>
                  <w:p w:rsidR="00FA77F2" w:rsidRPr="001A2848" w:rsidRDefault="00FA77F2" w:rsidP="00DE4455">
                    <w:pPr>
                      <w:jc w:val="center"/>
                      <w:rPr>
                        <w:color w:val="000000"/>
                      </w:rPr>
                    </w:pPr>
                  </w:p>
                  <w:p w:rsidR="00FA77F2" w:rsidRPr="001A2848" w:rsidRDefault="00FA77F2" w:rsidP="00DE4455">
                    <w:pPr>
                      <w:jc w:val="center"/>
                      <w:rPr>
                        <w:color w:val="000000"/>
                      </w:rPr>
                    </w:pPr>
                  </w:p>
                  <w:p w:rsidR="00FA77F2" w:rsidRPr="001A2848" w:rsidRDefault="00FA77F2" w:rsidP="00DE4455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9C"/>
    <w:multiLevelType w:val="hybridMultilevel"/>
    <w:tmpl w:val="79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505"/>
    <w:multiLevelType w:val="hybridMultilevel"/>
    <w:tmpl w:val="79CAA0EA"/>
    <w:lvl w:ilvl="0" w:tplc="D2FC9FAA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B232D94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216D"/>
    <w:multiLevelType w:val="hybridMultilevel"/>
    <w:tmpl w:val="EFBC9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2836"/>
    <w:multiLevelType w:val="hybridMultilevel"/>
    <w:tmpl w:val="C198934C"/>
    <w:lvl w:ilvl="0" w:tplc="468E125E">
      <w:start w:val="1"/>
      <w:numFmt w:val="upperRoman"/>
      <w:pStyle w:val="PktI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01F"/>
    <w:multiLevelType w:val="hybridMultilevel"/>
    <w:tmpl w:val="942E15B2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4CAE"/>
    <w:multiLevelType w:val="hybridMultilevel"/>
    <w:tmpl w:val="5DDC359A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5150"/>
    <w:multiLevelType w:val="hybridMultilevel"/>
    <w:tmpl w:val="77E8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7794"/>
    <w:multiLevelType w:val="hybridMultilevel"/>
    <w:tmpl w:val="F52C4980"/>
    <w:lvl w:ilvl="0" w:tplc="86C820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AA04B9"/>
    <w:multiLevelType w:val="hybridMultilevel"/>
    <w:tmpl w:val="7D6E79AE"/>
    <w:lvl w:ilvl="0" w:tplc="FF420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C40F8"/>
    <w:multiLevelType w:val="hybridMultilevel"/>
    <w:tmpl w:val="7CC40346"/>
    <w:lvl w:ilvl="0" w:tplc="276253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042F69"/>
    <w:multiLevelType w:val="hybridMultilevel"/>
    <w:tmpl w:val="417490F4"/>
    <w:lvl w:ilvl="0" w:tplc="7DC68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4EBB"/>
    <w:multiLevelType w:val="hybridMultilevel"/>
    <w:tmpl w:val="4F84012C"/>
    <w:lvl w:ilvl="0" w:tplc="6EE4A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4882"/>
    <w:multiLevelType w:val="hybridMultilevel"/>
    <w:tmpl w:val="AD5C2C10"/>
    <w:lvl w:ilvl="0" w:tplc="7CCA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879B7"/>
    <w:multiLevelType w:val="hybridMultilevel"/>
    <w:tmpl w:val="0D420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77A2"/>
    <w:multiLevelType w:val="multilevel"/>
    <w:tmpl w:val="A20C4D50"/>
    <w:lvl w:ilvl="0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2A3A4037"/>
    <w:multiLevelType w:val="hybridMultilevel"/>
    <w:tmpl w:val="37AC2CDA"/>
    <w:lvl w:ilvl="0" w:tplc="1B0AA27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F0661"/>
    <w:multiLevelType w:val="hybridMultilevel"/>
    <w:tmpl w:val="E3B07DD0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0409B"/>
    <w:multiLevelType w:val="hybridMultilevel"/>
    <w:tmpl w:val="CB74A4B6"/>
    <w:lvl w:ilvl="0" w:tplc="BBE86B2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5E10FCC2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B17CFD"/>
    <w:multiLevelType w:val="hybridMultilevel"/>
    <w:tmpl w:val="62BA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62235"/>
    <w:multiLevelType w:val="hybridMultilevel"/>
    <w:tmpl w:val="A774B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88873E3"/>
    <w:multiLevelType w:val="hybridMultilevel"/>
    <w:tmpl w:val="37C6EE8A"/>
    <w:lvl w:ilvl="0" w:tplc="A10AA5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019F4"/>
    <w:multiLevelType w:val="hybridMultilevel"/>
    <w:tmpl w:val="C7209E3E"/>
    <w:lvl w:ilvl="0" w:tplc="276253FC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C210C92"/>
    <w:multiLevelType w:val="hybridMultilevel"/>
    <w:tmpl w:val="E23E2348"/>
    <w:lvl w:ilvl="0" w:tplc="7CCAB2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91840"/>
    <w:multiLevelType w:val="hybridMultilevel"/>
    <w:tmpl w:val="2CB4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F5C9A"/>
    <w:multiLevelType w:val="multilevel"/>
    <w:tmpl w:val="12AC9F58"/>
    <w:lvl w:ilvl="0">
      <w:start w:val="1"/>
      <w:numFmt w:val="upperRoman"/>
      <w:pStyle w:val="Nagwek1"/>
      <w:lvlText w:val="%1."/>
      <w:lvlJc w:val="right"/>
      <w:pPr>
        <w:ind w:left="858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578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722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2010" w:hanging="1584"/>
      </w:pPr>
      <w:rPr>
        <w:rFonts w:cs="Times New Roman" w:hint="default"/>
      </w:rPr>
    </w:lvl>
  </w:abstractNum>
  <w:abstractNum w:abstractNumId="26">
    <w:nsid w:val="45B14A37"/>
    <w:multiLevelType w:val="hybridMultilevel"/>
    <w:tmpl w:val="2A4874C0"/>
    <w:lvl w:ilvl="0" w:tplc="6F00D3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B8B5147"/>
    <w:multiLevelType w:val="hybridMultilevel"/>
    <w:tmpl w:val="61648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A83656"/>
    <w:multiLevelType w:val="hybridMultilevel"/>
    <w:tmpl w:val="7108C324"/>
    <w:lvl w:ilvl="0" w:tplc="7CCA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44651"/>
    <w:multiLevelType w:val="hybridMultilevel"/>
    <w:tmpl w:val="4DDC61E2"/>
    <w:lvl w:ilvl="0" w:tplc="276253F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C3303"/>
    <w:multiLevelType w:val="hybridMultilevel"/>
    <w:tmpl w:val="9E12B022"/>
    <w:lvl w:ilvl="0" w:tplc="761EC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6BA2"/>
    <w:multiLevelType w:val="hybridMultilevel"/>
    <w:tmpl w:val="8A7E8F7E"/>
    <w:lvl w:ilvl="0" w:tplc="06624F32">
      <w:start w:val="1"/>
      <w:numFmt w:val="decimal"/>
      <w:pStyle w:val="11KKGZacznik"/>
      <w:lvlText w:val="Załącznik 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62062"/>
    <w:multiLevelType w:val="hybridMultilevel"/>
    <w:tmpl w:val="0AA8434E"/>
    <w:lvl w:ilvl="0" w:tplc="235CD6E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1A77E0"/>
    <w:multiLevelType w:val="hybridMultilevel"/>
    <w:tmpl w:val="2A4874C0"/>
    <w:lvl w:ilvl="0" w:tplc="6F00D3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3E1085"/>
    <w:multiLevelType w:val="hybridMultilevel"/>
    <w:tmpl w:val="FCD65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34189"/>
    <w:multiLevelType w:val="hybridMultilevel"/>
    <w:tmpl w:val="0EA0700A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94E96"/>
    <w:multiLevelType w:val="multilevel"/>
    <w:tmpl w:val="35E89018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7">
    <w:nsid w:val="7CB03397"/>
    <w:multiLevelType w:val="hybridMultilevel"/>
    <w:tmpl w:val="4F84012C"/>
    <w:lvl w:ilvl="0" w:tplc="6EE4A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25"/>
  </w:num>
  <w:num w:numId="5">
    <w:abstractNumId w:val="36"/>
  </w:num>
  <w:num w:numId="6">
    <w:abstractNumId w:val="20"/>
  </w:num>
  <w:num w:numId="7">
    <w:abstractNumId w:val="19"/>
  </w:num>
  <w:num w:numId="8">
    <w:abstractNumId w:val="12"/>
  </w:num>
  <w:num w:numId="9">
    <w:abstractNumId w:val="23"/>
  </w:num>
  <w:num w:numId="10">
    <w:abstractNumId w:val="11"/>
  </w:num>
  <w:num w:numId="11">
    <w:abstractNumId w:val="30"/>
  </w:num>
  <w:num w:numId="12">
    <w:abstractNumId w:val="10"/>
  </w:num>
  <w:num w:numId="13">
    <w:abstractNumId w:val="5"/>
  </w:num>
  <w:num w:numId="14">
    <w:abstractNumId w:val="16"/>
  </w:num>
  <w:num w:numId="15">
    <w:abstractNumId w:val="35"/>
  </w:num>
  <w:num w:numId="16">
    <w:abstractNumId w:val="9"/>
  </w:num>
  <w:num w:numId="17">
    <w:abstractNumId w:val="4"/>
  </w:num>
  <w:num w:numId="18">
    <w:abstractNumId w:val="37"/>
  </w:num>
  <w:num w:numId="19">
    <w:abstractNumId w:val="31"/>
  </w:num>
  <w:num w:numId="20">
    <w:abstractNumId w:val="17"/>
  </w:num>
  <w:num w:numId="21">
    <w:abstractNumId w:val="13"/>
  </w:num>
  <w:num w:numId="22">
    <w:abstractNumId w:val="32"/>
  </w:num>
  <w:num w:numId="23">
    <w:abstractNumId w:val="27"/>
  </w:num>
  <w:num w:numId="24">
    <w:abstractNumId w:val="8"/>
  </w:num>
  <w:num w:numId="25">
    <w:abstractNumId w:val="7"/>
  </w:num>
  <w:num w:numId="26">
    <w:abstractNumId w:val="33"/>
  </w:num>
  <w:num w:numId="27">
    <w:abstractNumId w:val="26"/>
  </w:num>
  <w:num w:numId="28">
    <w:abstractNumId w:val="22"/>
  </w:num>
  <w:num w:numId="29">
    <w:abstractNumId w:val="0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"/>
  </w:num>
  <w:num w:numId="37">
    <w:abstractNumId w:val="6"/>
  </w:num>
  <w:num w:numId="38">
    <w:abstractNumId w:val="28"/>
  </w:num>
  <w:num w:numId="39">
    <w:abstractNumId w:val="2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8"/>
    <w:rsid w:val="00016359"/>
    <w:rsid w:val="00016FFC"/>
    <w:rsid w:val="00017F82"/>
    <w:rsid w:val="00021E0A"/>
    <w:rsid w:val="00025248"/>
    <w:rsid w:val="00044A68"/>
    <w:rsid w:val="00053934"/>
    <w:rsid w:val="00094356"/>
    <w:rsid w:val="000970E5"/>
    <w:rsid w:val="00097D50"/>
    <w:rsid w:val="000A4CBD"/>
    <w:rsid w:val="000B0F24"/>
    <w:rsid w:val="000B7EA8"/>
    <w:rsid w:val="000C7C2D"/>
    <w:rsid w:val="000D59E2"/>
    <w:rsid w:val="000E08D4"/>
    <w:rsid w:val="000E114B"/>
    <w:rsid w:val="000E598D"/>
    <w:rsid w:val="000F325D"/>
    <w:rsid w:val="000F7A65"/>
    <w:rsid w:val="00107490"/>
    <w:rsid w:val="001105DB"/>
    <w:rsid w:val="00122512"/>
    <w:rsid w:val="0013472D"/>
    <w:rsid w:val="00140648"/>
    <w:rsid w:val="00143A18"/>
    <w:rsid w:val="0015650B"/>
    <w:rsid w:val="001726B2"/>
    <w:rsid w:val="00176A7D"/>
    <w:rsid w:val="00191BCA"/>
    <w:rsid w:val="001947D4"/>
    <w:rsid w:val="001A143C"/>
    <w:rsid w:val="001A27E8"/>
    <w:rsid w:val="001B686E"/>
    <w:rsid w:val="001D07ED"/>
    <w:rsid w:val="001E7900"/>
    <w:rsid w:val="001E7E39"/>
    <w:rsid w:val="00201958"/>
    <w:rsid w:val="00206015"/>
    <w:rsid w:val="00223843"/>
    <w:rsid w:val="002258BB"/>
    <w:rsid w:val="002259BD"/>
    <w:rsid w:val="00225FC2"/>
    <w:rsid w:val="00247941"/>
    <w:rsid w:val="00282144"/>
    <w:rsid w:val="002878D0"/>
    <w:rsid w:val="002963A4"/>
    <w:rsid w:val="002A07BD"/>
    <w:rsid w:val="002A2C8D"/>
    <w:rsid w:val="002A6295"/>
    <w:rsid w:val="002B6B6E"/>
    <w:rsid w:val="002B78FB"/>
    <w:rsid w:val="002C0D05"/>
    <w:rsid w:val="002C441E"/>
    <w:rsid w:val="002E3961"/>
    <w:rsid w:val="002F11DF"/>
    <w:rsid w:val="00313D5B"/>
    <w:rsid w:val="003143AF"/>
    <w:rsid w:val="0032129E"/>
    <w:rsid w:val="00321A32"/>
    <w:rsid w:val="003307E3"/>
    <w:rsid w:val="0033312E"/>
    <w:rsid w:val="00334963"/>
    <w:rsid w:val="00337499"/>
    <w:rsid w:val="00352ADE"/>
    <w:rsid w:val="00370A52"/>
    <w:rsid w:val="00386280"/>
    <w:rsid w:val="00386461"/>
    <w:rsid w:val="003A2D2D"/>
    <w:rsid w:val="003A4527"/>
    <w:rsid w:val="003D50EC"/>
    <w:rsid w:val="003F6F19"/>
    <w:rsid w:val="004056A0"/>
    <w:rsid w:val="00443C9C"/>
    <w:rsid w:val="00480400"/>
    <w:rsid w:val="00481BDC"/>
    <w:rsid w:val="0048599B"/>
    <w:rsid w:val="0049698B"/>
    <w:rsid w:val="00497705"/>
    <w:rsid w:val="00497FFE"/>
    <w:rsid w:val="004A2D86"/>
    <w:rsid w:val="004A6EE8"/>
    <w:rsid w:val="004C074D"/>
    <w:rsid w:val="004C1A2B"/>
    <w:rsid w:val="004C7615"/>
    <w:rsid w:val="004D45D5"/>
    <w:rsid w:val="004D5FF4"/>
    <w:rsid w:val="004E161C"/>
    <w:rsid w:val="004E47C7"/>
    <w:rsid w:val="005249CF"/>
    <w:rsid w:val="00547D6A"/>
    <w:rsid w:val="005541D3"/>
    <w:rsid w:val="005644BD"/>
    <w:rsid w:val="00584BF4"/>
    <w:rsid w:val="00586A60"/>
    <w:rsid w:val="005908BE"/>
    <w:rsid w:val="005908F8"/>
    <w:rsid w:val="00592974"/>
    <w:rsid w:val="005C5ABF"/>
    <w:rsid w:val="005D2B30"/>
    <w:rsid w:val="005D4A22"/>
    <w:rsid w:val="005D4B1E"/>
    <w:rsid w:val="005E3966"/>
    <w:rsid w:val="005F13C7"/>
    <w:rsid w:val="005F5783"/>
    <w:rsid w:val="00612BB0"/>
    <w:rsid w:val="006136DB"/>
    <w:rsid w:val="00637659"/>
    <w:rsid w:val="0065356E"/>
    <w:rsid w:val="00661BF8"/>
    <w:rsid w:val="006711CB"/>
    <w:rsid w:val="00682145"/>
    <w:rsid w:val="00686060"/>
    <w:rsid w:val="00691099"/>
    <w:rsid w:val="006D7A31"/>
    <w:rsid w:val="006F2F86"/>
    <w:rsid w:val="00717968"/>
    <w:rsid w:val="007341C2"/>
    <w:rsid w:val="00750EAD"/>
    <w:rsid w:val="00754CDA"/>
    <w:rsid w:val="00760015"/>
    <w:rsid w:val="00765C8E"/>
    <w:rsid w:val="00777214"/>
    <w:rsid w:val="007846D6"/>
    <w:rsid w:val="00793BC4"/>
    <w:rsid w:val="007A2823"/>
    <w:rsid w:val="007B4CAB"/>
    <w:rsid w:val="007B7C26"/>
    <w:rsid w:val="007C5584"/>
    <w:rsid w:val="007D6EF4"/>
    <w:rsid w:val="007F1C6F"/>
    <w:rsid w:val="007F5F21"/>
    <w:rsid w:val="007F678C"/>
    <w:rsid w:val="0080023C"/>
    <w:rsid w:val="008125AD"/>
    <w:rsid w:val="008128F4"/>
    <w:rsid w:val="00825588"/>
    <w:rsid w:val="00836CE1"/>
    <w:rsid w:val="00842738"/>
    <w:rsid w:val="00842E6C"/>
    <w:rsid w:val="00844E05"/>
    <w:rsid w:val="0086287E"/>
    <w:rsid w:val="00865622"/>
    <w:rsid w:val="00870938"/>
    <w:rsid w:val="00877BB4"/>
    <w:rsid w:val="00880E37"/>
    <w:rsid w:val="00887216"/>
    <w:rsid w:val="008A7CDE"/>
    <w:rsid w:val="008B4CD6"/>
    <w:rsid w:val="008F10C3"/>
    <w:rsid w:val="009043D3"/>
    <w:rsid w:val="009065C3"/>
    <w:rsid w:val="009115E7"/>
    <w:rsid w:val="009147DB"/>
    <w:rsid w:val="00920E22"/>
    <w:rsid w:val="00926DD3"/>
    <w:rsid w:val="0092764A"/>
    <w:rsid w:val="009326E3"/>
    <w:rsid w:val="00940BB1"/>
    <w:rsid w:val="00951D59"/>
    <w:rsid w:val="00954192"/>
    <w:rsid w:val="00964A94"/>
    <w:rsid w:val="00983845"/>
    <w:rsid w:val="00985E8F"/>
    <w:rsid w:val="009A3486"/>
    <w:rsid w:val="009A72B7"/>
    <w:rsid w:val="009B0D3A"/>
    <w:rsid w:val="009C14C4"/>
    <w:rsid w:val="009C361A"/>
    <w:rsid w:val="009C71FB"/>
    <w:rsid w:val="009D2B24"/>
    <w:rsid w:val="009E0F01"/>
    <w:rsid w:val="00A01F24"/>
    <w:rsid w:val="00A04E90"/>
    <w:rsid w:val="00A11A0C"/>
    <w:rsid w:val="00A162DC"/>
    <w:rsid w:val="00A25A15"/>
    <w:rsid w:val="00A26D20"/>
    <w:rsid w:val="00A35A81"/>
    <w:rsid w:val="00A36AD2"/>
    <w:rsid w:val="00A564DD"/>
    <w:rsid w:val="00A57BE4"/>
    <w:rsid w:val="00A619C0"/>
    <w:rsid w:val="00A76018"/>
    <w:rsid w:val="00A80F9E"/>
    <w:rsid w:val="00AA41C4"/>
    <w:rsid w:val="00AB04C0"/>
    <w:rsid w:val="00AB1957"/>
    <w:rsid w:val="00AD783B"/>
    <w:rsid w:val="00AE5AD8"/>
    <w:rsid w:val="00AF57CB"/>
    <w:rsid w:val="00AF5C23"/>
    <w:rsid w:val="00B22017"/>
    <w:rsid w:val="00B24379"/>
    <w:rsid w:val="00B325C1"/>
    <w:rsid w:val="00B34886"/>
    <w:rsid w:val="00B419EA"/>
    <w:rsid w:val="00B50161"/>
    <w:rsid w:val="00B525E8"/>
    <w:rsid w:val="00B55C7F"/>
    <w:rsid w:val="00B61B87"/>
    <w:rsid w:val="00B64F68"/>
    <w:rsid w:val="00B72861"/>
    <w:rsid w:val="00B865C8"/>
    <w:rsid w:val="00B966A6"/>
    <w:rsid w:val="00BA3171"/>
    <w:rsid w:val="00BA6E45"/>
    <w:rsid w:val="00BB06A6"/>
    <w:rsid w:val="00BC18F4"/>
    <w:rsid w:val="00BC1D53"/>
    <w:rsid w:val="00BE645C"/>
    <w:rsid w:val="00BF026E"/>
    <w:rsid w:val="00BF1BF6"/>
    <w:rsid w:val="00BF4332"/>
    <w:rsid w:val="00C02124"/>
    <w:rsid w:val="00C074A5"/>
    <w:rsid w:val="00C26A62"/>
    <w:rsid w:val="00C40964"/>
    <w:rsid w:val="00C40981"/>
    <w:rsid w:val="00C57711"/>
    <w:rsid w:val="00C60306"/>
    <w:rsid w:val="00C64F34"/>
    <w:rsid w:val="00C70220"/>
    <w:rsid w:val="00C936B2"/>
    <w:rsid w:val="00C96113"/>
    <w:rsid w:val="00CA4A37"/>
    <w:rsid w:val="00CA745E"/>
    <w:rsid w:val="00CB50EB"/>
    <w:rsid w:val="00CB53C0"/>
    <w:rsid w:val="00CB7C73"/>
    <w:rsid w:val="00CF773D"/>
    <w:rsid w:val="00D12087"/>
    <w:rsid w:val="00D41E57"/>
    <w:rsid w:val="00D44F7B"/>
    <w:rsid w:val="00D502FA"/>
    <w:rsid w:val="00D548F9"/>
    <w:rsid w:val="00D6069D"/>
    <w:rsid w:val="00D72656"/>
    <w:rsid w:val="00D87F0E"/>
    <w:rsid w:val="00DB6366"/>
    <w:rsid w:val="00DB7C01"/>
    <w:rsid w:val="00DC417A"/>
    <w:rsid w:val="00DC6D8C"/>
    <w:rsid w:val="00DD044A"/>
    <w:rsid w:val="00DE4455"/>
    <w:rsid w:val="00DE7FC6"/>
    <w:rsid w:val="00DF3B09"/>
    <w:rsid w:val="00E21A67"/>
    <w:rsid w:val="00E33586"/>
    <w:rsid w:val="00E355F7"/>
    <w:rsid w:val="00E470D8"/>
    <w:rsid w:val="00E71778"/>
    <w:rsid w:val="00E83DB4"/>
    <w:rsid w:val="00E94AE7"/>
    <w:rsid w:val="00EA5692"/>
    <w:rsid w:val="00EB6F3B"/>
    <w:rsid w:val="00EC6C91"/>
    <w:rsid w:val="00ED7CA2"/>
    <w:rsid w:val="00EE29D4"/>
    <w:rsid w:val="00F42233"/>
    <w:rsid w:val="00F57F8E"/>
    <w:rsid w:val="00F636BF"/>
    <w:rsid w:val="00F76898"/>
    <w:rsid w:val="00F80DA7"/>
    <w:rsid w:val="00F810F8"/>
    <w:rsid w:val="00F825FC"/>
    <w:rsid w:val="00F95D9C"/>
    <w:rsid w:val="00F9736A"/>
    <w:rsid w:val="00FA77F2"/>
    <w:rsid w:val="00FB27C4"/>
    <w:rsid w:val="00FB3852"/>
    <w:rsid w:val="00FB4504"/>
    <w:rsid w:val="00FC04EA"/>
    <w:rsid w:val="00FC2EB6"/>
    <w:rsid w:val="00FC4530"/>
    <w:rsid w:val="00FC7499"/>
    <w:rsid w:val="00FD46AA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C73"/>
    <w:pPr>
      <w:keepNext/>
      <w:numPr>
        <w:numId w:val="4"/>
      </w:numPr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B7C73"/>
    <w:pPr>
      <w:numPr>
        <w:ilvl w:val="4"/>
        <w:numId w:val="4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7C73"/>
    <w:pPr>
      <w:numPr>
        <w:ilvl w:val="5"/>
        <w:numId w:val="4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B7C73"/>
    <w:pPr>
      <w:numPr>
        <w:ilvl w:val="6"/>
        <w:numId w:val="4"/>
      </w:numPr>
      <w:spacing w:before="240" w:after="60"/>
      <w:outlineLvl w:val="6"/>
    </w:pPr>
    <w:rPr>
      <w:rFonts w:ascii="Calibri" w:eastAsia="MS Mincho" w:hAnsi="Calibri"/>
    </w:rPr>
  </w:style>
  <w:style w:type="paragraph" w:styleId="Nagwek8">
    <w:name w:val="heading 8"/>
    <w:basedOn w:val="Normalny"/>
    <w:next w:val="Normalny"/>
    <w:link w:val="Nagwek8Znak"/>
    <w:qFormat/>
    <w:rsid w:val="00CB7C73"/>
    <w:pPr>
      <w:numPr>
        <w:ilvl w:val="7"/>
        <w:numId w:val="4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B7C73"/>
    <w:pPr>
      <w:numPr>
        <w:ilvl w:val="8"/>
        <w:numId w:val="4"/>
      </w:numPr>
      <w:spacing w:before="240" w:after="60"/>
      <w:outlineLvl w:val="8"/>
    </w:pPr>
    <w:rPr>
      <w:rFonts w:ascii="Cambria" w:eastAsia="MS Mincho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44A6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44A6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uiPriority w:val="99"/>
    <w:rsid w:val="00044A68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uiPriority w:val="99"/>
    <w:rsid w:val="00044A68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uiPriority w:val="99"/>
    <w:rsid w:val="00044A68"/>
    <w:rPr>
      <w:rFonts w:cs="Times New Roman"/>
      <w:vertAlign w:val="superscript"/>
    </w:rPr>
  </w:style>
  <w:style w:type="paragraph" w:styleId="Tekstpodstawowy">
    <w:name w:val="Body Text"/>
    <w:aliases w:val="GT Tekst podstawowy,LOAN,bt,body text,(F2)"/>
    <w:basedOn w:val="Normalny"/>
    <w:link w:val="TekstpodstawowyZnak"/>
    <w:qFormat/>
    <w:rsid w:val="00044A68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aliases w:val="GT Tekst podstawowy Znak,LOAN Znak,bt Znak,body text Znak,(F2) Znak"/>
    <w:basedOn w:val="Domylnaczcionkaakapitu"/>
    <w:link w:val="Tekstpodstawowy"/>
    <w:rsid w:val="00044A68"/>
    <w:rPr>
      <w:rFonts w:ascii="Garamond" w:eastAsia="Times New Roman" w:hAnsi="Garamond" w:cs="Arial"/>
      <w:szCs w:val="20"/>
    </w:rPr>
  </w:style>
  <w:style w:type="paragraph" w:customStyle="1" w:styleId="PktI">
    <w:name w:val="*Pkt I"/>
    <w:basedOn w:val="Akapitzlist"/>
    <w:link w:val="PktIZnak"/>
    <w:qFormat/>
    <w:rsid w:val="00044A68"/>
    <w:pPr>
      <w:numPr>
        <w:numId w:val="2"/>
      </w:numPr>
      <w:spacing w:before="240" w:after="240" w:line="300" w:lineRule="auto"/>
      <w:ind w:left="1077"/>
      <w:contextualSpacing w:val="0"/>
    </w:pPr>
    <w:rPr>
      <w:rFonts w:ascii="Arial" w:hAnsi="Arial" w:cs="Arial"/>
      <w:b/>
      <w:caps/>
      <w:sz w:val="20"/>
      <w:szCs w:val="20"/>
    </w:rPr>
  </w:style>
  <w:style w:type="paragraph" w:customStyle="1" w:styleId="Pkt1">
    <w:name w:val="*Pkt 1"/>
    <w:basedOn w:val="Akapitzlist"/>
    <w:link w:val="Pkt1Znak"/>
    <w:qFormat/>
    <w:rsid w:val="00044A68"/>
    <w:pPr>
      <w:numPr>
        <w:numId w:val="3"/>
      </w:numPr>
      <w:tabs>
        <w:tab w:val="left" w:pos="567"/>
      </w:tabs>
      <w:spacing w:after="120" w:line="300" w:lineRule="auto"/>
      <w:ind w:left="567" w:hanging="567"/>
    </w:pPr>
    <w:rPr>
      <w:rFonts w:ascii="Arial" w:hAnsi="Arial" w:cs="Arial"/>
      <w:b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4A68"/>
    <w:rPr>
      <w:rFonts w:ascii="Calibri" w:eastAsia="Calibri" w:hAnsi="Calibri" w:cs="Times New Roman"/>
    </w:rPr>
  </w:style>
  <w:style w:type="character" w:customStyle="1" w:styleId="PktIZnak">
    <w:name w:val="*Pkt I Znak"/>
    <w:basedOn w:val="AkapitzlistZnak"/>
    <w:link w:val="PktI"/>
    <w:rsid w:val="00044A68"/>
    <w:rPr>
      <w:rFonts w:ascii="Arial" w:eastAsia="Calibri" w:hAnsi="Arial" w:cs="Arial"/>
      <w:b/>
      <w:caps/>
      <w:sz w:val="20"/>
      <w:szCs w:val="20"/>
    </w:rPr>
  </w:style>
  <w:style w:type="paragraph" w:customStyle="1" w:styleId="Pkt11">
    <w:name w:val="*Pkt 1.1."/>
    <w:basedOn w:val="Normalny"/>
    <w:link w:val="Pkt11Znak"/>
    <w:qFormat/>
    <w:rsid w:val="00044A68"/>
    <w:pPr>
      <w:tabs>
        <w:tab w:val="left" w:pos="567"/>
      </w:tabs>
      <w:spacing w:after="120" w:line="300" w:lineRule="auto"/>
      <w:ind w:left="567" w:hanging="567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Pkt1Znak">
    <w:name w:val="*Pkt 1 Znak"/>
    <w:basedOn w:val="AkapitzlistZnak"/>
    <w:link w:val="Pkt1"/>
    <w:rsid w:val="00044A68"/>
    <w:rPr>
      <w:rFonts w:ascii="Arial" w:eastAsia="Calibri" w:hAnsi="Arial" w:cs="Arial"/>
      <w:b/>
      <w:sz w:val="21"/>
      <w:szCs w:val="21"/>
    </w:rPr>
  </w:style>
  <w:style w:type="paragraph" w:customStyle="1" w:styleId="Podtytu">
    <w:name w:val="*Podtytuł"/>
    <w:basedOn w:val="Pkt11"/>
    <w:link w:val="PodtytuZnak"/>
    <w:qFormat/>
    <w:rsid w:val="00044A68"/>
    <w:pPr>
      <w:ind w:firstLine="0"/>
    </w:pPr>
    <w:rPr>
      <w:b w:val="0"/>
      <w:i w:val="0"/>
      <w:u w:val="single"/>
    </w:rPr>
  </w:style>
  <w:style w:type="character" w:customStyle="1" w:styleId="Pkt11Znak">
    <w:name w:val="*Pkt 1.1. Znak"/>
    <w:basedOn w:val="Domylnaczcionkaakapitu"/>
    <w:link w:val="Pkt11"/>
    <w:rsid w:val="00044A68"/>
    <w:rPr>
      <w:rFonts w:ascii="Arial" w:eastAsia="Times New Roman" w:hAnsi="Arial" w:cs="Arial"/>
      <w:b/>
      <w:i/>
      <w:sz w:val="20"/>
      <w:szCs w:val="20"/>
      <w:lang w:eastAsia="pl-PL"/>
    </w:rPr>
  </w:style>
  <w:style w:type="character" w:customStyle="1" w:styleId="PodtytuZnak">
    <w:name w:val="*Podtytuł Znak"/>
    <w:basedOn w:val="Pkt11Znak"/>
    <w:link w:val="Podtytu"/>
    <w:rsid w:val="00044A68"/>
    <w:rPr>
      <w:rFonts w:ascii="Arial" w:eastAsia="Times New Roman" w:hAnsi="Arial" w:cs="Arial"/>
      <w:b w:val="0"/>
      <w:i w:val="0"/>
      <w:sz w:val="20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3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3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C73"/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C73"/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C73"/>
    <w:rPr>
      <w:rFonts w:ascii="Calibri" w:eastAsia="MS Mincho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B7C73"/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B7C73"/>
    <w:rPr>
      <w:rFonts w:ascii="Calibri" w:eastAsia="MS Mincho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7C73"/>
    <w:rPr>
      <w:rFonts w:ascii="Cambria" w:eastAsia="MS Mincho" w:hAnsi="Cambria" w:cs="Times New Roman"/>
      <w:lang w:eastAsia="pl-PL"/>
    </w:rPr>
  </w:style>
  <w:style w:type="paragraph" w:styleId="Listanumerowana">
    <w:name w:val="List Number"/>
    <w:aliases w:val="GT Lista numerowana"/>
    <w:basedOn w:val="Normalny"/>
    <w:qFormat/>
    <w:rsid w:val="009A72B7"/>
    <w:pPr>
      <w:numPr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2">
    <w:name w:val="List Number 2"/>
    <w:aliases w:val="GT Lista numerowana 2"/>
    <w:basedOn w:val="Normalny"/>
    <w:qFormat/>
    <w:rsid w:val="009A72B7"/>
    <w:pPr>
      <w:numPr>
        <w:ilvl w:val="1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3">
    <w:name w:val="List Number 3"/>
    <w:aliases w:val="GT Lista numerowana 3"/>
    <w:basedOn w:val="Normalny"/>
    <w:qFormat/>
    <w:rsid w:val="009A72B7"/>
    <w:pPr>
      <w:numPr>
        <w:ilvl w:val="2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customStyle="1" w:styleId="NumberedHeading1">
    <w:name w:val="Numbered Heading 1"/>
    <w:next w:val="Tekstpodstawowy"/>
    <w:qFormat/>
    <w:rsid w:val="009A72B7"/>
    <w:pPr>
      <w:numPr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customStyle="1" w:styleId="NumberedHeading2">
    <w:name w:val="Numbered Heading 2"/>
    <w:next w:val="Tekstpodstawowy"/>
    <w:qFormat/>
    <w:rsid w:val="009A72B7"/>
    <w:pPr>
      <w:numPr>
        <w:ilvl w:val="1"/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9A72B7"/>
    <w:pPr>
      <w:spacing w:before="100" w:beforeAutospacing="1" w:after="100" w:afterAutospacing="1"/>
    </w:pPr>
  </w:style>
  <w:style w:type="character" w:customStyle="1" w:styleId="changed-paragraph">
    <w:name w:val="changed-paragraph"/>
    <w:rsid w:val="009A72B7"/>
  </w:style>
  <w:style w:type="paragraph" w:styleId="Tekstdymka">
    <w:name w:val="Balloon Text"/>
    <w:basedOn w:val="Normalny"/>
    <w:link w:val="TekstdymkaZnak"/>
    <w:uiPriority w:val="99"/>
    <w:semiHidden/>
    <w:unhideWhenUsed/>
    <w:rsid w:val="00206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1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2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2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25FC2"/>
    <w:rPr>
      <w:rFonts w:cs="Times New Roman"/>
      <w:color w:val="0000FF"/>
      <w:u w:val="single"/>
    </w:rPr>
  </w:style>
  <w:style w:type="paragraph" w:customStyle="1" w:styleId="AAAPktI">
    <w:name w:val="AAA Pkt I"/>
    <w:basedOn w:val="Normalny"/>
    <w:link w:val="AAAPktIZnak"/>
    <w:qFormat/>
    <w:rsid w:val="00FB4504"/>
    <w:pPr>
      <w:tabs>
        <w:tab w:val="left" w:pos="426"/>
        <w:tab w:val="left" w:pos="567"/>
      </w:tabs>
      <w:spacing w:before="240" w:after="200" w:line="300" w:lineRule="auto"/>
      <w:jc w:val="both"/>
    </w:pPr>
    <w:rPr>
      <w:rFonts w:ascii="Arial" w:hAnsi="Arial" w:cs="Arial"/>
      <w:b/>
      <w:caps/>
      <w:color w:val="244061" w:themeColor="accent1" w:themeShade="80"/>
      <w:sz w:val="22"/>
      <w:szCs w:val="22"/>
    </w:rPr>
  </w:style>
  <w:style w:type="paragraph" w:customStyle="1" w:styleId="AAATekst">
    <w:name w:val="AAA Tekst"/>
    <w:basedOn w:val="Normalny"/>
    <w:link w:val="AAATekstZnak"/>
    <w:qFormat/>
    <w:rsid w:val="00225FC2"/>
    <w:pPr>
      <w:spacing w:before="120" w:after="12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AAAPktIZnak">
    <w:name w:val="AAA Pkt I Znak"/>
    <w:basedOn w:val="Domylnaczcionkaakapitu"/>
    <w:link w:val="AAAPktI"/>
    <w:rsid w:val="00FB4504"/>
    <w:rPr>
      <w:rFonts w:ascii="Arial" w:eastAsia="Times New Roman" w:hAnsi="Arial" w:cs="Arial"/>
      <w:b/>
      <w:caps/>
      <w:color w:val="244061" w:themeColor="accent1" w:themeShade="80"/>
      <w:lang w:eastAsia="pl-PL"/>
    </w:rPr>
  </w:style>
  <w:style w:type="table" w:styleId="Tabela-Siatka">
    <w:name w:val="Table Grid"/>
    <w:basedOn w:val="Standardowy"/>
    <w:uiPriority w:val="59"/>
    <w:rsid w:val="0022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ATekstZnak">
    <w:name w:val="AAA Tekst Znak"/>
    <w:basedOn w:val="Domylnaczcionkaakapitu"/>
    <w:link w:val="AAATekst"/>
    <w:rsid w:val="00225FC2"/>
    <w:rPr>
      <w:rFonts w:ascii="Arial" w:eastAsia="Times New Roman" w:hAnsi="Arial" w:cs="Arial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6069D"/>
    <w:pPr>
      <w:tabs>
        <w:tab w:val="left" w:pos="426"/>
        <w:tab w:val="right" w:leader="dot" w:pos="9628"/>
      </w:tabs>
      <w:spacing w:after="100"/>
    </w:pPr>
  </w:style>
  <w:style w:type="paragraph" w:styleId="Poprawka">
    <w:name w:val="Revision"/>
    <w:hidden/>
    <w:uiPriority w:val="99"/>
    <w:semiHidden/>
    <w:rsid w:val="002B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5KKGNaglowek1">
    <w:name w:val="*05 KKG Naglowek 1"/>
    <w:basedOn w:val="00KKGTekstPoziomu"/>
    <w:next w:val="00KKGTekstPoziomu"/>
    <w:link w:val="05KKGNaglowek1Char"/>
    <w:qFormat/>
    <w:rsid w:val="001A143C"/>
    <w:pPr>
      <w:keepNext/>
      <w:keepLines/>
      <w:spacing w:before="240"/>
      <w:ind w:hanging="567"/>
    </w:pPr>
    <w:rPr>
      <w:b/>
      <w:smallCaps/>
      <w:sz w:val="21"/>
      <w:u w:val="single"/>
    </w:rPr>
  </w:style>
  <w:style w:type="character" w:customStyle="1" w:styleId="05KKGNaglowek1Char">
    <w:name w:val="*05 KKG Naglowek 1 Char"/>
    <w:link w:val="05KKGNaglowek1"/>
    <w:rsid w:val="001A143C"/>
    <w:rPr>
      <w:rFonts w:ascii="Tahoma" w:eastAsia="Calibri" w:hAnsi="Tahoma" w:cs="Tahoma"/>
      <w:b/>
      <w:smallCaps/>
      <w:sz w:val="21"/>
      <w:szCs w:val="24"/>
      <w:u w:val="single"/>
      <w:lang w:eastAsia="x-none"/>
    </w:rPr>
  </w:style>
  <w:style w:type="paragraph" w:customStyle="1" w:styleId="13KKGPrzypis">
    <w:name w:val="*13 KKG Przypis"/>
    <w:basedOn w:val="Normalny"/>
    <w:qFormat/>
    <w:rsid w:val="001A143C"/>
    <w:pPr>
      <w:spacing w:before="60" w:after="200" w:line="288" w:lineRule="auto"/>
      <w:ind w:left="851"/>
      <w:jc w:val="both"/>
    </w:pPr>
    <w:rPr>
      <w:rFonts w:eastAsia="Calibri"/>
      <w:sz w:val="16"/>
    </w:rPr>
  </w:style>
  <w:style w:type="paragraph" w:customStyle="1" w:styleId="00KKGTekstPoziomu">
    <w:name w:val="*00 KKG Tekst Poziomu"/>
    <w:basedOn w:val="Normalny"/>
    <w:link w:val="00KKGTekstPoziomuChar"/>
    <w:qFormat/>
    <w:rsid w:val="001A143C"/>
    <w:pPr>
      <w:tabs>
        <w:tab w:val="left" w:pos="567"/>
      </w:tabs>
      <w:spacing w:after="60" w:line="276" w:lineRule="auto"/>
      <w:ind w:left="567"/>
      <w:jc w:val="both"/>
    </w:pPr>
    <w:rPr>
      <w:rFonts w:ascii="Tahoma" w:eastAsia="Calibri" w:hAnsi="Tahoma" w:cs="Tahoma"/>
      <w:sz w:val="20"/>
      <w:lang w:eastAsia="x-none"/>
    </w:rPr>
  </w:style>
  <w:style w:type="character" w:customStyle="1" w:styleId="00KKGTekstPoziomuChar">
    <w:name w:val="*00 KKG Tekst Poziomu Char"/>
    <w:link w:val="00KKGTekstPoziomu"/>
    <w:rsid w:val="001A143C"/>
    <w:rPr>
      <w:rFonts w:ascii="Tahoma" w:eastAsia="Calibri" w:hAnsi="Tahoma" w:cs="Tahoma"/>
      <w:sz w:val="20"/>
      <w:szCs w:val="24"/>
      <w:lang w:eastAsia="x-none"/>
    </w:rPr>
  </w:style>
  <w:style w:type="paragraph" w:customStyle="1" w:styleId="11KKGZacznik">
    <w:name w:val="*11 KKG Załącznik"/>
    <w:basedOn w:val="Normalny"/>
    <w:qFormat/>
    <w:rsid w:val="001A143C"/>
    <w:pPr>
      <w:numPr>
        <w:numId w:val="19"/>
      </w:numPr>
      <w:tabs>
        <w:tab w:val="left" w:pos="1418"/>
      </w:tabs>
      <w:spacing w:before="60" w:after="60" w:line="276" w:lineRule="auto"/>
      <w:ind w:left="1418" w:hanging="1418"/>
      <w:contextualSpacing/>
      <w:jc w:val="both"/>
    </w:pPr>
    <w:rPr>
      <w:rFonts w:eastAsia="Calibri"/>
      <w:sz w:val="20"/>
      <w:szCs w:val="20"/>
      <w:lang w:val="x-none" w:eastAsia="x-none"/>
    </w:rPr>
  </w:style>
  <w:style w:type="paragraph" w:customStyle="1" w:styleId="AANagwek1">
    <w:name w:val="*AA Nagłówek 1"/>
    <w:basedOn w:val="05KKGNaglowek1"/>
    <w:link w:val="AANagwek1Znak"/>
    <w:qFormat/>
    <w:rsid w:val="001A143C"/>
    <w:pPr>
      <w:spacing w:after="120"/>
    </w:pPr>
    <w:rPr>
      <w:caps/>
      <w:smallCaps w:val="0"/>
      <w:u w:val="none"/>
    </w:rPr>
  </w:style>
  <w:style w:type="paragraph" w:customStyle="1" w:styleId="rdtytu">
    <w:name w:val="**Śródtytuł"/>
    <w:basedOn w:val="00KKGTekstPoziomu"/>
    <w:link w:val="rdtytuZnak"/>
    <w:qFormat/>
    <w:rsid w:val="001A143C"/>
    <w:pPr>
      <w:spacing w:before="120" w:after="120"/>
    </w:pPr>
    <w:rPr>
      <w:b/>
      <w:i/>
    </w:rPr>
  </w:style>
  <w:style w:type="character" w:customStyle="1" w:styleId="AANagwek1Znak">
    <w:name w:val="*AA Nagłówek 1 Znak"/>
    <w:link w:val="AANagwek1"/>
    <w:rsid w:val="001A143C"/>
    <w:rPr>
      <w:rFonts w:ascii="Tahoma" w:eastAsia="Calibri" w:hAnsi="Tahoma" w:cs="Tahoma"/>
      <w:b/>
      <w:caps/>
      <w:sz w:val="21"/>
      <w:szCs w:val="24"/>
      <w:lang w:eastAsia="x-none"/>
    </w:rPr>
  </w:style>
  <w:style w:type="character" w:customStyle="1" w:styleId="rdtytuZnak">
    <w:name w:val="**Śródtytuł Znak"/>
    <w:link w:val="rdtytu"/>
    <w:rsid w:val="001A143C"/>
    <w:rPr>
      <w:rFonts w:ascii="Tahoma" w:eastAsia="Calibri" w:hAnsi="Tahoma" w:cs="Tahoma"/>
      <w:b/>
      <w:i/>
      <w:sz w:val="20"/>
      <w:szCs w:val="24"/>
      <w:lang w:eastAsia="x-none"/>
    </w:rPr>
  </w:style>
  <w:style w:type="character" w:styleId="Uwydatnienie">
    <w:name w:val="Emphasis"/>
    <w:basedOn w:val="Domylnaczcionkaakapitu"/>
    <w:uiPriority w:val="99"/>
    <w:qFormat/>
    <w:rsid w:val="001A143C"/>
    <w:rPr>
      <w:rFonts w:cs="Times New Roman"/>
      <w:b/>
      <w:bCs/>
    </w:rPr>
  </w:style>
  <w:style w:type="paragraph" w:customStyle="1" w:styleId="AAAPkt1">
    <w:name w:val="AAA Pkt 1"/>
    <w:basedOn w:val="AAAPktI"/>
    <w:link w:val="AAAPkt1Znak"/>
    <w:qFormat/>
    <w:rsid w:val="00D6069D"/>
    <w:pPr>
      <w:tabs>
        <w:tab w:val="clear" w:pos="426"/>
      </w:tabs>
    </w:pPr>
    <w:rPr>
      <w:caps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A77F2"/>
    <w:pPr>
      <w:tabs>
        <w:tab w:val="left" w:pos="709"/>
        <w:tab w:val="right" w:leader="dot" w:pos="9628"/>
      </w:tabs>
      <w:spacing w:after="100"/>
    </w:pPr>
  </w:style>
  <w:style w:type="character" w:customStyle="1" w:styleId="AAAPkt1Znak">
    <w:name w:val="AAA Pkt 1 Znak"/>
    <w:basedOn w:val="AAAPktIZnak"/>
    <w:link w:val="AAAPkt1"/>
    <w:rsid w:val="00D6069D"/>
    <w:rPr>
      <w:rFonts w:ascii="Arial" w:eastAsia="Times New Roman" w:hAnsi="Arial" w:cs="Arial"/>
      <w:b/>
      <w:caps w:val="0"/>
      <w:color w:val="244061" w:themeColor="accent1" w:themeShade="80"/>
      <w:lang w:eastAsia="pl-PL"/>
    </w:rPr>
  </w:style>
  <w:style w:type="paragraph" w:customStyle="1" w:styleId="Tekst">
    <w:name w:val="***Tekst"/>
    <w:basedOn w:val="Normalny"/>
    <w:link w:val="TekstZnak"/>
    <w:qFormat/>
    <w:rsid w:val="00AA41C4"/>
    <w:pPr>
      <w:spacing w:after="200" w:line="30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Znak">
    <w:name w:val="***Tekst Znak"/>
    <w:basedOn w:val="Domylnaczcionkaakapitu"/>
    <w:link w:val="Tekst"/>
    <w:rsid w:val="00AA41C4"/>
    <w:rPr>
      <w:rFonts w:ascii="Arial" w:eastAsia="Times New Roman" w:hAnsi="Arial" w:cs="Arial"/>
      <w:lang w:eastAsia="pl-PL"/>
    </w:rPr>
  </w:style>
  <w:style w:type="paragraph" w:customStyle="1" w:styleId="AAAPktI11">
    <w:name w:val="AAA Pkt I.1.1."/>
    <w:basedOn w:val="AAAPkt1"/>
    <w:link w:val="AAAPktI11Znak"/>
    <w:qFormat/>
    <w:rsid w:val="00D41E57"/>
    <w:pPr>
      <w:tabs>
        <w:tab w:val="clear" w:pos="567"/>
        <w:tab w:val="left" w:pos="709"/>
      </w:tabs>
      <w:ind w:left="709" w:hanging="709"/>
    </w:pPr>
    <w:rPr>
      <w:i/>
    </w:rPr>
  </w:style>
  <w:style w:type="character" w:customStyle="1" w:styleId="AAAPktI11Znak">
    <w:name w:val="AAA Pkt I.1.1. Znak"/>
    <w:basedOn w:val="AAAPkt1Znak"/>
    <w:link w:val="AAAPktI11"/>
    <w:rsid w:val="00D41E57"/>
    <w:rPr>
      <w:rFonts w:ascii="Arial" w:eastAsia="Times New Roman" w:hAnsi="Arial" w:cs="Arial"/>
      <w:b/>
      <w:i/>
      <w:caps w:val="0"/>
      <w:color w:val="244061" w:themeColor="accent1" w:themeShade="8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A77F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C73"/>
    <w:pPr>
      <w:keepNext/>
      <w:numPr>
        <w:numId w:val="4"/>
      </w:numPr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B7C73"/>
    <w:pPr>
      <w:numPr>
        <w:ilvl w:val="4"/>
        <w:numId w:val="4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7C73"/>
    <w:pPr>
      <w:numPr>
        <w:ilvl w:val="5"/>
        <w:numId w:val="4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B7C73"/>
    <w:pPr>
      <w:numPr>
        <w:ilvl w:val="6"/>
        <w:numId w:val="4"/>
      </w:numPr>
      <w:spacing w:before="240" w:after="60"/>
      <w:outlineLvl w:val="6"/>
    </w:pPr>
    <w:rPr>
      <w:rFonts w:ascii="Calibri" w:eastAsia="MS Mincho" w:hAnsi="Calibri"/>
    </w:rPr>
  </w:style>
  <w:style w:type="paragraph" w:styleId="Nagwek8">
    <w:name w:val="heading 8"/>
    <w:basedOn w:val="Normalny"/>
    <w:next w:val="Normalny"/>
    <w:link w:val="Nagwek8Znak"/>
    <w:qFormat/>
    <w:rsid w:val="00CB7C73"/>
    <w:pPr>
      <w:numPr>
        <w:ilvl w:val="7"/>
        <w:numId w:val="4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B7C73"/>
    <w:pPr>
      <w:numPr>
        <w:ilvl w:val="8"/>
        <w:numId w:val="4"/>
      </w:numPr>
      <w:spacing w:before="240" w:after="60"/>
      <w:outlineLvl w:val="8"/>
    </w:pPr>
    <w:rPr>
      <w:rFonts w:ascii="Cambria" w:eastAsia="MS Mincho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44A6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44A6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uiPriority w:val="99"/>
    <w:rsid w:val="00044A68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uiPriority w:val="99"/>
    <w:rsid w:val="00044A68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uiPriority w:val="99"/>
    <w:rsid w:val="00044A68"/>
    <w:rPr>
      <w:rFonts w:cs="Times New Roman"/>
      <w:vertAlign w:val="superscript"/>
    </w:rPr>
  </w:style>
  <w:style w:type="paragraph" w:styleId="Tekstpodstawowy">
    <w:name w:val="Body Text"/>
    <w:aliases w:val="GT Tekst podstawowy,LOAN,bt,body text,(F2)"/>
    <w:basedOn w:val="Normalny"/>
    <w:link w:val="TekstpodstawowyZnak"/>
    <w:qFormat/>
    <w:rsid w:val="00044A68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aliases w:val="GT Tekst podstawowy Znak,LOAN Znak,bt Znak,body text Znak,(F2) Znak"/>
    <w:basedOn w:val="Domylnaczcionkaakapitu"/>
    <w:link w:val="Tekstpodstawowy"/>
    <w:rsid w:val="00044A68"/>
    <w:rPr>
      <w:rFonts w:ascii="Garamond" w:eastAsia="Times New Roman" w:hAnsi="Garamond" w:cs="Arial"/>
      <w:szCs w:val="20"/>
    </w:rPr>
  </w:style>
  <w:style w:type="paragraph" w:customStyle="1" w:styleId="PktI">
    <w:name w:val="*Pkt I"/>
    <w:basedOn w:val="Akapitzlist"/>
    <w:link w:val="PktIZnak"/>
    <w:qFormat/>
    <w:rsid w:val="00044A68"/>
    <w:pPr>
      <w:numPr>
        <w:numId w:val="2"/>
      </w:numPr>
      <w:spacing w:before="240" w:after="240" w:line="300" w:lineRule="auto"/>
      <w:ind w:left="1077"/>
      <w:contextualSpacing w:val="0"/>
    </w:pPr>
    <w:rPr>
      <w:rFonts w:ascii="Arial" w:hAnsi="Arial" w:cs="Arial"/>
      <w:b/>
      <w:caps/>
      <w:sz w:val="20"/>
      <w:szCs w:val="20"/>
    </w:rPr>
  </w:style>
  <w:style w:type="paragraph" w:customStyle="1" w:styleId="Pkt1">
    <w:name w:val="*Pkt 1"/>
    <w:basedOn w:val="Akapitzlist"/>
    <w:link w:val="Pkt1Znak"/>
    <w:qFormat/>
    <w:rsid w:val="00044A68"/>
    <w:pPr>
      <w:numPr>
        <w:numId w:val="3"/>
      </w:numPr>
      <w:tabs>
        <w:tab w:val="left" w:pos="567"/>
      </w:tabs>
      <w:spacing w:after="120" w:line="300" w:lineRule="auto"/>
      <w:ind w:left="567" w:hanging="567"/>
    </w:pPr>
    <w:rPr>
      <w:rFonts w:ascii="Arial" w:hAnsi="Arial" w:cs="Arial"/>
      <w:b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4A68"/>
    <w:rPr>
      <w:rFonts w:ascii="Calibri" w:eastAsia="Calibri" w:hAnsi="Calibri" w:cs="Times New Roman"/>
    </w:rPr>
  </w:style>
  <w:style w:type="character" w:customStyle="1" w:styleId="PktIZnak">
    <w:name w:val="*Pkt I Znak"/>
    <w:basedOn w:val="AkapitzlistZnak"/>
    <w:link w:val="PktI"/>
    <w:rsid w:val="00044A68"/>
    <w:rPr>
      <w:rFonts w:ascii="Arial" w:eastAsia="Calibri" w:hAnsi="Arial" w:cs="Arial"/>
      <w:b/>
      <w:caps/>
      <w:sz w:val="20"/>
      <w:szCs w:val="20"/>
    </w:rPr>
  </w:style>
  <w:style w:type="paragraph" w:customStyle="1" w:styleId="Pkt11">
    <w:name w:val="*Pkt 1.1."/>
    <w:basedOn w:val="Normalny"/>
    <w:link w:val="Pkt11Znak"/>
    <w:qFormat/>
    <w:rsid w:val="00044A68"/>
    <w:pPr>
      <w:tabs>
        <w:tab w:val="left" w:pos="567"/>
      </w:tabs>
      <w:spacing w:after="120" w:line="300" w:lineRule="auto"/>
      <w:ind w:left="567" w:hanging="567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Pkt1Znak">
    <w:name w:val="*Pkt 1 Znak"/>
    <w:basedOn w:val="AkapitzlistZnak"/>
    <w:link w:val="Pkt1"/>
    <w:rsid w:val="00044A68"/>
    <w:rPr>
      <w:rFonts w:ascii="Arial" w:eastAsia="Calibri" w:hAnsi="Arial" w:cs="Arial"/>
      <w:b/>
      <w:sz w:val="21"/>
      <w:szCs w:val="21"/>
    </w:rPr>
  </w:style>
  <w:style w:type="paragraph" w:customStyle="1" w:styleId="Podtytu">
    <w:name w:val="*Podtytuł"/>
    <w:basedOn w:val="Pkt11"/>
    <w:link w:val="PodtytuZnak"/>
    <w:qFormat/>
    <w:rsid w:val="00044A68"/>
    <w:pPr>
      <w:ind w:firstLine="0"/>
    </w:pPr>
    <w:rPr>
      <w:b w:val="0"/>
      <w:i w:val="0"/>
      <w:u w:val="single"/>
    </w:rPr>
  </w:style>
  <w:style w:type="character" w:customStyle="1" w:styleId="Pkt11Znak">
    <w:name w:val="*Pkt 1.1. Znak"/>
    <w:basedOn w:val="Domylnaczcionkaakapitu"/>
    <w:link w:val="Pkt11"/>
    <w:rsid w:val="00044A68"/>
    <w:rPr>
      <w:rFonts w:ascii="Arial" w:eastAsia="Times New Roman" w:hAnsi="Arial" w:cs="Arial"/>
      <w:b/>
      <w:i/>
      <w:sz w:val="20"/>
      <w:szCs w:val="20"/>
      <w:lang w:eastAsia="pl-PL"/>
    </w:rPr>
  </w:style>
  <w:style w:type="character" w:customStyle="1" w:styleId="PodtytuZnak">
    <w:name w:val="*Podtytuł Znak"/>
    <w:basedOn w:val="Pkt11Znak"/>
    <w:link w:val="Podtytu"/>
    <w:rsid w:val="00044A68"/>
    <w:rPr>
      <w:rFonts w:ascii="Arial" w:eastAsia="Times New Roman" w:hAnsi="Arial" w:cs="Arial"/>
      <w:b w:val="0"/>
      <w:i w:val="0"/>
      <w:sz w:val="20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3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3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C73"/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C73"/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C73"/>
    <w:rPr>
      <w:rFonts w:ascii="Calibri" w:eastAsia="MS Mincho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B7C73"/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B7C73"/>
    <w:rPr>
      <w:rFonts w:ascii="Calibri" w:eastAsia="MS Mincho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7C73"/>
    <w:rPr>
      <w:rFonts w:ascii="Cambria" w:eastAsia="MS Mincho" w:hAnsi="Cambria" w:cs="Times New Roman"/>
      <w:lang w:eastAsia="pl-PL"/>
    </w:rPr>
  </w:style>
  <w:style w:type="paragraph" w:styleId="Listanumerowana">
    <w:name w:val="List Number"/>
    <w:aliases w:val="GT Lista numerowana"/>
    <w:basedOn w:val="Normalny"/>
    <w:qFormat/>
    <w:rsid w:val="009A72B7"/>
    <w:pPr>
      <w:numPr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2">
    <w:name w:val="List Number 2"/>
    <w:aliases w:val="GT Lista numerowana 2"/>
    <w:basedOn w:val="Normalny"/>
    <w:qFormat/>
    <w:rsid w:val="009A72B7"/>
    <w:pPr>
      <w:numPr>
        <w:ilvl w:val="1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3">
    <w:name w:val="List Number 3"/>
    <w:aliases w:val="GT Lista numerowana 3"/>
    <w:basedOn w:val="Normalny"/>
    <w:qFormat/>
    <w:rsid w:val="009A72B7"/>
    <w:pPr>
      <w:numPr>
        <w:ilvl w:val="2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customStyle="1" w:styleId="NumberedHeading1">
    <w:name w:val="Numbered Heading 1"/>
    <w:next w:val="Tekstpodstawowy"/>
    <w:qFormat/>
    <w:rsid w:val="009A72B7"/>
    <w:pPr>
      <w:numPr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customStyle="1" w:styleId="NumberedHeading2">
    <w:name w:val="Numbered Heading 2"/>
    <w:next w:val="Tekstpodstawowy"/>
    <w:qFormat/>
    <w:rsid w:val="009A72B7"/>
    <w:pPr>
      <w:numPr>
        <w:ilvl w:val="1"/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9A72B7"/>
    <w:pPr>
      <w:spacing w:before="100" w:beforeAutospacing="1" w:after="100" w:afterAutospacing="1"/>
    </w:pPr>
  </w:style>
  <w:style w:type="character" w:customStyle="1" w:styleId="changed-paragraph">
    <w:name w:val="changed-paragraph"/>
    <w:rsid w:val="009A72B7"/>
  </w:style>
  <w:style w:type="paragraph" w:styleId="Tekstdymka">
    <w:name w:val="Balloon Text"/>
    <w:basedOn w:val="Normalny"/>
    <w:link w:val="TekstdymkaZnak"/>
    <w:uiPriority w:val="99"/>
    <w:semiHidden/>
    <w:unhideWhenUsed/>
    <w:rsid w:val="00206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1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2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2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25FC2"/>
    <w:rPr>
      <w:rFonts w:cs="Times New Roman"/>
      <w:color w:val="0000FF"/>
      <w:u w:val="single"/>
    </w:rPr>
  </w:style>
  <w:style w:type="paragraph" w:customStyle="1" w:styleId="AAAPktI">
    <w:name w:val="AAA Pkt I"/>
    <w:basedOn w:val="Normalny"/>
    <w:link w:val="AAAPktIZnak"/>
    <w:qFormat/>
    <w:rsid w:val="00FB4504"/>
    <w:pPr>
      <w:tabs>
        <w:tab w:val="left" w:pos="426"/>
        <w:tab w:val="left" w:pos="567"/>
      </w:tabs>
      <w:spacing w:before="240" w:after="200" w:line="300" w:lineRule="auto"/>
      <w:jc w:val="both"/>
    </w:pPr>
    <w:rPr>
      <w:rFonts w:ascii="Arial" w:hAnsi="Arial" w:cs="Arial"/>
      <w:b/>
      <w:caps/>
      <w:color w:val="244061" w:themeColor="accent1" w:themeShade="80"/>
      <w:sz w:val="22"/>
      <w:szCs w:val="22"/>
    </w:rPr>
  </w:style>
  <w:style w:type="paragraph" w:customStyle="1" w:styleId="AAATekst">
    <w:name w:val="AAA Tekst"/>
    <w:basedOn w:val="Normalny"/>
    <w:link w:val="AAATekstZnak"/>
    <w:qFormat/>
    <w:rsid w:val="00225FC2"/>
    <w:pPr>
      <w:spacing w:before="120" w:after="12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AAAPktIZnak">
    <w:name w:val="AAA Pkt I Znak"/>
    <w:basedOn w:val="Domylnaczcionkaakapitu"/>
    <w:link w:val="AAAPktI"/>
    <w:rsid w:val="00FB4504"/>
    <w:rPr>
      <w:rFonts w:ascii="Arial" w:eastAsia="Times New Roman" w:hAnsi="Arial" w:cs="Arial"/>
      <w:b/>
      <w:caps/>
      <w:color w:val="244061" w:themeColor="accent1" w:themeShade="80"/>
      <w:lang w:eastAsia="pl-PL"/>
    </w:rPr>
  </w:style>
  <w:style w:type="table" w:styleId="Tabela-Siatka">
    <w:name w:val="Table Grid"/>
    <w:basedOn w:val="Standardowy"/>
    <w:uiPriority w:val="59"/>
    <w:rsid w:val="0022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ATekstZnak">
    <w:name w:val="AAA Tekst Znak"/>
    <w:basedOn w:val="Domylnaczcionkaakapitu"/>
    <w:link w:val="AAATekst"/>
    <w:rsid w:val="00225FC2"/>
    <w:rPr>
      <w:rFonts w:ascii="Arial" w:eastAsia="Times New Roman" w:hAnsi="Arial" w:cs="Arial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6069D"/>
    <w:pPr>
      <w:tabs>
        <w:tab w:val="left" w:pos="426"/>
        <w:tab w:val="right" w:leader="dot" w:pos="9628"/>
      </w:tabs>
      <w:spacing w:after="100"/>
    </w:pPr>
  </w:style>
  <w:style w:type="paragraph" w:styleId="Poprawka">
    <w:name w:val="Revision"/>
    <w:hidden/>
    <w:uiPriority w:val="99"/>
    <w:semiHidden/>
    <w:rsid w:val="002B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5KKGNaglowek1">
    <w:name w:val="*05 KKG Naglowek 1"/>
    <w:basedOn w:val="00KKGTekstPoziomu"/>
    <w:next w:val="00KKGTekstPoziomu"/>
    <w:link w:val="05KKGNaglowek1Char"/>
    <w:qFormat/>
    <w:rsid w:val="001A143C"/>
    <w:pPr>
      <w:keepNext/>
      <w:keepLines/>
      <w:spacing w:before="240"/>
      <w:ind w:hanging="567"/>
    </w:pPr>
    <w:rPr>
      <w:b/>
      <w:smallCaps/>
      <w:sz w:val="21"/>
      <w:u w:val="single"/>
    </w:rPr>
  </w:style>
  <w:style w:type="character" w:customStyle="1" w:styleId="05KKGNaglowek1Char">
    <w:name w:val="*05 KKG Naglowek 1 Char"/>
    <w:link w:val="05KKGNaglowek1"/>
    <w:rsid w:val="001A143C"/>
    <w:rPr>
      <w:rFonts w:ascii="Tahoma" w:eastAsia="Calibri" w:hAnsi="Tahoma" w:cs="Tahoma"/>
      <w:b/>
      <w:smallCaps/>
      <w:sz w:val="21"/>
      <w:szCs w:val="24"/>
      <w:u w:val="single"/>
      <w:lang w:eastAsia="x-none"/>
    </w:rPr>
  </w:style>
  <w:style w:type="paragraph" w:customStyle="1" w:styleId="13KKGPrzypis">
    <w:name w:val="*13 KKG Przypis"/>
    <w:basedOn w:val="Normalny"/>
    <w:qFormat/>
    <w:rsid w:val="001A143C"/>
    <w:pPr>
      <w:spacing w:before="60" w:after="200" w:line="288" w:lineRule="auto"/>
      <w:ind w:left="851"/>
      <w:jc w:val="both"/>
    </w:pPr>
    <w:rPr>
      <w:rFonts w:eastAsia="Calibri"/>
      <w:sz w:val="16"/>
    </w:rPr>
  </w:style>
  <w:style w:type="paragraph" w:customStyle="1" w:styleId="00KKGTekstPoziomu">
    <w:name w:val="*00 KKG Tekst Poziomu"/>
    <w:basedOn w:val="Normalny"/>
    <w:link w:val="00KKGTekstPoziomuChar"/>
    <w:qFormat/>
    <w:rsid w:val="001A143C"/>
    <w:pPr>
      <w:tabs>
        <w:tab w:val="left" w:pos="567"/>
      </w:tabs>
      <w:spacing w:after="60" w:line="276" w:lineRule="auto"/>
      <w:ind w:left="567"/>
      <w:jc w:val="both"/>
    </w:pPr>
    <w:rPr>
      <w:rFonts w:ascii="Tahoma" w:eastAsia="Calibri" w:hAnsi="Tahoma" w:cs="Tahoma"/>
      <w:sz w:val="20"/>
      <w:lang w:eastAsia="x-none"/>
    </w:rPr>
  </w:style>
  <w:style w:type="character" w:customStyle="1" w:styleId="00KKGTekstPoziomuChar">
    <w:name w:val="*00 KKG Tekst Poziomu Char"/>
    <w:link w:val="00KKGTekstPoziomu"/>
    <w:rsid w:val="001A143C"/>
    <w:rPr>
      <w:rFonts w:ascii="Tahoma" w:eastAsia="Calibri" w:hAnsi="Tahoma" w:cs="Tahoma"/>
      <w:sz w:val="20"/>
      <w:szCs w:val="24"/>
      <w:lang w:eastAsia="x-none"/>
    </w:rPr>
  </w:style>
  <w:style w:type="paragraph" w:customStyle="1" w:styleId="11KKGZacznik">
    <w:name w:val="*11 KKG Załącznik"/>
    <w:basedOn w:val="Normalny"/>
    <w:qFormat/>
    <w:rsid w:val="001A143C"/>
    <w:pPr>
      <w:numPr>
        <w:numId w:val="19"/>
      </w:numPr>
      <w:tabs>
        <w:tab w:val="left" w:pos="1418"/>
      </w:tabs>
      <w:spacing w:before="60" w:after="60" w:line="276" w:lineRule="auto"/>
      <w:ind w:left="1418" w:hanging="1418"/>
      <w:contextualSpacing/>
      <w:jc w:val="both"/>
    </w:pPr>
    <w:rPr>
      <w:rFonts w:eastAsia="Calibri"/>
      <w:sz w:val="20"/>
      <w:szCs w:val="20"/>
      <w:lang w:val="x-none" w:eastAsia="x-none"/>
    </w:rPr>
  </w:style>
  <w:style w:type="paragraph" w:customStyle="1" w:styleId="AANagwek1">
    <w:name w:val="*AA Nagłówek 1"/>
    <w:basedOn w:val="05KKGNaglowek1"/>
    <w:link w:val="AANagwek1Znak"/>
    <w:qFormat/>
    <w:rsid w:val="001A143C"/>
    <w:pPr>
      <w:spacing w:after="120"/>
    </w:pPr>
    <w:rPr>
      <w:caps/>
      <w:smallCaps w:val="0"/>
      <w:u w:val="none"/>
    </w:rPr>
  </w:style>
  <w:style w:type="paragraph" w:customStyle="1" w:styleId="rdtytu">
    <w:name w:val="**Śródtytuł"/>
    <w:basedOn w:val="00KKGTekstPoziomu"/>
    <w:link w:val="rdtytuZnak"/>
    <w:qFormat/>
    <w:rsid w:val="001A143C"/>
    <w:pPr>
      <w:spacing w:before="120" w:after="120"/>
    </w:pPr>
    <w:rPr>
      <w:b/>
      <w:i/>
    </w:rPr>
  </w:style>
  <w:style w:type="character" w:customStyle="1" w:styleId="AANagwek1Znak">
    <w:name w:val="*AA Nagłówek 1 Znak"/>
    <w:link w:val="AANagwek1"/>
    <w:rsid w:val="001A143C"/>
    <w:rPr>
      <w:rFonts w:ascii="Tahoma" w:eastAsia="Calibri" w:hAnsi="Tahoma" w:cs="Tahoma"/>
      <w:b/>
      <w:caps/>
      <w:sz w:val="21"/>
      <w:szCs w:val="24"/>
      <w:lang w:eastAsia="x-none"/>
    </w:rPr>
  </w:style>
  <w:style w:type="character" w:customStyle="1" w:styleId="rdtytuZnak">
    <w:name w:val="**Śródtytuł Znak"/>
    <w:link w:val="rdtytu"/>
    <w:rsid w:val="001A143C"/>
    <w:rPr>
      <w:rFonts w:ascii="Tahoma" w:eastAsia="Calibri" w:hAnsi="Tahoma" w:cs="Tahoma"/>
      <w:b/>
      <w:i/>
      <w:sz w:val="20"/>
      <w:szCs w:val="24"/>
      <w:lang w:eastAsia="x-none"/>
    </w:rPr>
  </w:style>
  <w:style w:type="character" w:styleId="Uwydatnienie">
    <w:name w:val="Emphasis"/>
    <w:basedOn w:val="Domylnaczcionkaakapitu"/>
    <w:uiPriority w:val="99"/>
    <w:qFormat/>
    <w:rsid w:val="001A143C"/>
    <w:rPr>
      <w:rFonts w:cs="Times New Roman"/>
      <w:b/>
      <w:bCs/>
    </w:rPr>
  </w:style>
  <w:style w:type="paragraph" w:customStyle="1" w:styleId="AAAPkt1">
    <w:name w:val="AAA Pkt 1"/>
    <w:basedOn w:val="AAAPktI"/>
    <w:link w:val="AAAPkt1Znak"/>
    <w:qFormat/>
    <w:rsid w:val="00D6069D"/>
    <w:pPr>
      <w:tabs>
        <w:tab w:val="clear" w:pos="426"/>
      </w:tabs>
    </w:pPr>
    <w:rPr>
      <w:caps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A77F2"/>
    <w:pPr>
      <w:tabs>
        <w:tab w:val="left" w:pos="709"/>
        <w:tab w:val="right" w:leader="dot" w:pos="9628"/>
      </w:tabs>
      <w:spacing w:after="100"/>
    </w:pPr>
  </w:style>
  <w:style w:type="character" w:customStyle="1" w:styleId="AAAPkt1Znak">
    <w:name w:val="AAA Pkt 1 Znak"/>
    <w:basedOn w:val="AAAPktIZnak"/>
    <w:link w:val="AAAPkt1"/>
    <w:rsid w:val="00D6069D"/>
    <w:rPr>
      <w:rFonts w:ascii="Arial" w:eastAsia="Times New Roman" w:hAnsi="Arial" w:cs="Arial"/>
      <w:b/>
      <w:caps w:val="0"/>
      <w:color w:val="244061" w:themeColor="accent1" w:themeShade="80"/>
      <w:lang w:eastAsia="pl-PL"/>
    </w:rPr>
  </w:style>
  <w:style w:type="paragraph" w:customStyle="1" w:styleId="Tekst">
    <w:name w:val="***Tekst"/>
    <w:basedOn w:val="Normalny"/>
    <w:link w:val="TekstZnak"/>
    <w:qFormat/>
    <w:rsid w:val="00AA41C4"/>
    <w:pPr>
      <w:spacing w:after="200" w:line="30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Znak">
    <w:name w:val="***Tekst Znak"/>
    <w:basedOn w:val="Domylnaczcionkaakapitu"/>
    <w:link w:val="Tekst"/>
    <w:rsid w:val="00AA41C4"/>
    <w:rPr>
      <w:rFonts w:ascii="Arial" w:eastAsia="Times New Roman" w:hAnsi="Arial" w:cs="Arial"/>
      <w:lang w:eastAsia="pl-PL"/>
    </w:rPr>
  </w:style>
  <w:style w:type="paragraph" w:customStyle="1" w:styleId="AAAPktI11">
    <w:name w:val="AAA Pkt I.1.1."/>
    <w:basedOn w:val="AAAPkt1"/>
    <w:link w:val="AAAPktI11Znak"/>
    <w:qFormat/>
    <w:rsid w:val="00D41E57"/>
    <w:pPr>
      <w:tabs>
        <w:tab w:val="clear" w:pos="567"/>
        <w:tab w:val="left" w:pos="709"/>
      </w:tabs>
      <w:ind w:left="709" w:hanging="709"/>
    </w:pPr>
    <w:rPr>
      <w:i/>
    </w:rPr>
  </w:style>
  <w:style w:type="character" w:customStyle="1" w:styleId="AAAPktI11Znak">
    <w:name w:val="AAA Pkt I.1.1. Znak"/>
    <w:basedOn w:val="AAAPkt1Znak"/>
    <w:link w:val="AAAPktI11"/>
    <w:rsid w:val="00D41E57"/>
    <w:rPr>
      <w:rFonts w:ascii="Arial" w:eastAsia="Times New Roman" w:hAnsi="Arial" w:cs="Arial"/>
      <w:b/>
      <w:i/>
      <w:caps w:val="0"/>
      <w:color w:val="244061" w:themeColor="accent1" w:themeShade="8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A77F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1B47-EEA9-4634-AC86-0D9414C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5165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Skrzek Katarzyna</cp:lastModifiedBy>
  <cp:revision>2</cp:revision>
  <cp:lastPrinted>2016-07-11T12:24:00Z</cp:lastPrinted>
  <dcterms:created xsi:type="dcterms:W3CDTF">2016-07-11T13:08:00Z</dcterms:created>
  <dcterms:modified xsi:type="dcterms:W3CDTF">2016-07-11T13:08:00Z</dcterms:modified>
</cp:coreProperties>
</file>