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549C" w14:textId="2EDE9D09" w:rsidR="0073204F" w:rsidRPr="0073204F" w:rsidRDefault="0073204F" w:rsidP="0073204F">
      <w:pPr>
        <w:pStyle w:val="OZNPROJEKTUwskazaniedatylubwersjiprojektu"/>
      </w:pPr>
      <w:r w:rsidRPr="0073204F">
        <w:t xml:space="preserve">Projekt z dnia </w:t>
      </w:r>
      <w:r w:rsidR="006337FE">
        <w:t>5</w:t>
      </w:r>
      <w:r w:rsidR="00F05E2C">
        <w:t xml:space="preserve"> </w:t>
      </w:r>
      <w:r w:rsidR="006337FE">
        <w:t>października</w:t>
      </w:r>
      <w:r w:rsidR="006337FE" w:rsidRPr="0073204F">
        <w:t xml:space="preserve"> </w:t>
      </w:r>
      <w:r w:rsidRPr="0073204F">
        <w:t>2022 r.</w:t>
      </w:r>
    </w:p>
    <w:p w14:paraId="7BFAD28D" w14:textId="77777777" w:rsidR="0073204F" w:rsidRPr="0073204F" w:rsidRDefault="0073204F" w:rsidP="0073204F">
      <w:pPr>
        <w:pStyle w:val="OZNRODZAKTUtznustawalubrozporzdzenieiorganwydajcy"/>
      </w:pPr>
    </w:p>
    <w:p w14:paraId="606C66B4" w14:textId="77777777" w:rsidR="0073204F" w:rsidRPr="0073204F" w:rsidRDefault="0073204F" w:rsidP="0073204F">
      <w:pPr>
        <w:pStyle w:val="OZNRODZAKTUtznustawalubrozporzdzenieiorganwydajcy"/>
      </w:pPr>
      <w:r w:rsidRPr="0073204F">
        <w:t>USTAWA</w:t>
      </w:r>
    </w:p>
    <w:p w14:paraId="39ACEE6B" w14:textId="77777777" w:rsidR="0073204F" w:rsidRPr="0073204F" w:rsidRDefault="0073204F" w:rsidP="0073204F">
      <w:pPr>
        <w:pStyle w:val="DATAAKTUdatauchwalenialubwydaniaaktu"/>
      </w:pPr>
      <w:r w:rsidRPr="0073204F">
        <w:t xml:space="preserve">z dnia ………………. 2022 r. </w:t>
      </w:r>
    </w:p>
    <w:p w14:paraId="3A434F58" w14:textId="5592414B" w:rsidR="0073204F" w:rsidRPr="00821BD7" w:rsidRDefault="0073204F" w:rsidP="0073204F">
      <w:pPr>
        <w:pStyle w:val="TYTUAKTUprzedmiotregulacjiustawylubrozporzdzenia"/>
        <w:rPr>
          <w:rStyle w:val="Ppogrubienie"/>
          <w:vertAlign w:val="superscript"/>
        </w:rPr>
      </w:pPr>
      <w:r w:rsidRPr="0073204F">
        <w:t>o zmianie ustawy o przygotowaniu i realizacji strategicznych inwestycji w zakresie sieci przesyłowych</w:t>
      </w:r>
      <w:r w:rsidR="000C6097">
        <w:t xml:space="preserve"> oraz </w:t>
      </w:r>
      <w:r w:rsidR="00CA5AA9">
        <w:t>niektórych</w:t>
      </w:r>
      <w:r w:rsidR="000C6097">
        <w:t xml:space="preserve"> innych ustaw</w:t>
      </w:r>
      <w:r w:rsidR="00CA5AA9" w:rsidRPr="007E1755">
        <w:rPr>
          <w:rStyle w:val="IGindeksgrny"/>
        </w:rPr>
        <w:footnoteReference w:id="1"/>
      </w:r>
      <w:r w:rsidR="00352FCB">
        <w:rPr>
          <w:vertAlign w:val="superscript"/>
        </w:rPr>
        <w:t>)</w:t>
      </w:r>
    </w:p>
    <w:p w14:paraId="4347BFF4" w14:textId="72BC0AB1" w:rsidR="0073204F" w:rsidRPr="0073204F" w:rsidRDefault="0073204F" w:rsidP="0073204F">
      <w:pPr>
        <w:pStyle w:val="ARTartustawynprozporzdzenia"/>
      </w:pPr>
      <w:r w:rsidRPr="0073204F">
        <w:rPr>
          <w:rStyle w:val="Pogrubienie"/>
        </w:rPr>
        <w:t>Art. 1.</w:t>
      </w:r>
      <w:r w:rsidRPr="0073204F">
        <w:t xml:space="preserve"> W ustawie z dnia 24 lipca 2015 r. o przygotowaniu i realizacji strategicznych inwestycji w zakresie sieci przesyłowych (Dz. U. z 2022 r. poz. 273</w:t>
      </w:r>
      <w:r w:rsidR="00F05E2C">
        <w:t xml:space="preserve"> </w:t>
      </w:r>
      <w:r w:rsidR="00F05E2C" w:rsidRPr="00F05E2C">
        <w:t xml:space="preserve">i </w:t>
      </w:r>
      <w:hyperlink r:id="rId9" w:history="1">
        <w:r w:rsidR="00F05E2C" w:rsidRPr="00F05E2C">
          <w:rPr>
            <w:rStyle w:val="Hipercze"/>
            <w:color w:val="auto"/>
            <w:u w:val="none"/>
          </w:rPr>
          <w:t>1846)</w:t>
        </w:r>
      </w:hyperlink>
      <w:r w:rsidR="00F05E2C">
        <w:t xml:space="preserve"> </w:t>
      </w:r>
      <w:r w:rsidRPr="00F05E2C">
        <w:t xml:space="preserve"> </w:t>
      </w:r>
      <w:r w:rsidRPr="0073204F">
        <w:t>wprowadza się następujące zmiany:</w:t>
      </w:r>
    </w:p>
    <w:p w14:paraId="329BDD71" w14:textId="16D8E7F3" w:rsidR="0073204F" w:rsidRPr="0073204F" w:rsidRDefault="0073204F" w:rsidP="0073204F">
      <w:pPr>
        <w:pStyle w:val="PKTpunkt"/>
      </w:pPr>
      <w:r w:rsidRPr="0073204F">
        <w:t xml:space="preserve">1) </w:t>
      </w:r>
      <w:r w:rsidRPr="0073204F">
        <w:tab/>
        <w:t xml:space="preserve">w art. 1 </w:t>
      </w:r>
      <w:r w:rsidR="00FC12B6">
        <w:t xml:space="preserve">w </w:t>
      </w:r>
      <w:r w:rsidRPr="0073204F">
        <w:t>ust. 2 po pkt 4 dodaje się pkt 4a w brzmieniu:</w:t>
      </w:r>
    </w:p>
    <w:p w14:paraId="208AFDD0" w14:textId="5DDC2811" w:rsidR="0073204F" w:rsidRPr="0073204F" w:rsidRDefault="0073204F" w:rsidP="0073204F">
      <w:pPr>
        <w:pStyle w:val="ZPKTzmpktartykuempunktem"/>
      </w:pPr>
      <w:r w:rsidRPr="0073204F">
        <w:t xml:space="preserve">„4a) </w:t>
      </w:r>
      <w:r w:rsidRPr="0073204F">
        <w:tab/>
        <w:t xml:space="preserve">inwestycja towarzysząca </w:t>
      </w:r>
      <w:r w:rsidR="00F05E2C" w:rsidRPr="0073204F">
        <w:t xml:space="preserve">– </w:t>
      </w:r>
      <w:r w:rsidRPr="0073204F">
        <w:t xml:space="preserve">zadanie inwestycyjne wraz z wykonaniem niezbędnych robót budowlanych w rozumieniu ustawy </w:t>
      </w:r>
      <w:r w:rsidR="008257F0">
        <w:t xml:space="preserve"> </w:t>
      </w:r>
      <w:r w:rsidR="00540AED" w:rsidRPr="0073204F">
        <w:t xml:space="preserve">– </w:t>
      </w:r>
      <w:r w:rsidRPr="0073204F">
        <w:t xml:space="preserve"> Prawo budowlane</w:t>
      </w:r>
      <w:r w:rsidR="00857CA2">
        <w:t>,</w:t>
      </w:r>
      <w:r w:rsidRPr="0073204F">
        <w:t xml:space="preserve"> w </w:t>
      </w:r>
      <w:r w:rsidR="003D0A7B">
        <w:t xml:space="preserve">szczególności </w:t>
      </w:r>
      <w:r w:rsidRPr="0073204F">
        <w:t xml:space="preserve">budowy lub przebudowy obiektów, urządzeń, sieci i instalacji </w:t>
      </w:r>
      <w:r w:rsidR="003D0A7B">
        <w:t xml:space="preserve">niezbędnych do budowy, przebudowy, remontu, utrzymania, użytkowania, zmiany sposobu użytkowania, eksploatacji lub rozbiórki linii </w:t>
      </w:r>
      <w:r w:rsidRPr="0073204F">
        <w:t xml:space="preserve">stanowiących elementy sieci dystrybucyjnej o napięciu równym lub większym niż 110 kV, w szczególności w koordynowaną sieć 110 kV w rozumieniu ustawy z dnia 10 kwietnia 1997 r. – Prawo energetyczne, </w:t>
      </w:r>
      <w:r w:rsidR="00966695">
        <w:t>towarzysząc</w:t>
      </w:r>
      <w:r w:rsidR="00D36AC7">
        <w:t>e</w:t>
      </w:r>
      <w:r w:rsidR="00966695">
        <w:t xml:space="preserve"> strategicznej inwestycji w zakresie sieci przesyłowych i</w:t>
      </w:r>
      <w:r w:rsidR="00966695" w:rsidRPr="0073204F">
        <w:t xml:space="preserve"> </w:t>
      </w:r>
      <w:r w:rsidRPr="0073204F">
        <w:t xml:space="preserve">określone w </w:t>
      </w:r>
      <w:r w:rsidR="00D36AC7">
        <w:t>części II</w:t>
      </w:r>
      <w:r w:rsidRPr="0073204F">
        <w:t xml:space="preserve"> załącznika do ustawy albo</w:t>
      </w:r>
      <w:r w:rsidR="00D96B41">
        <w:t>,</w:t>
      </w:r>
      <w:r w:rsidR="00D96B41" w:rsidRPr="0073204F">
        <w:t xml:space="preserve"> </w:t>
      </w:r>
      <w:r w:rsidRPr="0073204F">
        <w:t>w przepisach wydanych na podstawie art. 3c</w:t>
      </w:r>
      <w:r w:rsidR="0020507D">
        <w:t xml:space="preserve"> </w:t>
      </w:r>
      <w:r w:rsidR="0020507D" w:rsidRPr="0073204F">
        <w:t>w</w:t>
      </w:r>
      <w:r w:rsidR="0020507D">
        <w:t xml:space="preserve"> zakresie </w:t>
      </w:r>
      <w:r w:rsidR="0020507D" w:rsidRPr="00D61FBE">
        <w:t>inwestycj</w:t>
      </w:r>
      <w:r w:rsidR="0020507D">
        <w:t>i</w:t>
      </w:r>
      <w:r w:rsidR="0020507D" w:rsidRPr="00D61FBE">
        <w:t xml:space="preserve"> polegając</w:t>
      </w:r>
      <w:r w:rsidR="0020507D">
        <w:t>ych</w:t>
      </w:r>
      <w:r w:rsidR="0020507D" w:rsidRPr="00D61FBE">
        <w:t xml:space="preserve"> na przebudowie lub remoncie istniejących linii elektroenergetycznych o napięciu równym lub wyższym niż 110 </w:t>
      </w:r>
      <w:proofErr w:type="spellStart"/>
      <w:r w:rsidR="0020507D" w:rsidRPr="00D61FBE">
        <w:t>kV</w:t>
      </w:r>
      <w:proofErr w:type="spellEnd"/>
      <w:r w:rsidR="00EC410F">
        <w:t>, a także tymczasowych obiektów budowlanych, obiektów sieci gazowej, sieci i przyłączy elektroenergetycznych, wodociągowych, kanalizacyjnych, cieplnych, telekomunikacyjnych i teleinformatycznych oraz infrastruktury drogowej lub kolejowej</w:t>
      </w:r>
      <w:r w:rsidR="00365052">
        <w:t>,</w:t>
      </w:r>
      <w:r w:rsidR="00EE0739">
        <w:t xml:space="preserve"> powiązan</w:t>
      </w:r>
      <w:r w:rsidR="00365052">
        <w:t>ych</w:t>
      </w:r>
      <w:r w:rsidR="00EE0739">
        <w:t xml:space="preserve"> z realizacją strategicznych inwestycji w sieć przesyłową</w:t>
      </w:r>
      <w:r w:rsidR="00352FCB">
        <w:t>;</w:t>
      </w:r>
      <w:r w:rsidRPr="0073204F">
        <w:t>”;</w:t>
      </w:r>
    </w:p>
    <w:p w14:paraId="2AB34268" w14:textId="4CF1E5D7" w:rsidR="00B83F53" w:rsidRDefault="0073204F" w:rsidP="00B83F53">
      <w:pPr>
        <w:pStyle w:val="PKTpunkt"/>
      </w:pPr>
      <w:r w:rsidRPr="0073204F">
        <w:t xml:space="preserve">2) </w:t>
      </w:r>
      <w:r w:rsidR="00B83F53">
        <w:t xml:space="preserve">art. 2 </w:t>
      </w:r>
      <w:r w:rsidR="002A1A5F">
        <w:t xml:space="preserve">otrzymuje </w:t>
      </w:r>
      <w:r w:rsidR="00B83F53">
        <w:t xml:space="preserve"> brzmienie:</w:t>
      </w:r>
    </w:p>
    <w:p w14:paraId="51B9008B" w14:textId="770B403E" w:rsidR="00B83F53" w:rsidRDefault="0073204F" w:rsidP="00B83F53">
      <w:pPr>
        <w:pStyle w:val="PKTpunkt"/>
      </w:pPr>
      <w:r w:rsidRPr="0073204F">
        <w:tab/>
      </w:r>
      <w:r w:rsidR="00B83F53" w:rsidRPr="0073204F">
        <w:t>„</w:t>
      </w:r>
      <w:r w:rsidR="00390CF2">
        <w:t xml:space="preserve">Art. 2. </w:t>
      </w:r>
      <w:r w:rsidR="00B83F53">
        <w:t xml:space="preserve">Wykaz strategicznych inwestycji w zakresie sieci przesyłowych i inwestycji towarzyszących określa załącznik do ustawy.” </w:t>
      </w:r>
      <w:r w:rsidR="002A1A5F">
        <w:t>;</w:t>
      </w:r>
    </w:p>
    <w:p w14:paraId="0F37CC2A" w14:textId="25279D8C" w:rsidR="0073204F" w:rsidRPr="0073204F" w:rsidRDefault="00B83F53" w:rsidP="00B83F53">
      <w:pPr>
        <w:pStyle w:val="PKTpunkt"/>
      </w:pPr>
      <w:r>
        <w:lastRenderedPageBreak/>
        <w:t xml:space="preserve">3) </w:t>
      </w:r>
      <w:r w:rsidR="0073204F" w:rsidRPr="0073204F">
        <w:t>po art. 3a dodaje się art. 3b</w:t>
      </w:r>
      <w:r w:rsidR="00591EEE">
        <w:t xml:space="preserve"> i art. 3c</w:t>
      </w:r>
      <w:r w:rsidR="0073204F" w:rsidRPr="0073204F">
        <w:t xml:space="preserve"> w brzmieniu:</w:t>
      </w:r>
    </w:p>
    <w:p w14:paraId="6AA01230" w14:textId="05AC943F" w:rsidR="0073204F" w:rsidRPr="0073204F" w:rsidRDefault="0073204F" w:rsidP="0073204F">
      <w:pPr>
        <w:pStyle w:val="ZARTzmartartykuempunktem"/>
      </w:pPr>
      <w:r w:rsidRPr="0073204F">
        <w:t xml:space="preserve">„Art. 3b. </w:t>
      </w:r>
      <w:r w:rsidR="00B42CEF">
        <w:t xml:space="preserve">1. </w:t>
      </w:r>
      <w:r w:rsidRPr="0073204F">
        <w:t>Przepisy ustawy stosuje się również do inwestycji towarzyszących, z wyłączeniem art.</w:t>
      </w:r>
      <w:r w:rsidR="00603AB6">
        <w:t xml:space="preserve"> 3a,</w:t>
      </w:r>
      <w:r w:rsidRPr="0073204F">
        <w:t xml:space="preserve"> </w:t>
      </w:r>
      <w:r w:rsidR="00352FCB">
        <w:t xml:space="preserve">art. </w:t>
      </w:r>
      <w:r w:rsidRPr="0073204F">
        <w:t>4 ust. 1 pkt 14</w:t>
      </w:r>
      <w:r w:rsidR="00603AB6">
        <w:t xml:space="preserve"> oraz ust. 2 pkt 2 – 2b</w:t>
      </w:r>
      <w:r w:rsidRPr="0073204F">
        <w:t xml:space="preserve">, art. 8 ust. 1 pkt 10, </w:t>
      </w:r>
      <w:r w:rsidR="00EE0739">
        <w:t xml:space="preserve">art. </w:t>
      </w:r>
      <w:r w:rsidR="00F96D63">
        <w:t xml:space="preserve">27c </w:t>
      </w:r>
      <w:r w:rsidRPr="0073204F">
        <w:t>oraz art. 27d</w:t>
      </w:r>
      <w:r w:rsidR="00434371">
        <w:t>,</w:t>
      </w:r>
      <w:r w:rsidRPr="0073204F">
        <w:t xml:space="preserve"> z tym że przez:</w:t>
      </w:r>
    </w:p>
    <w:p w14:paraId="19E6BEB7" w14:textId="2F2A8B2F" w:rsidR="0073204F" w:rsidRPr="0073204F" w:rsidRDefault="0073204F" w:rsidP="0073204F">
      <w:pPr>
        <w:pStyle w:val="ZPKTzmpktartykuempunktem"/>
      </w:pPr>
      <w:r w:rsidRPr="0073204F">
        <w:t xml:space="preserve">1) </w:t>
      </w:r>
      <w:r>
        <w:tab/>
      </w:r>
      <w:r w:rsidRPr="0073204F">
        <w:t>inwestora rozumie się operatora systemu dystrybucyjnego w rozumieniu art. 3 pkt 25 ustawy z dnia 10 kwietnia 1997 r. – Prawo energetyczne,</w:t>
      </w:r>
      <w:r w:rsidR="006327F7">
        <w:t xml:space="preserve"> realizującego inwestycje towarzyszącą</w:t>
      </w:r>
      <w:r w:rsidR="001930DF">
        <w:t>;</w:t>
      </w:r>
      <w:r w:rsidRPr="0073204F">
        <w:t xml:space="preserve"> </w:t>
      </w:r>
    </w:p>
    <w:p w14:paraId="442F2EF3" w14:textId="65CDB72F" w:rsidR="0073204F" w:rsidRPr="0073204F" w:rsidRDefault="0073204F" w:rsidP="0073204F">
      <w:pPr>
        <w:pStyle w:val="ZPKTzmpktartykuempunktem"/>
      </w:pPr>
      <w:r w:rsidRPr="0073204F">
        <w:t xml:space="preserve">2) </w:t>
      </w:r>
      <w:r>
        <w:tab/>
      </w:r>
      <w:r w:rsidRPr="0073204F">
        <w:t>decyzję o ustaleniu lokalizacji strategicznej inwestycji w zakresie sieci przesyłowej rozumie się decyzję o ustaleniu lokalizacji infrastruktury towarzyszącej</w:t>
      </w:r>
      <w:r w:rsidR="00C42706">
        <w:t>;</w:t>
      </w:r>
      <w:r w:rsidRPr="0073204F">
        <w:t xml:space="preserve"> </w:t>
      </w:r>
    </w:p>
    <w:p w14:paraId="6128EA28" w14:textId="1FF96B3B" w:rsidR="0073204F" w:rsidRPr="0073204F" w:rsidRDefault="0073204F" w:rsidP="0073204F">
      <w:pPr>
        <w:pStyle w:val="ZPKTzmpktartykuempunktem"/>
      </w:pPr>
      <w:r w:rsidRPr="0073204F">
        <w:t xml:space="preserve">3) </w:t>
      </w:r>
      <w:r>
        <w:tab/>
      </w:r>
      <w:r w:rsidRPr="0073204F">
        <w:t>pozwolenie na budowę strategicznej inwestycji w zakresie sieci przesyłowej lub pozwolenie na rozbiórkę tej inwestycji rozumie się pozwolenie na budowę infrastruktury towarzyszącej, wydane na zasadach i w trybie określonych w ustawie z dnia 7 lipca 1994 r. - Prawo budowlane</w:t>
      </w:r>
      <w:r w:rsidR="00C42706">
        <w:t>;</w:t>
      </w:r>
    </w:p>
    <w:p w14:paraId="79ABDE1D" w14:textId="3E937227" w:rsidR="0073204F" w:rsidRPr="0073204F" w:rsidRDefault="0073204F" w:rsidP="0073204F">
      <w:pPr>
        <w:pStyle w:val="ZPKTzmpktartykuempunktem"/>
      </w:pPr>
      <w:r w:rsidRPr="0073204F">
        <w:t xml:space="preserve">4) </w:t>
      </w:r>
      <w:r>
        <w:tab/>
      </w:r>
      <w:r w:rsidRPr="0073204F">
        <w:t>pozwolenie na użytkowanie strategicznej inwestycji w zakresie sieci przesyłowej rozumie się pozwolenie na użytkowanie infrastruktury towarzyszącej, wydane na zasadach i w trybie określonych w ustawie z dnia 7 lipca 1994 r. - Prawo budowlane</w:t>
      </w:r>
      <w:r w:rsidR="00C42706">
        <w:t>;</w:t>
      </w:r>
    </w:p>
    <w:p w14:paraId="5174F9B7" w14:textId="398F1317" w:rsidR="0073204F" w:rsidRPr="0073204F" w:rsidRDefault="0073204F" w:rsidP="0073204F">
      <w:pPr>
        <w:pStyle w:val="ZPKTzmpktartykuempunktem"/>
      </w:pPr>
      <w:r w:rsidRPr="0073204F">
        <w:t xml:space="preserve">5) </w:t>
      </w:r>
      <w:r>
        <w:tab/>
      </w:r>
      <w:r w:rsidRPr="0073204F">
        <w:t>decyzję o środowiskowych uwarunkowaniach realizacji strategicznej inwestycji w zakresie sieci przesyłowej rozumie się decyzję o środowiskowych uwarunkowaniach realizacji inwestycji towarzyszącej</w:t>
      </w:r>
      <w:r w:rsidR="00C42706">
        <w:t>;</w:t>
      </w:r>
    </w:p>
    <w:p w14:paraId="0F9CD300" w14:textId="48BFE2F8" w:rsidR="0073204F" w:rsidRDefault="00540AED" w:rsidP="0073204F">
      <w:pPr>
        <w:pStyle w:val="ZPKTzmpktartykuempunktem"/>
      </w:pPr>
      <w:r>
        <w:t>6</w:t>
      </w:r>
      <w:r w:rsidR="0073204F" w:rsidRPr="0073204F">
        <w:t xml:space="preserve">) </w:t>
      </w:r>
      <w:r w:rsidR="0073204F">
        <w:tab/>
      </w:r>
      <w:r w:rsidR="0073204F" w:rsidRPr="0073204F">
        <w:t>zgłoszenie dotyczące robót budowlanych w zakresie strategicznej inwestycji w zakresie sieci przesyłowej rozumie się zgłoszenie dotyczące robót budowlanych, o którym mowa w art. 29 ustawy z dnia 7 lipca 1994 r. - Prawo budowlane w zakresie infrastruktury towarzyszącej.</w:t>
      </w:r>
    </w:p>
    <w:p w14:paraId="3203C5BC" w14:textId="1E492BBE" w:rsidR="00B42CEF" w:rsidRPr="0073204F" w:rsidRDefault="00B42CEF" w:rsidP="00136063">
      <w:pPr>
        <w:pStyle w:val="ZUSTzmustartykuempunktem"/>
      </w:pPr>
      <w:r>
        <w:t xml:space="preserve">2. W stosunku do inwestycji towarzyszących, ilekroć w ustawie </w:t>
      </w:r>
      <w:r w:rsidR="0095793A">
        <w:t xml:space="preserve">jest </w:t>
      </w:r>
      <w:r>
        <w:t xml:space="preserve">mowa o Pełnomocniku Rządu do spraw Strategicznej Infrastruktury Energetycznej rozumie się przez to ministra właściwego do spraw aktywów państwowych.  </w:t>
      </w:r>
    </w:p>
    <w:p w14:paraId="4947DFB5" w14:textId="749B8AB8" w:rsidR="0073204F" w:rsidRPr="0073204F" w:rsidRDefault="0073204F" w:rsidP="00F05E2C">
      <w:pPr>
        <w:pStyle w:val="ARTartustawynprozporzdzenia"/>
      </w:pPr>
      <w:r w:rsidRPr="0073204F">
        <w:t xml:space="preserve">Art. 3c. </w:t>
      </w:r>
      <w:r w:rsidR="008F242C">
        <w:t xml:space="preserve">1. </w:t>
      </w:r>
      <w:r w:rsidRPr="0073204F">
        <w:t xml:space="preserve">Rada Ministrów, na wniosek ministra właściwego do spraw energii, określi w drodze rozporządzenia wykaz </w:t>
      </w:r>
      <w:r w:rsidR="00F96D63">
        <w:t>strategicznych inwestycji w</w:t>
      </w:r>
      <w:r w:rsidR="00352FCB">
        <w:t xml:space="preserve"> zakresie</w:t>
      </w:r>
      <w:r w:rsidR="00F96D63">
        <w:t xml:space="preserve"> sie</w:t>
      </w:r>
      <w:r w:rsidR="00352FCB">
        <w:t>ci</w:t>
      </w:r>
      <w:r w:rsidR="00F96D63">
        <w:t xml:space="preserve"> przesyłow</w:t>
      </w:r>
      <w:r w:rsidR="00352FCB">
        <w:t>ej</w:t>
      </w:r>
      <w:r w:rsidR="00F96D63">
        <w:t xml:space="preserve"> lub </w:t>
      </w:r>
      <w:r w:rsidRPr="0073204F">
        <w:t>inwestycji towarzyszących</w:t>
      </w:r>
      <w:r w:rsidR="00356AAB">
        <w:t>,</w:t>
      </w:r>
      <w:r w:rsidRPr="0073204F">
        <w:t xml:space="preserve"> o których mowa w art. 1 ust. 2 pkt 4a,</w:t>
      </w:r>
      <w:r w:rsidR="00D96B41">
        <w:t xml:space="preserve"> </w:t>
      </w:r>
      <w:r w:rsidR="00D96B41" w:rsidRPr="00A118ED">
        <w:rPr>
          <w:rFonts w:ascii="Times New Roman" w:hAnsi="Times New Roman" w:cs="Times New Roman"/>
        </w:rPr>
        <w:t>polegających na przebudowie lub remoncie istniejących linii elektroenergetycznych o napięciu równym lub wyższym niż 110 kV</w:t>
      </w:r>
      <w:r w:rsidR="00D96B41">
        <w:rPr>
          <w:rFonts w:ascii="Times New Roman" w:hAnsi="Times New Roman" w:cs="Times New Roman"/>
          <w:i/>
          <w:iCs/>
        </w:rPr>
        <w:t>,</w:t>
      </w:r>
      <w:r w:rsidRPr="0073204F">
        <w:t xml:space="preserve"> biorąc pod uwagę:</w:t>
      </w:r>
    </w:p>
    <w:p w14:paraId="655DF446" w14:textId="7FF3120F" w:rsidR="0073204F" w:rsidRPr="0073204F" w:rsidRDefault="0073204F" w:rsidP="0073204F">
      <w:pPr>
        <w:pStyle w:val="ZPKTzmpktartykuempunktem"/>
      </w:pPr>
      <w:r w:rsidRPr="0073204F">
        <w:t xml:space="preserve">1) </w:t>
      </w:r>
      <w:r>
        <w:tab/>
      </w:r>
      <w:r w:rsidRPr="0073204F">
        <w:t xml:space="preserve">bezpieczeństwo i niezawodne funkcjonowanie </w:t>
      </w:r>
      <w:r w:rsidR="00F96D63">
        <w:t>Krajowego Systemu Elektroenergetycznego</w:t>
      </w:r>
      <w:r w:rsidR="00356AAB">
        <w:t>;</w:t>
      </w:r>
      <w:r w:rsidRPr="0073204F">
        <w:t xml:space="preserve"> </w:t>
      </w:r>
    </w:p>
    <w:p w14:paraId="6071133E" w14:textId="047312C6" w:rsidR="0073204F" w:rsidRPr="0073204F" w:rsidRDefault="0073204F" w:rsidP="003B4457">
      <w:pPr>
        <w:pStyle w:val="ZPKTzmpktartykuempunktem"/>
      </w:pPr>
      <w:r w:rsidRPr="0073204F">
        <w:lastRenderedPageBreak/>
        <w:t xml:space="preserve">2) </w:t>
      </w:r>
      <w:r>
        <w:tab/>
      </w:r>
      <w:r w:rsidRPr="0073204F">
        <w:t xml:space="preserve">konieczność realizacji inwestycji z zakresu projektów będących przedmiotem wspólnego zainteresowania w rozumieniu art. 2 pkt 4 </w:t>
      </w:r>
      <w:r w:rsidR="006C7FE5">
        <w:t>r</w:t>
      </w:r>
      <w:r w:rsidRPr="0073204F">
        <w:t>ozporządzenia Parlamentu Europejskiego i Rady (UE) nr 347/2013 z dnia 17 kwietnia 2013 r. w sprawie wytycznych dotyczących transeuropejskiej infrastruktury energetycznej, uchylające decyzję nr 1364/2006/WE oraz zmieniające rozporządzenia (WE) nr 713/2009, (WE) nr 714/2009 i (WE) nr 715/2009 (Dz. Urz. UE L 115 z 25.04.2013, str. 39</w:t>
      </w:r>
      <w:r w:rsidR="008F242C">
        <w:t>,</w:t>
      </w:r>
      <w:r w:rsidRPr="0073204F">
        <w:t xml:space="preserve"> z późn. zm.)</w:t>
      </w:r>
      <w:r w:rsidR="003B4457">
        <w:t xml:space="preserve"> oraz budowy ogólnodostępnych stacji ładowania w rozumieniu art. 2 pkt 27 ustawy z dnia 11 stycznia 2018 r. o elektromobilności i paliwach alternatywnych (Dz. U. z 2021 r. poz. 110 i 1093), których łączna moc będzie równa lub większa </w:t>
      </w:r>
      <w:r w:rsidR="006C7FE5">
        <w:t xml:space="preserve">niż </w:t>
      </w:r>
      <w:r w:rsidR="003B4457">
        <w:t>1 MW w miejscach obsługi podróżnych zlokalizowanych wzdłuż transeuropejskiej sieci drogowe</w:t>
      </w:r>
      <w:r w:rsidR="0095793A">
        <w:t>j</w:t>
      </w:r>
      <w:r w:rsidR="003B4457">
        <w:t xml:space="preserve"> infrastruktury w rozumieniu art. 2 rozporządzenia Parlamentu Europejskiego i Rady </w:t>
      </w:r>
      <w:r w:rsidR="0068451D">
        <w:t xml:space="preserve">(UE) nr 1315/2013 z dnia 11 grudnia 2013 r. w sprawie unijnych wytycznych dotyczących rozwoju transeuropejskiej sieci transportowej i uchylającego decyzję nr 661/2010/UE (Dz. Urz. </w:t>
      </w:r>
      <w:r w:rsidR="00FF7AEE">
        <w:t xml:space="preserve">UE </w:t>
      </w:r>
      <w:r w:rsidR="0068451D">
        <w:t>L 348 z 20.12.2013, s.1</w:t>
      </w:r>
      <w:r w:rsidR="006C7FE5">
        <w:t>,</w:t>
      </w:r>
      <w:r w:rsidR="0068451D">
        <w:t xml:space="preserve"> z </w:t>
      </w:r>
      <w:proofErr w:type="spellStart"/>
      <w:r w:rsidR="0068451D">
        <w:t>późn</w:t>
      </w:r>
      <w:proofErr w:type="spellEnd"/>
      <w:r w:rsidR="0068451D">
        <w:t>. zm.</w:t>
      </w:r>
      <w:r w:rsidR="006C7FE5">
        <w:rPr>
          <w:rStyle w:val="Odwoanieprzypisudolnego"/>
        </w:rPr>
        <w:footnoteReference w:id="2"/>
      </w:r>
      <w:r w:rsidR="006C7FE5" w:rsidRPr="00F05E2C">
        <w:rPr>
          <w:vertAlign w:val="superscript"/>
        </w:rPr>
        <w:t>)</w:t>
      </w:r>
      <w:r w:rsidR="0068451D">
        <w:t>)</w:t>
      </w:r>
      <w:r w:rsidR="009265C5">
        <w:t>;</w:t>
      </w:r>
      <w:r w:rsidR="006C7FE5" w:rsidRPr="006C7FE5">
        <w:rPr>
          <w:sz w:val="23"/>
          <w:szCs w:val="23"/>
        </w:rPr>
        <w:t xml:space="preserve"> </w:t>
      </w:r>
    </w:p>
    <w:p w14:paraId="1D867C2A" w14:textId="7FA5E2B5" w:rsidR="008F242C" w:rsidRDefault="0073204F" w:rsidP="00821BD7">
      <w:pPr>
        <w:pStyle w:val="ZPKTzmpktartykuempunktem"/>
      </w:pPr>
      <w:r w:rsidRPr="0073204F">
        <w:t xml:space="preserve">3) </w:t>
      </w:r>
      <w:r>
        <w:tab/>
      </w:r>
      <w:r w:rsidRPr="0073204F">
        <w:t xml:space="preserve">znaczenie inwestycji dla wyprowadzenia mocy z systemu przesyłowego, w szczególności </w:t>
      </w:r>
      <w:r w:rsidR="00675175">
        <w:t>w związku z realizacją</w:t>
      </w:r>
      <w:r w:rsidRPr="0073204F">
        <w:t xml:space="preserve"> strategicznych inwestycji w zakresie sieci przesyłowych</w:t>
      </w:r>
      <w:r w:rsidR="00F05E2C">
        <w:t>.”</w:t>
      </w:r>
      <w:r w:rsidR="00D6241B">
        <w:t>;</w:t>
      </w:r>
    </w:p>
    <w:p w14:paraId="330400D3" w14:textId="06B77FDD" w:rsidR="002E42D8" w:rsidRDefault="0073204F" w:rsidP="0073204F">
      <w:pPr>
        <w:pStyle w:val="PKTpunkt"/>
      </w:pPr>
      <w:r w:rsidRPr="0073204F">
        <w:t xml:space="preserve">4) </w:t>
      </w:r>
      <w:r w:rsidRPr="0073204F">
        <w:tab/>
      </w:r>
      <w:r w:rsidR="002E42D8">
        <w:t xml:space="preserve">w art. 4 po ust. 2 dodaje się ust. 2a </w:t>
      </w:r>
      <w:r w:rsidR="0095793A">
        <w:t xml:space="preserve">i </w:t>
      </w:r>
      <w:r w:rsidR="002E42D8">
        <w:t>2b w brzmieniu:</w:t>
      </w:r>
    </w:p>
    <w:p w14:paraId="65838B89" w14:textId="45016D29" w:rsidR="002E42D8" w:rsidRPr="00821BD7" w:rsidRDefault="002E42D8" w:rsidP="00821BD7">
      <w:pPr>
        <w:pStyle w:val="USTustnpkodeksu"/>
      </w:pPr>
      <w:r w:rsidRPr="00821BD7">
        <w:t>„2a. Do wniosk</w:t>
      </w:r>
      <w:r w:rsidR="00D56EE1">
        <w:t>ów</w:t>
      </w:r>
      <w:r w:rsidRPr="00821BD7">
        <w:t xml:space="preserve"> o opini</w:t>
      </w:r>
      <w:r w:rsidR="00D56EE1">
        <w:t>e</w:t>
      </w:r>
      <w:r w:rsidRPr="00821BD7">
        <w:t>, o których mowa w ust. 2 pkt 2-2b w zakresie inwestycji dotyczących zespołu urządzeń służących do wyprowadzenia mocy w rozumieniu ustawy z dnia 17 grudnia 2020 r. o promowaniu wytwarzania energii elektrycznej w morskich farmach wiatrowych (Dz.U. z 2022 r. poz. 1050), stosuje się wymogi wskazane w art. 27a ust. 1-2a i 4 ustawy z dnia 21 marca 1991 r. o obszarach morskich Rzeczypospolitej Polskiej i administracji morskiej (Dz. U. z 2022 r. poz. 457, 1079 i 1604).</w:t>
      </w:r>
    </w:p>
    <w:p w14:paraId="303D57C1" w14:textId="4A3F3472" w:rsidR="002E42D8" w:rsidRPr="002E42D8" w:rsidRDefault="002E42D8" w:rsidP="00821BD7">
      <w:pPr>
        <w:pStyle w:val="USTustnpkodeksu"/>
      </w:pPr>
      <w:r w:rsidRPr="00821BD7">
        <w:t>2b</w:t>
      </w:r>
      <w:r w:rsidR="0095793A">
        <w:t>.</w:t>
      </w:r>
      <w:r w:rsidRPr="00821BD7">
        <w:t xml:space="preserve"> Jeżeli wniosek, o którym mowa w ust. 2a, wraz z załącznikami zawiera </w:t>
      </w:r>
      <w:r w:rsidR="0099049E">
        <w:t xml:space="preserve">informacje stanowiące </w:t>
      </w:r>
      <w:r w:rsidRPr="00821BD7">
        <w:t xml:space="preserve">tajemnicę przedsiębiorstwa, o której mowa w art. 11 ust. 2 ustawy z dnia 16 kwietnia 1993 r. o zwalczaniu nieuczciwej konkurencji (Dz.U. z 2022 r. poz. 1233), wnioskodawca składa dodatkowy egzemplarz wniosku niezawierający </w:t>
      </w:r>
      <w:r w:rsidR="00192405">
        <w:t xml:space="preserve">tych </w:t>
      </w:r>
      <w:r w:rsidR="0099049E">
        <w:t>informacji</w:t>
      </w:r>
      <w:r>
        <w:t>.”;</w:t>
      </w:r>
    </w:p>
    <w:p w14:paraId="71F34CE8" w14:textId="1B08619A" w:rsidR="0073204F" w:rsidRPr="0073204F" w:rsidRDefault="002E42D8" w:rsidP="0073204F">
      <w:pPr>
        <w:pStyle w:val="PKTpunkt"/>
      </w:pPr>
      <w:r>
        <w:t xml:space="preserve">5) </w:t>
      </w:r>
      <w:r>
        <w:tab/>
      </w:r>
      <w:r w:rsidR="0073204F" w:rsidRPr="0073204F">
        <w:t>w art. 35 uchyla się ust. 2</w:t>
      </w:r>
      <w:r w:rsidR="00220924">
        <w:t>;</w:t>
      </w:r>
      <w:r w:rsidR="00220924" w:rsidRPr="0073204F" w:rsidDel="00220924">
        <w:t xml:space="preserve"> </w:t>
      </w:r>
    </w:p>
    <w:p w14:paraId="1DDA4AFB" w14:textId="75CBD0B4" w:rsidR="0073204F" w:rsidRPr="0073204F" w:rsidRDefault="002E42D8" w:rsidP="0073204F">
      <w:pPr>
        <w:pStyle w:val="PKTpunkt"/>
      </w:pPr>
      <w:r>
        <w:t>6</w:t>
      </w:r>
      <w:r w:rsidR="0073204F" w:rsidRPr="0073204F">
        <w:t xml:space="preserve">) </w:t>
      </w:r>
      <w:r w:rsidR="0073204F" w:rsidRPr="0073204F">
        <w:tab/>
      </w:r>
      <w:r w:rsidR="0095793A">
        <w:t>z</w:t>
      </w:r>
      <w:r w:rsidR="0073204F" w:rsidRPr="0073204F">
        <w:t>ałącznik do ustawy otrzymuje brzmienie określone w załączniku do niniejszej ustawy.</w:t>
      </w:r>
    </w:p>
    <w:p w14:paraId="5A7B4BD5" w14:textId="19703BA6" w:rsidR="0073204F" w:rsidRPr="0073204F" w:rsidRDefault="0073204F" w:rsidP="00B446FA">
      <w:pPr>
        <w:pStyle w:val="ARTartustawynprozporzdzenia"/>
      </w:pPr>
      <w:r w:rsidRPr="004C4009">
        <w:rPr>
          <w:rStyle w:val="Ppogrubienie"/>
        </w:rPr>
        <w:lastRenderedPageBreak/>
        <w:t>Art. 2.</w:t>
      </w:r>
      <w:r w:rsidRPr="0073204F">
        <w:t xml:space="preserve"> W ustawie z dnia 21 sierpnia 1997 r. o gospodarce nieruchomościami (Dz.U. z 2021 r. poz. 1899</w:t>
      </w:r>
      <w:r w:rsidR="00F05E2C">
        <w:t xml:space="preserve"> oraz z </w:t>
      </w:r>
      <w:r w:rsidR="00C7789C">
        <w:t>2022 poz. 1846</w:t>
      </w:r>
      <w:r w:rsidRPr="0073204F">
        <w:t>) wprowadza się następujące zmiany:</w:t>
      </w:r>
    </w:p>
    <w:p w14:paraId="4BC40798" w14:textId="476FCBD6" w:rsidR="0073204F" w:rsidRDefault="0073204F" w:rsidP="0073204F">
      <w:pPr>
        <w:pStyle w:val="PKTpunkt"/>
      </w:pPr>
      <w:r w:rsidRPr="0073204F">
        <w:t xml:space="preserve">1) </w:t>
      </w:r>
      <w:r>
        <w:tab/>
        <w:t xml:space="preserve">w </w:t>
      </w:r>
      <w:r w:rsidRPr="0073204F">
        <w:t>art. 124</w:t>
      </w:r>
      <w:r w:rsidR="008C6948">
        <w:t>:</w:t>
      </w:r>
    </w:p>
    <w:p w14:paraId="4719239D" w14:textId="1DD8A416" w:rsidR="0073204F" w:rsidRPr="0073204F" w:rsidRDefault="0073204F" w:rsidP="0073204F">
      <w:pPr>
        <w:pStyle w:val="LITlitera"/>
      </w:pPr>
      <w:r>
        <w:t>a)</w:t>
      </w:r>
      <w:r>
        <w:tab/>
      </w:r>
      <w:r w:rsidRPr="0073204F">
        <w:t>ust.</w:t>
      </w:r>
      <w:r w:rsidR="00B446FA">
        <w:t xml:space="preserve"> </w:t>
      </w:r>
      <w:r w:rsidRPr="0073204F">
        <w:t>3 otrzymuje brzmienie:</w:t>
      </w:r>
    </w:p>
    <w:p w14:paraId="2A7813D4" w14:textId="7CD17BFF" w:rsidR="0073204F" w:rsidRPr="0073204F" w:rsidRDefault="0073204F" w:rsidP="00104DF9">
      <w:pPr>
        <w:pStyle w:val="USTustnpkodeksu"/>
      </w:pPr>
      <w:r w:rsidRPr="0073204F">
        <w:t xml:space="preserve">„3. </w:t>
      </w:r>
      <w:r>
        <w:tab/>
      </w:r>
      <w:r w:rsidRPr="0073204F">
        <w:t xml:space="preserve">Udzielenie zezwolenia, o którym mowa w ust. 1, powinno być poprzedzone rokowaniami prowadzonymi </w:t>
      </w:r>
      <w:r w:rsidRPr="00104DF9">
        <w:t xml:space="preserve">w formie </w:t>
      </w:r>
      <w:r w:rsidR="00597625">
        <w:t>dokumentowej, o której mowa w art. 77</w:t>
      </w:r>
      <w:r w:rsidR="00597625" w:rsidRPr="002E0FF1">
        <w:rPr>
          <w:vertAlign w:val="superscript"/>
        </w:rPr>
        <w:t>2</w:t>
      </w:r>
      <w:r w:rsidR="00597625">
        <w:t xml:space="preserve"> ustawy z dnia 23 kwietnia 1964 r. – Kodeks cywilny (Dz.U. z 2022 r. poz. 1360),</w:t>
      </w:r>
      <w:r w:rsidR="00597625" w:rsidRPr="0073204F">
        <w:t xml:space="preserve"> </w:t>
      </w:r>
      <w:r w:rsidRPr="0073204F">
        <w:t>z właścicielem lub użytkownikiem wieczystym nieruchomości o uzyskanie zgody na wykonanie prac, o których mowa w ust. 1. Rokowania przeprowadza osoba lub jednostka organizacyjna zamierzająca wystąpić z wnioskiem o zezwolenie. Do wniosku należy dołączyć dokumenty z przeprowadzonych rokowań. Rokowania nie mogą trwać dłużej niż 30 dni</w:t>
      </w:r>
      <w:r w:rsidR="00597625">
        <w:t xml:space="preserve"> od dnia złożenia pierwszego oświadczenia przez którąkolwiek ze stron</w:t>
      </w:r>
      <w:r w:rsidRPr="0073204F">
        <w:t>.”</w:t>
      </w:r>
      <w:r w:rsidR="000C55D8">
        <w:t>,</w:t>
      </w:r>
    </w:p>
    <w:p w14:paraId="5B9D8507" w14:textId="5F50D62C" w:rsidR="0073204F" w:rsidRPr="0073204F" w:rsidRDefault="0073204F" w:rsidP="0073204F">
      <w:pPr>
        <w:pStyle w:val="LITlitera"/>
      </w:pPr>
      <w:r>
        <w:t>b)</w:t>
      </w:r>
      <w:r w:rsidRPr="0073204F">
        <w:t xml:space="preserve"> </w:t>
      </w:r>
      <w:r>
        <w:tab/>
      </w:r>
      <w:r w:rsidRPr="0073204F">
        <w:t>po ust. 3 dodaje się ust. 3a w brzmieniu:</w:t>
      </w:r>
    </w:p>
    <w:p w14:paraId="34C07282" w14:textId="27127AAF" w:rsidR="0073204F" w:rsidRPr="0073204F" w:rsidRDefault="0073204F" w:rsidP="00D756D2">
      <w:pPr>
        <w:pStyle w:val="USTustnpkodeksu"/>
      </w:pPr>
      <w:r w:rsidRPr="0073204F">
        <w:t xml:space="preserve">„3a. W przypadku </w:t>
      </w:r>
      <w:r w:rsidR="00D756D2">
        <w:t xml:space="preserve">przekroczenia </w:t>
      </w:r>
      <w:r w:rsidR="00904D46">
        <w:t>terminu, o którym mowa w ust. 3, lub gdy r</w:t>
      </w:r>
      <w:r w:rsidRPr="0073204F">
        <w:t>okowania</w:t>
      </w:r>
      <w:r w:rsidR="00904D46">
        <w:t>,</w:t>
      </w:r>
      <w:r w:rsidRPr="0073204F">
        <w:t xml:space="preserve"> o których mowa w </w:t>
      </w:r>
      <w:r w:rsidR="00D756D2">
        <w:t xml:space="preserve">tym </w:t>
      </w:r>
      <w:r w:rsidR="006C7FE5">
        <w:t>przepisie</w:t>
      </w:r>
      <w:r w:rsidR="00904D46">
        <w:t>,</w:t>
      </w:r>
      <w:r w:rsidRPr="0073204F">
        <w:t xml:space="preserve"> </w:t>
      </w:r>
      <w:r w:rsidR="00904D46">
        <w:t xml:space="preserve">nie </w:t>
      </w:r>
      <w:r w:rsidRPr="0073204F">
        <w:t xml:space="preserve">zakończyły się </w:t>
      </w:r>
      <w:r w:rsidR="00904D46">
        <w:t xml:space="preserve">uzyskaniem zgody </w:t>
      </w:r>
      <w:r w:rsidR="00904D46" w:rsidRPr="00904D46">
        <w:t>na wykonanie prac, o których mowa w ust. 1</w:t>
      </w:r>
      <w:r w:rsidR="00462647">
        <w:t>,</w:t>
      </w:r>
      <w:r w:rsidR="00904D46">
        <w:t xml:space="preserve"> </w:t>
      </w:r>
      <w:r w:rsidRPr="0073204F">
        <w:t>starosta, wykonujący zadanie z zakresu administracji rządowej, z urzędu albo na wniosek organu wykonawczego jednostki samorządu terytorialnego, innej osoby lub jednostki organizacyjnej</w:t>
      </w:r>
      <w:r w:rsidR="00D756D2">
        <w:t>,</w:t>
      </w:r>
      <w:r w:rsidR="00904D46">
        <w:t xml:space="preserve"> </w:t>
      </w:r>
      <w:r w:rsidR="00904D46" w:rsidRPr="0073204F">
        <w:t>udziela zezwolenia</w:t>
      </w:r>
      <w:r w:rsidR="00904D46">
        <w:t>, o którym mowa w ust. 1.</w:t>
      </w:r>
      <w:r w:rsidRPr="0073204F">
        <w:t>”</w:t>
      </w:r>
      <w:r w:rsidR="00D756D2">
        <w:t>;</w:t>
      </w:r>
    </w:p>
    <w:p w14:paraId="55F5B4A6" w14:textId="3825395E" w:rsidR="0073204F" w:rsidRPr="0073204F" w:rsidRDefault="002275BE" w:rsidP="0073204F">
      <w:pPr>
        <w:pStyle w:val="PKTpunkt"/>
      </w:pPr>
      <w:r>
        <w:t>2</w:t>
      </w:r>
      <w:r w:rsidR="0073204F" w:rsidRPr="0073204F">
        <w:t xml:space="preserve">) </w:t>
      </w:r>
      <w:r w:rsidR="0073204F">
        <w:tab/>
      </w:r>
      <w:r w:rsidR="0073204F" w:rsidRPr="0073204F">
        <w:t xml:space="preserve">w art. 124b </w:t>
      </w:r>
      <w:r w:rsidR="00904D46">
        <w:t xml:space="preserve">w </w:t>
      </w:r>
      <w:r w:rsidR="0073204F" w:rsidRPr="0073204F">
        <w:t>ust.</w:t>
      </w:r>
      <w:r w:rsidR="008027F8">
        <w:t xml:space="preserve"> </w:t>
      </w:r>
      <w:r w:rsidR="0073204F" w:rsidRPr="0073204F">
        <w:t xml:space="preserve">1 po </w:t>
      </w:r>
      <w:r w:rsidR="00904D46">
        <w:t>wyrazie „</w:t>
      </w:r>
      <w:r w:rsidR="0073204F" w:rsidRPr="0073204F">
        <w:t>konserwacją</w:t>
      </w:r>
      <w:r w:rsidR="00904D46">
        <w:t>”</w:t>
      </w:r>
      <w:r w:rsidR="0073204F" w:rsidRPr="0073204F">
        <w:t xml:space="preserve"> dodaje się</w:t>
      </w:r>
      <w:r w:rsidR="00462647">
        <w:t xml:space="preserve"> wyraz</w:t>
      </w:r>
      <w:r w:rsidR="0073204F" w:rsidRPr="0073204F">
        <w:t xml:space="preserve"> </w:t>
      </w:r>
      <w:r w:rsidR="00BE77C3">
        <w:t>„</w:t>
      </w:r>
      <w:r w:rsidR="00434371">
        <w:t>,</w:t>
      </w:r>
      <w:r w:rsidR="0073204F" w:rsidRPr="0073204F">
        <w:t>przebudową</w:t>
      </w:r>
      <w:r w:rsidR="00BE77C3">
        <w:t>”</w:t>
      </w:r>
      <w:r w:rsidR="0073204F" w:rsidRPr="0073204F">
        <w:t>.</w:t>
      </w:r>
    </w:p>
    <w:p w14:paraId="7E4B4D58" w14:textId="0B8EF14E" w:rsidR="002B3AB6" w:rsidRPr="0073204F" w:rsidRDefault="0073204F" w:rsidP="002B3AB6">
      <w:pPr>
        <w:pStyle w:val="ARTartustawynprozporzdzenia"/>
      </w:pPr>
      <w:r w:rsidRPr="004C4009">
        <w:rPr>
          <w:rStyle w:val="Ppogrubienie"/>
        </w:rPr>
        <w:t>Art. 3.</w:t>
      </w:r>
      <w:r w:rsidRPr="0073204F">
        <w:t xml:space="preserve"> </w:t>
      </w:r>
      <w:r w:rsidR="002B3AB6" w:rsidRPr="0073204F">
        <w:t>W ustawie z dnia 21 marca 1985 r. o drogach publicznych (Dz.U. z 2021 r. poz. 1376) wprowadza się następujące zmiany:</w:t>
      </w:r>
    </w:p>
    <w:p w14:paraId="29E316BE" w14:textId="77777777" w:rsidR="002B3AB6" w:rsidRPr="0073204F" w:rsidRDefault="002B3AB6" w:rsidP="002B3AB6">
      <w:pPr>
        <w:pStyle w:val="PKTpunkt"/>
      </w:pPr>
      <w:r>
        <w:t xml:space="preserve">1) </w:t>
      </w:r>
      <w:r>
        <w:tab/>
        <w:t xml:space="preserve">w </w:t>
      </w:r>
      <w:r w:rsidRPr="0073204F">
        <w:t>art. 39 ust. 5 otrzymuje brzmienie:</w:t>
      </w:r>
    </w:p>
    <w:p w14:paraId="07EC2E8D" w14:textId="4D44F703" w:rsidR="002B3AB6" w:rsidRPr="0073204F" w:rsidRDefault="002B3AB6" w:rsidP="002B3AB6">
      <w:pPr>
        <w:pStyle w:val="USTustnpkodeksu"/>
      </w:pPr>
      <w:r w:rsidRPr="0073204F">
        <w:t>„5. Jeżeli budowa, przebudowa lub remont drogi wymaga przełożenia urządzenia lub obiektu, o którym mowa w ust. 3, koszt tego przełożenia ponosi zarządca drogi.”</w:t>
      </w:r>
      <w:r w:rsidR="002275BE">
        <w:t>;</w:t>
      </w:r>
    </w:p>
    <w:p w14:paraId="0AC27B31" w14:textId="77777777" w:rsidR="002B3AB6" w:rsidRPr="0073204F" w:rsidRDefault="002B3AB6" w:rsidP="002B3AB6">
      <w:pPr>
        <w:pStyle w:val="PKTpunkt"/>
      </w:pPr>
      <w:r>
        <w:t xml:space="preserve">2) </w:t>
      </w:r>
      <w:r>
        <w:tab/>
        <w:t xml:space="preserve">w </w:t>
      </w:r>
      <w:r w:rsidRPr="0073204F">
        <w:t>art. 42 ust. 3 otrzymuje brzmienie:</w:t>
      </w:r>
    </w:p>
    <w:p w14:paraId="61FCC178" w14:textId="77777777" w:rsidR="002B3AB6" w:rsidRPr="0073204F" w:rsidRDefault="002B3AB6" w:rsidP="002B3AB6">
      <w:pPr>
        <w:pStyle w:val="USTustnpkodeksu"/>
      </w:pPr>
      <w:r w:rsidRPr="0073204F">
        <w:t>„3. Urządzenia liniowe, o których mowa w ust. 1, oraz przyłącza elektroenergetyczne mogą być umieszczane:</w:t>
      </w:r>
    </w:p>
    <w:p w14:paraId="3896FB0D" w14:textId="77777777" w:rsidR="002B3AB6" w:rsidRPr="0073204F" w:rsidRDefault="002B3AB6" w:rsidP="002B3AB6">
      <w:pPr>
        <w:pStyle w:val="PKTpunkt"/>
      </w:pPr>
      <w:r w:rsidRPr="0073204F">
        <w:t xml:space="preserve">1) </w:t>
      </w:r>
      <w:r>
        <w:tab/>
      </w:r>
      <w:r w:rsidRPr="0073204F">
        <w:t>na obszarach narażonych na niebezpieczeństwo powodzi - na skarpach nasypów drogowych, z wyjątkiem nasypów spełniających jednocześnie funkcję wałów przeciwpowodziowych, a w przypadku braku takiej możliwości - na krawędzi korony drogi,</w:t>
      </w:r>
    </w:p>
    <w:p w14:paraId="1329EF20" w14:textId="77777777" w:rsidR="002B3AB6" w:rsidRPr="0073204F" w:rsidRDefault="002B3AB6" w:rsidP="002B3AB6">
      <w:pPr>
        <w:pStyle w:val="PKTpunkt"/>
      </w:pPr>
      <w:r w:rsidRPr="0073204F">
        <w:t>2)</w:t>
      </w:r>
      <w:r>
        <w:tab/>
      </w:r>
      <w:r w:rsidRPr="0073204F">
        <w:t xml:space="preserve"> na terenach górskich, zalesionych i w parkach narodowych - w pasie drogowym poza koroną drogi,</w:t>
      </w:r>
    </w:p>
    <w:p w14:paraId="4AC76A74" w14:textId="77777777" w:rsidR="002B3AB6" w:rsidRPr="0073204F" w:rsidRDefault="002B3AB6" w:rsidP="002B3AB6">
      <w:pPr>
        <w:pStyle w:val="PKTpunkt"/>
      </w:pPr>
      <w:r w:rsidRPr="0073204F">
        <w:lastRenderedPageBreak/>
        <w:t xml:space="preserve">3) </w:t>
      </w:r>
      <w:r>
        <w:tab/>
      </w:r>
      <w:r w:rsidRPr="0073204F">
        <w:t>w odległości mniejszej niż określona w ust. 1 bądź w pasie drogowym poza koroną drogi</w:t>
      </w:r>
      <w:r>
        <w:t xml:space="preserve"> </w:t>
      </w:r>
    </w:p>
    <w:p w14:paraId="5F4BB716" w14:textId="5EB2F533" w:rsidR="002B3AB6" w:rsidRDefault="00D11842" w:rsidP="002B3AB6">
      <w:pPr>
        <w:pStyle w:val="CZWSPPKTczwsplnapunktw"/>
      </w:pPr>
      <w:bookmarkStart w:id="0" w:name="_Hlk107390954"/>
      <w:r>
        <w:t>–</w:t>
      </w:r>
      <w:bookmarkEnd w:id="0"/>
      <w:r w:rsidR="002B3AB6" w:rsidRPr="0073204F">
        <w:t xml:space="preserve"> na warunkach określonych przez zarządcę drogi i za jego zgodą. Przepis art. 38 ust. 3 stosuje się odpowiednio.”</w:t>
      </w:r>
      <w:r w:rsidR="002275BE">
        <w:t>.</w:t>
      </w:r>
    </w:p>
    <w:p w14:paraId="64B43CFF" w14:textId="77777777" w:rsidR="002B3AB6" w:rsidRPr="0073204F" w:rsidRDefault="0073204F" w:rsidP="002B3AB6">
      <w:pPr>
        <w:pStyle w:val="ARTartustawynprozporzdzenia"/>
      </w:pPr>
      <w:r w:rsidRPr="00104DF9">
        <w:rPr>
          <w:rStyle w:val="Ppogrubienie"/>
        </w:rPr>
        <w:t xml:space="preserve">Art. 4. </w:t>
      </w:r>
      <w:r w:rsidR="002B3AB6" w:rsidRPr="0073204F">
        <w:t xml:space="preserve">W ustawie z dnia 7 lipca 1994 r. Prawo budowlane (Dz.U. z 2021 r. poz. 2351 </w:t>
      </w:r>
      <w:r w:rsidR="002B3AB6">
        <w:t>oraz z 2022 r. poz. 88</w:t>
      </w:r>
      <w:r w:rsidR="002B3AB6" w:rsidRPr="0073204F">
        <w:t>) wprowadza się następujące zmiany:</w:t>
      </w:r>
    </w:p>
    <w:p w14:paraId="7194FBF1" w14:textId="77777777" w:rsidR="002B3AB6" w:rsidRPr="0073204F" w:rsidRDefault="002B3AB6" w:rsidP="002B3AB6">
      <w:pPr>
        <w:pStyle w:val="PKTpunkt"/>
      </w:pPr>
      <w:r>
        <w:t xml:space="preserve">1) </w:t>
      </w:r>
      <w:r>
        <w:tab/>
        <w:t xml:space="preserve">w </w:t>
      </w:r>
      <w:r w:rsidRPr="0073204F">
        <w:t>art. 3 pkt 7a otrzymuje brzmienie:</w:t>
      </w:r>
    </w:p>
    <w:p w14:paraId="68C6C2F1" w14:textId="1AA37CFA" w:rsidR="007D62AC" w:rsidRDefault="002B3AB6" w:rsidP="002B3AB6">
      <w:pPr>
        <w:pStyle w:val="PKTpunkt"/>
      </w:pPr>
      <w:r w:rsidRPr="0073204F">
        <w:t xml:space="preserve">„7a) </w:t>
      </w:r>
      <w:r w:rsidR="00D11842">
        <w:tab/>
      </w:r>
      <w:r w:rsidRPr="0073204F">
        <w:t xml:space="preserve">przebudowie - należy przez to rozumieć wykonanie robót budowlanych, w wyniku których następuje zmiana parametrów użytkowych lub technicznych istniejącego obiektu budowlanego, z wyjątkiem charakterystycznych parametrów, jak: kubatura, powierzchnia zabudowy, wysokość, długość, szerokość </w:t>
      </w:r>
      <w:r w:rsidR="008027F8">
        <w:t>lub</w:t>
      </w:r>
      <w:r w:rsidR="008027F8" w:rsidRPr="0073204F">
        <w:t xml:space="preserve"> </w:t>
      </w:r>
      <w:r w:rsidRPr="0073204F">
        <w:t xml:space="preserve">liczba kondygnacji; </w:t>
      </w:r>
      <w:r w:rsidR="007D62AC">
        <w:t xml:space="preserve">zmiany charakterystycznych parametrów są dopuszczalne </w:t>
      </w:r>
      <w:r w:rsidRPr="0073204F">
        <w:t>w przypadku</w:t>
      </w:r>
      <w:r w:rsidR="007D62AC">
        <w:t>:</w:t>
      </w:r>
    </w:p>
    <w:p w14:paraId="71A0C13D" w14:textId="0CFE5339" w:rsidR="007D62AC" w:rsidRDefault="002B3AB6" w:rsidP="00821BD7">
      <w:pPr>
        <w:pStyle w:val="PKTpunkt"/>
        <w:numPr>
          <w:ilvl w:val="0"/>
          <w:numId w:val="2"/>
        </w:numPr>
      </w:pPr>
      <w:r w:rsidRPr="0073204F">
        <w:t>dróg w zakresie niewymagającym zmiany granic pasa drogowego</w:t>
      </w:r>
      <w:r w:rsidR="008027F8">
        <w:t>,</w:t>
      </w:r>
    </w:p>
    <w:p w14:paraId="7B924FAC" w14:textId="65732269" w:rsidR="002B3AB6" w:rsidRPr="0073204F" w:rsidRDefault="007D62AC" w:rsidP="00821BD7">
      <w:pPr>
        <w:pStyle w:val="PKTpunkt"/>
        <w:numPr>
          <w:ilvl w:val="0"/>
          <w:numId w:val="2"/>
        </w:numPr>
      </w:pPr>
      <w:r>
        <w:t>linii elektroenergetycznych</w:t>
      </w:r>
      <w:r w:rsidR="00BF19B9">
        <w:t>.</w:t>
      </w:r>
      <w:r w:rsidR="002B3AB6" w:rsidRPr="0073204F">
        <w:t>”</w:t>
      </w:r>
      <w:r w:rsidR="002B3AB6">
        <w:t>;</w:t>
      </w:r>
    </w:p>
    <w:p w14:paraId="370774E4" w14:textId="77777777" w:rsidR="002B3AB6" w:rsidRPr="0073204F" w:rsidRDefault="002B3AB6" w:rsidP="002B3AB6">
      <w:pPr>
        <w:pStyle w:val="PKTpunkt"/>
      </w:pPr>
      <w:r>
        <w:t xml:space="preserve">2) </w:t>
      </w:r>
      <w:r>
        <w:tab/>
        <w:t xml:space="preserve">w </w:t>
      </w:r>
      <w:r w:rsidRPr="0073204F">
        <w:t xml:space="preserve">art. 5a </w:t>
      </w:r>
      <w:r>
        <w:t xml:space="preserve">po ust. 1 </w:t>
      </w:r>
      <w:r w:rsidRPr="0073204F">
        <w:t xml:space="preserve">dodaje się ust. 1a w brzmieniu: </w:t>
      </w:r>
    </w:p>
    <w:p w14:paraId="341C2EF6" w14:textId="5A1E75AE" w:rsidR="002B3AB6" w:rsidRPr="0073204F" w:rsidRDefault="002B3AB6" w:rsidP="002B3AB6">
      <w:pPr>
        <w:pStyle w:val="USTustnpkodeksu"/>
      </w:pPr>
      <w:r w:rsidRPr="0073204F">
        <w:t>„1a</w:t>
      </w:r>
      <w:r>
        <w:t>.</w:t>
      </w:r>
      <w:r w:rsidRPr="0073204F">
        <w:t xml:space="preserve"> W przypadku budowy  obiektu liniowego, a także wykonywania innych robót budowlanych dotyczących obiektu liniowego, przepis art. 49 Kodeksu postępowania administracyjnego stosuje się także w przypadku, gdy nie jest uregulowany stan prawny nieruchomości, na której ma</w:t>
      </w:r>
      <w:r>
        <w:t>ją</w:t>
      </w:r>
      <w:r w:rsidRPr="0073204F">
        <w:t xml:space="preserve"> być realizowan</w:t>
      </w:r>
      <w:r>
        <w:t>e</w:t>
      </w:r>
      <w:r w:rsidRPr="0073204F">
        <w:t xml:space="preserve"> roboty budowlane.”</w:t>
      </w:r>
      <w:r w:rsidR="002275BE">
        <w:t>;</w:t>
      </w:r>
    </w:p>
    <w:p w14:paraId="38426EEE" w14:textId="13CB615D" w:rsidR="002B3AB6" w:rsidRPr="0073204F" w:rsidRDefault="002B3AB6" w:rsidP="002B3AB6">
      <w:pPr>
        <w:pStyle w:val="PKTpunkt"/>
      </w:pPr>
      <w:r>
        <w:t xml:space="preserve">3) </w:t>
      </w:r>
      <w:r>
        <w:tab/>
      </w:r>
      <w:r w:rsidRPr="0073204F">
        <w:t xml:space="preserve">w art. 20 </w:t>
      </w:r>
      <w:r>
        <w:t xml:space="preserve">w </w:t>
      </w:r>
      <w:r w:rsidRPr="0073204F">
        <w:t>ust. 1 po pkt</w:t>
      </w:r>
      <w:r w:rsidR="008027F8">
        <w:t xml:space="preserve"> </w:t>
      </w:r>
      <w:r w:rsidRPr="0073204F">
        <w:t>1b dodaje się pkt 1ba w brzmieniu:</w:t>
      </w:r>
    </w:p>
    <w:p w14:paraId="67A678F3" w14:textId="06D25CF8" w:rsidR="002B3AB6" w:rsidRDefault="002B3AB6" w:rsidP="002B3AB6">
      <w:pPr>
        <w:pStyle w:val="PKTpunkt"/>
      </w:pPr>
      <w:r w:rsidRPr="0073204F">
        <w:t xml:space="preserve">„1ba) uzgodnienie z właściwym operatorem </w:t>
      </w:r>
      <w:r>
        <w:t xml:space="preserve">systemu </w:t>
      </w:r>
      <w:r w:rsidRPr="0073204F">
        <w:t>elektroenergetyczne</w:t>
      </w:r>
      <w:r>
        <w:t>go</w:t>
      </w:r>
      <w:r w:rsidRPr="0073204F">
        <w:t xml:space="preserve"> czy projektowany budynek nie znajduje się </w:t>
      </w:r>
      <w:r>
        <w:t xml:space="preserve">w </w:t>
      </w:r>
      <w:r w:rsidRPr="0073204F">
        <w:t xml:space="preserve">obszarze </w:t>
      </w:r>
      <w:r>
        <w:t>niekorzystnego odziaływania pola elektromagnetycznego i hałasu</w:t>
      </w:r>
      <w:r w:rsidRPr="0073204F">
        <w:t xml:space="preserve">, których </w:t>
      </w:r>
      <w:r>
        <w:t xml:space="preserve">dopuszczalny poziom oddziaływania określono w przepisach </w:t>
      </w:r>
      <w:r w:rsidRPr="0073204F">
        <w:t>wydany</w:t>
      </w:r>
      <w:r>
        <w:t>ch</w:t>
      </w:r>
      <w:r w:rsidRPr="0073204F">
        <w:t xml:space="preserve"> na podstawie art. 1</w:t>
      </w:r>
      <w:r>
        <w:t>13</w:t>
      </w:r>
      <w:r w:rsidRPr="0073204F">
        <w:t xml:space="preserve"> ust. 1 </w:t>
      </w:r>
      <w:r>
        <w:t xml:space="preserve">oraz art. 122 ust. 1 </w:t>
      </w:r>
      <w:r w:rsidRPr="0073204F">
        <w:t>ustawy z dnia 27 kwietnia 2001 r. – Prawo ochrony środowiska (Dz. U. z 2021 r. poz. 1973, z późn. z</w:t>
      </w:r>
      <w:r w:rsidR="00E7490B">
        <w:t>m.</w:t>
      </w:r>
      <w:r w:rsidR="00E7490B">
        <w:rPr>
          <w:rStyle w:val="Odwoanieprzypisudolnego"/>
        </w:rPr>
        <w:footnoteReference w:id="3"/>
      </w:r>
      <w:r w:rsidR="008027F8" w:rsidRPr="006013D9">
        <w:rPr>
          <w:vertAlign w:val="superscript"/>
        </w:rPr>
        <w:t>)</w:t>
      </w:r>
      <w:r w:rsidRPr="0073204F">
        <w:t xml:space="preserve">), a w przypadku budynku mieszkalnego także, czy budynek taki nie znajduje się w odległości mniejszej </w:t>
      </w:r>
      <w:r>
        <w:t>niż:</w:t>
      </w:r>
    </w:p>
    <w:p w14:paraId="787AEFF8" w14:textId="77777777" w:rsidR="002B3AB6" w:rsidRDefault="002B3AB6" w:rsidP="002B3AB6">
      <w:pPr>
        <w:pStyle w:val="LITlitera"/>
      </w:pPr>
      <w:r>
        <w:t>a)</w:t>
      </w:r>
      <w:r>
        <w:tab/>
        <w:t>25 metrów od osi napowietrznej linii elektroenergetycznej najwyższych napięć, w przypadku gdy napięcie znamionowe tej linii elektroenergetycznej wynosi 220 kV,</w:t>
      </w:r>
    </w:p>
    <w:p w14:paraId="1F54FA4D" w14:textId="15B37D9B" w:rsidR="002B3AB6" w:rsidRDefault="002B3AB6" w:rsidP="002B3AB6">
      <w:pPr>
        <w:pStyle w:val="LITlitera"/>
      </w:pPr>
      <w:r>
        <w:lastRenderedPageBreak/>
        <w:t>b)</w:t>
      </w:r>
      <w:r>
        <w:tab/>
        <w:t>40 metrów od osi napowietrznej linii elektroenergetycznej najwyższych napięć, w przypadku gdy napięcie znamionowe tej linii elektroenergetycznej przekracza 220kV, lecz jest nie większe niż 400 kV,</w:t>
      </w:r>
    </w:p>
    <w:p w14:paraId="1A132388" w14:textId="30589FD3" w:rsidR="002B3AB6" w:rsidRPr="0073204F" w:rsidRDefault="002B3AB6" w:rsidP="002B3AB6">
      <w:pPr>
        <w:pStyle w:val="LITlitera"/>
      </w:pPr>
      <w:r>
        <w:t xml:space="preserve">c) </w:t>
      </w:r>
      <w:r>
        <w:tab/>
        <w:t>70 metrów od osi napowietrznej linii elektroenergetycznej najwyższych napięć, w przypadku gdy napięcie znamionowe tej linii elektroenergetycznej przekracza 400kV</w:t>
      </w:r>
      <w:r w:rsidRPr="0073204F">
        <w:t>;”</w:t>
      </w:r>
      <w:r>
        <w:t>;</w:t>
      </w:r>
    </w:p>
    <w:p w14:paraId="6B46DDCA" w14:textId="77777777" w:rsidR="002B3AB6" w:rsidRPr="0073204F" w:rsidRDefault="002B3AB6" w:rsidP="002B3AB6">
      <w:pPr>
        <w:pStyle w:val="PKTpunkt"/>
      </w:pPr>
      <w:r w:rsidRPr="0073204F">
        <w:t xml:space="preserve">4) </w:t>
      </w:r>
      <w:r>
        <w:tab/>
        <w:t xml:space="preserve">w </w:t>
      </w:r>
      <w:r w:rsidRPr="0073204F">
        <w:t xml:space="preserve">art. 28 </w:t>
      </w:r>
      <w:r>
        <w:t xml:space="preserve">po </w:t>
      </w:r>
      <w:r w:rsidRPr="0073204F">
        <w:t xml:space="preserve">ust. 2 </w:t>
      </w:r>
      <w:r>
        <w:t xml:space="preserve">dodaje się ust. 2a w </w:t>
      </w:r>
      <w:r w:rsidRPr="0073204F">
        <w:t>brzmieni</w:t>
      </w:r>
      <w:r>
        <w:t>u</w:t>
      </w:r>
      <w:r w:rsidRPr="0073204F">
        <w:t xml:space="preserve">: </w:t>
      </w:r>
    </w:p>
    <w:p w14:paraId="18B76FDE" w14:textId="0841557D" w:rsidR="002B3AB6" w:rsidRPr="0073204F" w:rsidRDefault="002B3AB6" w:rsidP="002B3AB6">
      <w:pPr>
        <w:pStyle w:val="USTustnpkodeksu"/>
      </w:pPr>
      <w:r w:rsidRPr="0073204F">
        <w:t>„2</w:t>
      </w:r>
      <w:r>
        <w:t>a</w:t>
      </w:r>
      <w:r w:rsidRPr="0073204F">
        <w:t xml:space="preserve">. Stronami w postępowaniu w sprawie pozwolenia na budowę </w:t>
      </w:r>
      <w:r>
        <w:t xml:space="preserve">nie </w:t>
      </w:r>
      <w:r w:rsidR="00C70375">
        <w:t xml:space="preserve">mogą być </w:t>
      </w:r>
      <w:r>
        <w:t>osoby</w:t>
      </w:r>
      <w:r w:rsidR="002C6B5F">
        <w:t>,</w:t>
      </w:r>
      <w:r>
        <w:t xml:space="preserve"> wobec których wydana została decyzja, o której mowa w art. 124 ustawy z dnia </w:t>
      </w:r>
      <w:r w:rsidRPr="0073204F">
        <w:t xml:space="preserve">21 sierpnia 1997 r. o gospodarce nieruchomościami (Dz.U. </w:t>
      </w:r>
      <w:r w:rsidR="002C6B5F" w:rsidRPr="002C6B5F">
        <w:t>z 2021 r. poz. 1899</w:t>
      </w:r>
      <w:r w:rsidR="002C6B5F" w:rsidRPr="002C6B5F" w:rsidDel="002C6B5F">
        <w:t xml:space="preserve"> </w:t>
      </w:r>
      <w:r w:rsidR="002C6B5F">
        <w:t xml:space="preserve">oraz </w:t>
      </w:r>
      <w:r w:rsidR="002C6B5F" w:rsidRPr="002C6B5F">
        <w:t>z 2022 r. poz. 1846</w:t>
      </w:r>
      <w:r w:rsidRPr="0073204F">
        <w:t>)</w:t>
      </w:r>
      <w:r w:rsidRPr="00687188">
        <w:t xml:space="preserve"> lub decyzja, o której mowa w art. 22 ust. 1 ustawy z dnia 24 lipca 2015 r. o przygotowaniu i realizacji strategicznych inwestycji w zakresie sieci przesyłowych (Dz. U. z 2022 r. poz. 273</w:t>
      </w:r>
      <w:r w:rsidR="00E7490B">
        <w:t xml:space="preserve">) </w:t>
      </w:r>
      <w:r w:rsidR="00C70375">
        <w:t xml:space="preserve">dotycząca </w:t>
      </w:r>
      <w:r w:rsidR="00C70375">
        <w:rPr>
          <w:sz w:val="23"/>
          <w:szCs w:val="23"/>
        </w:rPr>
        <w:t>ograniczenia korzystania</w:t>
      </w:r>
      <w:r w:rsidR="00BF19B9">
        <w:t xml:space="preserve"> </w:t>
      </w:r>
      <w:r w:rsidR="00C70375">
        <w:t xml:space="preserve">z </w:t>
      </w:r>
      <w:r w:rsidR="002C6B5F">
        <w:rPr>
          <w:sz w:val="23"/>
          <w:szCs w:val="23"/>
        </w:rPr>
        <w:t xml:space="preserve">nieruchomości </w:t>
      </w:r>
      <w:r w:rsidR="00BF19B9">
        <w:t>stanowiącej przedmiot tych decyzji</w:t>
      </w:r>
      <w:r w:rsidRPr="0073204F">
        <w:t>.”</w:t>
      </w:r>
      <w:r>
        <w:t>;</w:t>
      </w:r>
    </w:p>
    <w:p w14:paraId="504B5743" w14:textId="4D795521" w:rsidR="002B3AB6" w:rsidRPr="0073204F" w:rsidRDefault="002B3AB6" w:rsidP="002B3AB6">
      <w:pPr>
        <w:pStyle w:val="PKTpunkt"/>
      </w:pPr>
      <w:r w:rsidRPr="0073204F">
        <w:t xml:space="preserve">5) </w:t>
      </w:r>
      <w:r>
        <w:tab/>
      </w:r>
      <w:r w:rsidRPr="0073204F">
        <w:t xml:space="preserve">w art. 29 </w:t>
      </w:r>
      <w:r>
        <w:t xml:space="preserve">w </w:t>
      </w:r>
      <w:r w:rsidRPr="0073204F">
        <w:t>ust. 1 po pkt 19 dodaje si</w:t>
      </w:r>
      <w:r>
        <w:t xml:space="preserve">ę </w:t>
      </w:r>
      <w:r w:rsidRPr="0073204F">
        <w:t>pkt 19a w brzmieniu:</w:t>
      </w:r>
    </w:p>
    <w:p w14:paraId="755F8758" w14:textId="32417FDD" w:rsidR="002B3AB6" w:rsidRPr="0073204F" w:rsidRDefault="002B3AB6" w:rsidP="002B3AB6">
      <w:pPr>
        <w:pStyle w:val="PKTpunkt"/>
      </w:pPr>
      <w:r w:rsidRPr="0073204F">
        <w:t>„19a) sieci elektroenergetycznych obejmujących napięcie znamionowe niższe niż 110 kV wskazane w planach rozwoju w zakresie zaspokojenia obecnego i przyszłego zapotrzebowania na paliwa gazowe lub energię</w:t>
      </w:r>
      <w:r>
        <w:t>,</w:t>
      </w:r>
      <w:r w:rsidRPr="0073204F">
        <w:t xml:space="preserve"> o których mowa w art. 16 ust. 1 ustawy z dnia 10 kwietnia 1997 r. – Prawo energetyczne (Dz.U. z 2022 r., poz. 1385</w:t>
      </w:r>
      <w:r w:rsidR="002275BE">
        <w:t xml:space="preserve"> i 1723</w:t>
      </w:r>
      <w:r w:rsidRPr="0073204F">
        <w:t>)</w:t>
      </w:r>
      <w:r>
        <w:t>;</w:t>
      </w:r>
      <w:r w:rsidRPr="0073204F">
        <w:t>”</w:t>
      </w:r>
      <w:r>
        <w:t>;</w:t>
      </w:r>
    </w:p>
    <w:p w14:paraId="6CD82B49" w14:textId="77777777" w:rsidR="002B3AB6" w:rsidRPr="0073204F" w:rsidRDefault="002B3AB6" w:rsidP="002B3AB6">
      <w:pPr>
        <w:pStyle w:val="PKTpunkt"/>
      </w:pPr>
      <w:r w:rsidRPr="0073204F">
        <w:t xml:space="preserve">6) </w:t>
      </w:r>
      <w:r>
        <w:tab/>
      </w:r>
      <w:r w:rsidRPr="0073204F">
        <w:t>art. 29a ust. 1 otrzymuje brzmienie:</w:t>
      </w:r>
    </w:p>
    <w:p w14:paraId="3C017426" w14:textId="15D31AFA" w:rsidR="002B3AB6" w:rsidRPr="0073204F" w:rsidRDefault="002B3AB6" w:rsidP="002B3AB6">
      <w:pPr>
        <w:pStyle w:val="USTustnpkodeksu"/>
      </w:pPr>
      <w:r w:rsidRPr="0073204F">
        <w:t>„1. Budowa sieci elektroenergetycznych obejmujących napięcie znamionowe niższe niż 110 kV, o których mowa w art. 29 ust. 1 pkt 19a, przyłączy, o których mowa w art. 29 ust. 1 pkt 20, oraz stacji ładowania, w rozumieniu art. 2 pkt 27 ustawy z dnia 11 stycznia 2018 r. o elektromobilności i paliwach alternatywnych, wymaga sporządzenia planu sytuacyjnego na kopii aktualnej mapy zasadniczej lub mapy jednostkowej przyjętej do państwowego zasobu geodezyjnego i kartograficznego.”</w:t>
      </w:r>
      <w:r>
        <w:t>;</w:t>
      </w:r>
    </w:p>
    <w:p w14:paraId="1ED1AD8C" w14:textId="6AACD173" w:rsidR="002B3AB6" w:rsidRPr="0073204F" w:rsidRDefault="003A0BF9" w:rsidP="002B3AB6">
      <w:pPr>
        <w:pStyle w:val="PKTpunkt"/>
      </w:pPr>
      <w:r>
        <w:t>7</w:t>
      </w:r>
      <w:r w:rsidR="002B3AB6" w:rsidRPr="0073204F">
        <w:t xml:space="preserve">) </w:t>
      </w:r>
      <w:r w:rsidR="002B3AB6">
        <w:tab/>
      </w:r>
      <w:r w:rsidR="002B3AB6" w:rsidRPr="0073204F">
        <w:t xml:space="preserve">w art. 34 w ust. 3d </w:t>
      </w:r>
      <w:r w:rsidR="002B3AB6">
        <w:t xml:space="preserve">w </w:t>
      </w:r>
      <w:r w:rsidR="002B3AB6" w:rsidRPr="0073204F">
        <w:t>pkt 3 kropkę zastępuje się średnikiem i dodaje się pkt 4 w brzmieniu:</w:t>
      </w:r>
    </w:p>
    <w:p w14:paraId="6CFBA23B" w14:textId="77777777" w:rsidR="002B3AB6" w:rsidRDefault="002B3AB6" w:rsidP="002B3AB6">
      <w:pPr>
        <w:pStyle w:val="PKTpunkt"/>
      </w:pPr>
      <w:r w:rsidRPr="0073204F">
        <w:t xml:space="preserve">„4) </w:t>
      </w:r>
      <w:r>
        <w:tab/>
      </w:r>
      <w:r w:rsidRPr="0073204F">
        <w:t xml:space="preserve">oświadczenie projektanta że projektowany budynek nie znajduje się </w:t>
      </w:r>
      <w:r>
        <w:t xml:space="preserve">w </w:t>
      </w:r>
      <w:r w:rsidRPr="0073204F">
        <w:t>obszarze</w:t>
      </w:r>
      <w:r w:rsidRPr="00EB4686">
        <w:t xml:space="preserve"> niekorzystnego oddziaływania pola elektromagnetycznego i</w:t>
      </w:r>
      <w:r>
        <w:t xml:space="preserve"> hałasu,</w:t>
      </w:r>
      <w:r w:rsidRPr="0073204F">
        <w:t xml:space="preserve"> których </w:t>
      </w:r>
      <w:r w:rsidRPr="00EB4686">
        <w:t>dopuszczalny poziom oddziaływania określono zgodnie z przepisami wydanymi na podstawie art. 113 ust. 1 oraz art. 122 ust. 1 ustawy z dnia 27 kwietnia 2001 r. – Prawo ochrony środowiska</w:t>
      </w:r>
      <w:r w:rsidRPr="0073204F">
        <w:t xml:space="preserve">, a w przypadku budynku mieszkalnego dodatkowe oświadczenie projektanta, że budynek taki nie znajduje się w odległości </w:t>
      </w:r>
      <w:r>
        <w:t>mniejszej niż:</w:t>
      </w:r>
    </w:p>
    <w:p w14:paraId="0C8BB17D" w14:textId="77777777" w:rsidR="002B3AB6" w:rsidRDefault="002B3AB6" w:rsidP="002B3AB6">
      <w:pPr>
        <w:pStyle w:val="ZLITzmlitartykuempunktem"/>
      </w:pPr>
      <w:r>
        <w:lastRenderedPageBreak/>
        <w:t>a)</w:t>
      </w:r>
      <w:r>
        <w:tab/>
        <w:t>25 metrów od osi napowietrznej linii elektroenergetycznej najwyższych napięć, w przypadku gdy napięcie znamionowe tej linii elektroenergetycznej wynosi 220 kV,</w:t>
      </w:r>
    </w:p>
    <w:p w14:paraId="6624CC38" w14:textId="4BBBE713" w:rsidR="002B3AB6" w:rsidRDefault="002B3AB6" w:rsidP="002B3AB6">
      <w:pPr>
        <w:pStyle w:val="ZLITzmlitartykuempunktem"/>
      </w:pPr>
      <w:r>
        <w:t>b)</w:t>
      </w:r>
      <w:r>
        <w:tab/>
        <w:t>40 metrów od osi napowietrznej linii elektroenergetycznej najwyższych napięć, w przypadku gdy napięcie znamionowe tej linii elektroenergetycznej przekracza 220kV, lecz jest nie większe niż 400 kV,</w:t>
      </w:r>
    </w:p>
    <w:p w14:paraId="2CBB68F2" w14:textId="53EEA537" w:rsidR="002B3AB6" w:rsidRPr="0073204F" w:rsidRDefault="002B3AB6" w:rsidP="002B3AB6">
      <w:pPr>
        <w:pStyle w:val="ZLITzmlitartykuempunktem"/>
      </w:pPr>
      <w:r>
        <w:t>c)</w:t>
      </w:r>
      <w:r>
        <w:tab/>
        <w:t>70 metrów od osi napowietrznej linii elektroenergetycznej najwyższych napięć, w przypadku gdy napięcie znamionowe tej linii elektroenergetycznej przekracza 400kV.”</w:t>
      </w:r>
      <w:r w:rsidRPr="0073204F">
        <w:t>.</w:t>
      </w:r>
    </w:p>
    <w:p w14:paraId="507A5E42" w14:textId="7F3BE104" w:rsidR="002B3AB6" w:rsidRPr="0073204F" w:rsidRDefault="0073204F" w:rsidP="002B3AB6">
      <w:pPr>
        <w:pStyle w:val="ARTartustawynprozporzdzenia"/>
      </w:pPr>
      <w:r w:rsidRPr="004C4009">
        <w:rPr>
          <w:rStyle w:val="Ppogrubienie"/>
        </w:rPr>
        <w:t>Art. 5.</w:t>
      </w:r>
      <w:r w:rsidRPr="0073204F">
        <w:t xml:space="preserve"> </w:t>
      </w:r>
      <w:r w:rsidR="002B3AB6" w:rsidRPr="0073204F">
        <w:t>W ustawie z dnia 27 kwietnia 2001 r. Prawo ochrony środowiska (Dz.U. z 2021 r. poz. 1973</w:t>
      </w:r>
      <w:r w:rsidR="00C7789C">
        <w:t xml:space="preserve">, z </w:t>
      </w:r>
      <w:proofErr w:type="spellStart"/>
      <w:r w:rsidR="00C7789C">
        <w:t>późn</w:t>
      </w:r>
      <w:proofErr w:type="spellEnd"/>
      <w:r w:rsidR="00C7789C">
        <w:t>. zm.</w:t>
      </w:r>
      <w:r w:rsidR="00C7789C">
        <w:rPr>
          <w:vertAlign w:val="superscript"/>
        </w:rPr>
        <w:t>3)</w:t>
      </w:r>
      <w:r w:rsidR="002B3AB6" w:rsidRPr="0073204F">
        <w:t>) wprowadza się następujące zmiany:</w:t>
      </w:r>
    </w:p>
    <w:p w14:paraId="017EE8B1" w14:textId="77777777" w:rsidR="002B3AB6" w:rsidRPr="0073204F" w:rsidRDefault="002B3AB6" w:rsidP="002B3AB6">
      <w:pPr>
        <w:pStyle w:val="PKTpunkt"/>
      </w:pPr>
      <w:r>
        <w:t xml:space="preserve">1) </w:t>
      </w:r>
      <w:r>
        <w:tab/>
        <w:t xml:space="preserve">w </w:t>
      </w:r>
      <w:r w:rsidRPr="0073204F">
        <w:t>art. 3 pkt 41 otrzymuje brzmienie:</w:t>
      </w:r>
    </w:p>
    <w:p w14:paraId="7CB17230" w14:textId="02EC113B" w:rsidR="002B3AB6" w:rsidRPr="0073204F" w:rsidRDefault="002B3AB6" w:rsidP="002B3AB6">
      <w:pPr>
        <w:pStyle w:val="PKTpunkt"/>
      </w:pPr>
      <w:r w:rsidRPr="0073204F">
        <w:t>„41) tytule prawnym – rozumie się przez to prawo własności, użytkowanie wieczyste, trwały zarząd, ograniczone prawo rzeczowe, stosunek zobowiązaniowy, decyzję</w:t>
      </w:r>
      <w:r>
        <w:t>, o której mowa w art. 124</w:t>
      </w:r>
      <w:r w:rsidRPr="00445A77">
        <w:t xml:space="preserve"> </w:t>
      </w:r>
      <w:r>
        <w:t xml:space="preserve">ustawy z dnia </w:t>
      </w:r>
      <w:r w:rsidRPr="0073204F">
        <w:t xml:space="preserve">21 sierpnia 1997 r. o gospodarce nieruchomościami (Dz.U. </w:t>
      </w:r>
      <w:r>
        <w:t xml:space="preserve">z </w:t>
      </w:r>
      <w:r w:rsidRPr="0073204F">
        <w:t>2020</w:t>
      </w:r>
      <w:r>
        <w:t xml:space="preserve"> r.</w:t>
      </w:r>
      <w:r w:rsidRPr="0073204F">
        <w:t xml:space="preserve"> poz. 65)</w:t>
      </w:r>
      <w:r w:rsidRPr="00687188">
        <w:t xml:space="preserve"> </w:t>
      </w:r>
      <w:r>
        <w:t xml:space="preserve">oraz </w:t>
      </w:r>
      <w:r w:rsidRPr="0073204F">
        <w:t>decyzję o ustaleniu lokalizacji strategicznej inwestycji</w:t>
      </w:r>
      <w:r>
        <w:t xml:space="preserve"> w zakresie sieci przesyłowych lub inwestycji towarzysząc</w:t>
      </w:r>
      <w:r w:rsidR="00C55B0C">
        <w:t>ej</w:t>
      </w:r>
      <w:r w:rsidRPr="0073204F">
        <w:t>;”</w:t>
      </w:r>
      <w:r w:rsidR="00432049">
        <w:t>;</w:t>
      </w:r>
    </w:p>
    <w:p w14:paraId="3E769BDE" w14:textId="77777777" w:rsidR="002B3AB6" w:rsidRPr="0073204F" w:rsidRDefault="002B3AB6" w:rsidP="002B3AB6">
      <w:pPr>
        <w:pStyle w:val="PKTpunkt"/>
      </w:pPr>
      <w:r>
        <w:t xml:space="preserve">2) </w:t>
      </w:r>
      <w:r>
        <w:tab/>
      </w:r>
      <w:r w:rsidRPr="0073204F">
        <w:t>w art. 124 po ust. 2 dodaje się ust. 3 i 4 w brzmieniu:</w:t>
      </w:r>
    </w:p>
    <w:p w14:paraId="67465F66" w14:textId="355DBFDA" w:rsidR="002B3AB6" w:rsidRPr="0073204F" w:rsidRDefault="002B3AB6" w:rsidP="002B3AB6">
      <w:pPr>
        <w:pStyle w:val="USTustnpkodeksu"/>
      </w:pPr>
      <w:r w:rsidRPr="0073204F">
        <w:t>„3. Przez tereny przeznaczone pod zabudowę mieszkaniową rozumie się tereny</w:t>
      </w:r>
      <w:r w:rsidR="000A332D">
        <w:t xml:space="preserve"> mieszkaniowe, w rozumieniu rozporządzenia wydanego na podstawie art. 26 ust. 2 ustawy </w:t>
      </w:r>
      <w:r w:rsidR="00075031">
        <w:t>z dnia 17 maja 1989 r. – Prawo geodezyjne i kartograficzne (Dz.U. z 2021 r. poz. 1990</w:t>
      </w:r>
      <w:r w:rsidR="000D02FD">
        <w:t xml:space="preserve"> oraz </w:t>
      </w:r>
      <w:r w:rsidR="000D02FD" w:rsidRPr="000D02FD">
        <w:t>z 2022 r. poz. 1846</w:t>
      </w:r>
      <w:r w:rsidR="00075031">
        <w:t>)</w:t>
      </w:r>
      <w:r w:rsidRPr="0073204F">
        <w:t>.</w:t>
      </w:r>
    </w:p>
    <w:p w14:paraId="11C6BE66" w14:textId="03F63314" w:rsidR="002B3AB6" w:rsidRPr="0073204F" w:rsidRDefault="002B3AB6" w:rsidP="002B3AB6">
      <w:pPr>
        <w:pStyle w:val="USTustnpkodeksu"/>
      </w:pPr>
      <w:r w:rsidRPr="0073204F">
        <w:t>4. Pomiarów przekroczeń, o których mowa w ust. 1</w:t>
      </w:r>
      <w:r w:rsidR="00432049">
        <w:t>,</w:t>
      </w:r>
      <w:r w:rsidRPr="0073204F">
        <w:t xml:space="preserve"> dokonuje się zgodnie z rozporządzeniem wydanym na podstawie art. 122 ust. 2.”</w:t>
      </w:r>
      <w:r w:rsidR="002A1A5F">
        <w:t>.</w:t>
      </w:r>
    </w:p>
    <w:p w14:paraId="710C9495" w14:textId="31BE2FD0" w:rsidR="002B3AB6" w:rsidRPr="0073204F" w:rsidRDefault="0073204F" w:rsidP="002B3AB6">
      <w:pPr>
        <w:pStyle w:val="ARTartustawynprozporzdzenia"/>
      </w:pPr>
      <w:r w:rsidRPr="004C4009">
        <w:rPr>
          <w:rStyle w:val="Ppogrubienie"/>
        </w:rPr>
        <w:t>Art. 6.</w:t>
      </w:r>
      <w:r w:rsidRPr="0073204F">
        <w:t xml:space="preserve"> </w:t>
      </w:r>
      <w:r w:rsidR="002B3AB6" w:rsidRPr="0073204F">
        <w:t>W ustawie z dnia 27 marca 2003 r. o planowaniu i zagospodarowaniu przestrzennym (Dz.U. z 2022 r. poz. 503</w:t>
      </w:r>
      <w:r w:rsidR="003A0BF9">
        <w:t xml:space="preserve"> i 1846</w:t>
      </w:r>
      <w:r w:rsidR="002B3AB6" w:rsidRPr="0073204F">
        <w:t>) wprowadza się następujące zmiany:</w:t>
      </w:r>
    </w:p>
    <w:p w14:paraId="0AAD066D" w14:textId="77777777" w:rsidR="002B3AB6" w:rsidRPr="0073204F" w:rsidRDefault="002B3AB6" w:rsidP="002B3AB6">
      <w:pPr>
        <w:pStyle w:val="PKTpunkt"/>
      </w:pPr>
      <w:r>
        <w:t xml:space="preserve">1) </w:t>
      </w:r>
      <w:r>
        <w:tab/>
        <w:t xml:space="preserve">w </w:t>
      </w:r>
      <w:r w:rsidRPr="0073204F">
        <w:t xml:space="preserve">art. 11 pkt 5 lit. n otrzymuje brzmienie: </w:t>
      </w:r>
    </w:p>
    <w:p w14:paraId="2ADC4576" w14:textId="02F41421" w:rsidR="002B3AB6" w:rsidRPr="0073204F" w:rsidRDefault="002B3AB6" w:rsidP="002B3AB6">
      <w:pPr>
        <w:pStyle w:val="LITlitera"/>
      </w:pPr>
      <w:r w:rsidRPr="0073204F">
        <w:t>„</w:t>
      </w:r>
      <w:r>
        <w:t>n</w:t>
      </w:r>
      <w:r w:rsidR="007F09C2">
        <w:t>)</w:t>
      </w:r>
      <w:r>
        <w:t xml:space="preserve"> </w:t>
      </w:r>
      <w:r w:rsidRPr="0073204F">
        <w:t>operatora systemu przesyłowego elektroenergetycznego w zakresie sposobu zagospodarowania gruntów leżących w odległości nie większej niż:</w:t>
      </w:r>
    </w:p>
    <w:p w14:paraId="5F618CBE" w14:textId="77777777" w:rsidR="002B3AB6" w:rsidRPr="0049151C" w:rsidRDefault="002B3AB6" w:rsidP="00821BD7">
      <w:pPr>
        <w:pStyle w:val="TIRtiret"/>
      </w:pPr>
      <w:r w:rsidRPr="0049151C">
        <w:t xml:space="preserve">- </w:t>
      </w:r>
      <w:r w:rsidRPr="0049151C">
        <w:tab/>
        <w:t>25 metrów od osi napowietrznej linii elektroenergetycznej najwyższych napięć, w przypadku gdy napięcie znamionowe tej linii elektroenergetycznej wynosi 220 kV,</w:t>
      </w:r>
    </w:p>
    <w:p w14:paraId="3C613CCD" w14:textId="77777777" w:rsidR="002B3AB6" w:rsidRPr="0049151C" w:rsidRDefault="002B3AB6" w:rsidP="00821BD7">
      <w:pPr>
        <w:pStyle w:val="TIRtiret"/>
      </w:pPr>
      <w:r w:rsidRPr="0049151C">
        <w:lastRenderedPageBreak/>
        <w:t xml:space="preserve">- </w:t>
      </w:r>
      <w:r w:rsidRPr="0049151C">
        <w:tab/>
        <w:t>40 metrów od osi napowietrznej linii elektroenergetycznej najwyższych napięć, w przypadku gdy napięcie znamionowe tej linii elektroenergetycznej przekracza 220kV, lecz jest nie większe niż 400 kV,</w:t>
      </w:r>
    </w:p>
    <w:p w14:paraId="79664DE6" w14:textId="6895E99C" w:rsidR="002B3AB6" w:rsidRPr="0049151C" w:rsidRDefault="002B3AB6" w:rsidP="00821BD7">
      <w:pPr>
        <w:pStyle w:val="TIRtiret"/>
      </w:pPr>
      <w:r w:rsidRPr="0049151C">
        <w:t xml:space="preserve">- </w:t>
      </w:r>
      <w:r w:rsidRPr="0049151C">
        <w:tab/>
        <w:t>70 metrów od osi napowietrznej linii elektroenergetycznej najwyższych napięć, w przypadku gdy napięcie znamionowe tej linii elektroenergetycznej przekracza 400kV</w:t>
      </w:r>
      <w:r w:rsidR="003A0BF9">
        <w:t>,</w:t>
      </w:r>
      <w:r w:rsidRPr="0049151C">
        <w:t>”;</w:t>
      </w:r>
    </w:p>
    <w:p w14:paraId="64C7710E" w14:textId="77777777" w:rsidR="002B3AB6" w:rsidRPr="0073204F" w:rsidRDefault="002B3AB6" w:rsidP="002B3AB6">
      <w:pPr>
        <w:pStyle w:val="PKTpunkt"/>
      </w:pPr>
      <w:r>
        <w:t xml:space="preserve">2) </w:t>
      </w:r>
      <w:r>
        <w:tab/>
        <w:t xml:space="preserve">w </w:t>
      </w:r>
      <w:r w:rsidRPr="0073204F">
        <w:t xml:space="preserve">art. 17 pkt 6 lit. a </w:t>
      </w:r>
      <w:proofErr w:type="spellStart"/>
      <w:r w:rsidRPr="0073204F">
        <w:t>tiret</w:t>
      </w:r>
      <w:proofErr w:type="spellEnd"/>
      <w:r w:rsidRPr="0073204F">
        <w:t xml:space="preserve"> dziewiąt</w:t>
      </w:r>
      <w:r>
        <w:t>e</w:t>
      </w:r>
      <w:r w:rsidRPr="0073204F">
        <w:t xml:space="preserve"> otrzymuje brzmienie:</w:t>
      </w:r>
    </w:p>
    <w:p w14:paraId="524913B5" w14:textId="5A2FE73A" w:rsidR="002B3AB6" w:rsidRPr="0073204F" w:rsidRDefault="002B3AB6" w:rsidP="002B3AB6">
      <w:pPr>
        <w:pStyle w:val="ZTIRTIRzmtirtiret"/>
      </w:pPr>
      <w:r w:rsidRPr="0073204F">
        <w:t>„</w:t>
      </w:r>
      <w:r w:rsidR="00933477">
        <w:rPr>
          <w:sz w:val="23"/>
          <w:szCs w:val="23"/>
        </w:rPr>
        <w:t>–</w:t>
      </w:r>
      <w:r w:rsidRPr="0073204F">
        <w:t xml:space="preserve"> </w:t>
      </w:r>
      <w:r>
        <w:tab/>
      </w:r>
      <w:r w:rsidRPr="0073204F">
        <w:t>operatora systemu przesyłowego elektroenergetycznego w zakresie sposobu zagospodarowania gruntów leżących w odległości nie większej niż:</w:t>
      </w:r>
    </w:p>
    <w:p w14:paraId="5885D6A0" w14:textId="7AC688F0" w:rsidR="002B3AB6" w:rsidRPr="00933477" w:rsidRDefault="00933477" w:rsidP="00AE554D">
      <w:pPr>
        <w:pStyle w:val="ZTIRTIRwLITzmtirwlittiret"/>
      </w:pPr>
      <w:r>
        <w:rPr>
          <w:sz w:val="23"/>
          <w:szCs w:val="23"/>
        </w:rPr>
        <w:t xml:space="preserve">– – </w:t>
      </w:r>
      <w:r w:rsidR="002B3AB6" w:rsidRPr="00933477">
        <w:t xml:space="preserve"> </w:t>
      </w:r>
      <w:r w:rsidR="002B3AB6" w:rsidRPr="00933477">
        <w:tab/>
        <w:t>25 metrów od osi napowietrznej linii elektroenergetycznej najwyższych napięć, w przypadku gdy napięcie znamionowe tej linii elektroenergetycznej wynosi 220 kV,</w:t>
      </w:r>
    </w:p>
    <w:p w14:paraId="2187AA18" w14:textId="2D805C78" w:rsidR="002B3AB6" w:rsidRPr="00933477" w:rsidRDefault="00933477" w:rsidP="00AE554D">
      <w:pPr>
        <w:pStyle w:val="ZTIRTIRwLITzmtirwlittiret"/>
      </w:pPr>
      <w:r>
        <w:rPr>
          <w:sz w:val="23"/>
          <w:szCs w:val="23"/>
        </w:rPr>
        <w:t xml:space="preserve">– – </w:t>
      </w:r>
      <w:r w:rsidR="002B3AB6" w:rsidRPr="00933477">
        <w:t xml:space="preserve"> </w:t>
      </w:r>
      <w:r w:rsidR="002B3AB6" w:rsidRPr="00933477">
        <w:tab/>
        <w:t>40 metrów od osi napowietrznej linii elektroenergetycznej najwyższych napięć, w przypadku gdy napięcie znamionowe tej linii elektroenergetycznej przekracza 220kV, lecz jest nie większe niż 400 kV,</w:t>
      </w:r>
    </w:p>
    <w:p w14:paraId="6C9518C2" w14:textId="28EE24A8" w:rsidR="002B3AB6" w:rsidRPr="00933477" w:rsidRDefault="00933477" w:rsidP="00AE554D">
      <w:pPr>
        <w:pStyle w:val="ZTIRTIRwLITzmtirwlittiret"/>
      </w:pPr>
      <w:r w:rsidRPr="00933477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Pr="00933477">
        <w:rPr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 w:rsidR="002B3AB6" w:rsidRPr="00933477">
        <w:t xml:space="preserve"> </w:t>
      </w:r>
      <w:r w:rsidR="002B3AB6" w:rsidRPr="00933477">
        <w:tab/>
        <w:t>70 metrów od osi napowietrznej linii elektroenergetycznej najwyższych napięć, w przypadku gdy napięcie znamionowe tej linii elektroenergetycznej przekracza 400kV</w:t>
      </w:r>
      <w:r>
        <w:t>,</w:t>
      </w:r>
      <w:r w:rsidR="002B3AB6" w:rsidRPr="00933477">
        <w:t>”;</w:t>
      </w:r>
    </w:p>
    <w:p w14:paraId="2EE3B39A" w14:textId="77777777" w:rsidR="002B3AB6" w:rsidRPr="0073204F" w:rsidRDefault="002B3AB6" w:rsidP="002B3AB6">
      <w:pPr>
        <w:pStyle w:val="PKTpunkt"/>
      </w:pPr>
      <w:r>
        <w:t xml:space="preserve">3) </w:t>
      </w:r>
      <w:r>
        <w:tab/>
        <w:t xml:space="preserve">w </w:t>
      </w:r>
      <w:r w:rsidRPr="0073204F">
        <w:t xml:space="preserve">art. 53 ust. 5e pkt 1 otrzymuje brzmienie: </w:t>
      </w:r>
    </w:p>
    <w:p w14:paraId="706DEECA" w14:textId="77777777" w:rsidR="002B3AB6" w:rsidRPr="0073204F" w:rsidRDefault="002B3AB6" w:rsidP="002B3AB6">
      <w:pPr>
        <w:pStyle w:val="PKTpunkt"/>
      </w:pPr>
      <w:r w:rsidRPr="0073204F">
        <w:t>„1) operatora systemu przesyłowego elektroenergetycznego w zakresie sposobu zagospodarowania gruntów leżących w odległości nie większej niż:</w:t>
      </w:r>
    </w:p>
    <w:p w14:paraId="446E9F0A" w14:textId="530100A5" w:rsidR="002B3AB6" w:rsidRPr="0073204F" w:rsidRDefault="0049151C" w:rsidP="00821BD7">
      <w:pPr>
        <w:pStyle w:val="LITlitera"/>
      </w:pPr>
      <w:r>
        <w:t>a)</w:t>
      </w:r>
      <w:r w:rsidRPr="0073204F">
        <w:t xml:space="preserve"> </w:t>
      </w:r>
      <w:r w:rsidR="002B3AB6">
        <w:tab/>
        <w:t>25</w:t>
      </w:r>
      <w:r w:rsidR="002B3AB6" w:rsidRPr="0073204F">
        <w:t xml:space="preserve"> metrów od osi istniejącej jednotorowej i dwutorowej napowietrznej linii elektroenergetycznej najwyższych napięć, w przypadku gdy znamionowe napięcie tej linii elektroenergetycznej wynosi 220 </w:t>
      </w:r>
      <w:proofErr w:type="spellStart"/>
      <w:r w:rsidR="002B3AB6" w:rsidRPr="0073204F">
        <w:t>kV</w:t>
      </w:r>
      <w:proofErr w:type="spellEnd"/>
      <w:r w:rsidR="00933477">
        <w:t>,</w:t>
      </w:r>
    </w:p>
    <w:p w14:paraId="62D80C96" w14:textId="68829BF2" w:rsidR="002B3AB6" w:rsidRPr="0073204F" w:rsidRDefault="0049151C" w:rsidP="00821BD7">
      <w:pPr>
        <w:pStyle w:val="LITlitera"/>
      </w:pPr>
      <w:r>
        <w:t>b)</w:t>
      </w:r>
      <w:r w:rsidRPr="0073204F">
        <w:t xml:space="preserve"> </w:t>
      </w:r>
      <w:r w:rsidR="002B3AB6">
        <w:tab/>
        <w:t>40</w:t>
      </w:r>
      <w:r w:rsidR="002B3AB6" w:rsidRPr="0073204F">
        <w:t xml:space="preserve"> metrów od osi istniejącej jednotorowej i dwutorowej napowietrznej linii elektroenergetycznej najwyższych napięć, w przypadku gdy znamionowe napięcie tej linii elektroenergetycznej przekracza 220kV, lecz jest nie większe niż 400 </w:t>
      </w:r>
      <w:proofErr w:type="spellStart"/>
      <w:r w:rsidR="002B3AB6" w:rsidRPr="0073204F">
        <w:t>kV</w:t>
      </w:r>
      <w:proofErr w:type="spellEnd"/>
      <w:r w:rsidR="00933477">
        <w:t>,</w:t>
      </w:r>
    </w:p>
    <w:p w14:paraId="1567BB0D" w14:textId="75A5833B" w:rsidR="002B3AB6" w:rsidRPr="0073204F" w:rsidRDefault="0049151C" w:rsidP="00821BD7">
      <w:pPr>
        <w:pStyle w:val="LITlitera"/>
      </w:pPr>
      <w:r>
        <w:t>c)</w:t>
      </w:r>
      <w:r w:rsidR="002B3AB6">
        <w:tab/>
        <w:t>70</w:t>
      </w:r>
      <w:r w:rsidR="002B3AB6" w:rsidRPr="0073204F">
        <w:t xml:space="preserve"> metrów od osi jednotorowej napowietrznej linii elektroenergetycznej najwyższych napięć, w przypadku gdy znamionowe napięcie tej linii elektroenergetycznej przekracza 400kV</w:t>
      </w:r>
      <w:r w:rsidR="00933477">
        <w:t>,</w:t>
      </w:r>
      <w:r w:rsidR="002B3AB6" w:rsidRPr="0073204F">
        <w:t>”</w:t>
      </w:r>
      <w:r w:rsidR="00432049">
        <w:t>;</w:t>
      </w:r>
    </w:p>
    <w:p w14:paraId="477F8C0F" w14:textId="77777777" w:rsidR="002B3AB6" w:rsidRDefault="002B3AB6" w:rsidP="002B3AB6">
      <w:pPr>
        <w:pStyle w:val="PKTpunkt"/>
      </w:pPr>
      <w:r>
        <w:t xml:space="preserve">4) </w:t>
      </w:r>
      <w:r>
        <w:tab/>
      </w:r>
      <w:r w:rsidRPr="0073204F">
        <w:t>w art. 61</w:t>
      </w:r>
      <w:r>
        <w:t xml:space="preserve">: </w:t>
      </w:r>
    </w:p>
    <w:p w14:paraId="032CE6FB" w14:textId="6418081A" w:rsidR="002B3AB6" w:rsidRPr="0073204F" w:rsidRDefault="002B3AB6" w:rsidP="002B3AB6">
      <w:pPr>
        <w:pStyle w:val="LITlitera"/>
      </w:pPr>
      <w:r>
        <w:t xml:space="preserve">a) </w:t>
      </w:r>
      <w:r w:rsidR="0049151C">
        <w:tab/>
      </w:r>
      <w:r>
        <w:t>w</w:t>
      </w:r>
      <w:r w:rsidRPr="0073204F">
        <w:t xml:space="preserve"> ust. 1</w:t>
      </w:r>
      <w:r>
        <w:t xml:space="preserve"> w</w:t>
      </w:r>
      <w:r w:rsidRPr="0073204F">
        <w:t xml:space="preserve"> pkt 6 </w:t>
      </w:r>
      <w:r w:rsidR="00432049">
        <w:t xml:space="preserve">po </w:t>
      </w:r>
      <w:r w:rsidRPr="0073204F">
        <w:t>lit</w:t>
      </w:r>
      <w:r w:rsidR="007F09C2">
        <w:t>.</w:t>
      </w:r>
      <w:r w:rsidRPr="0073204F">
        <w:t xml:space="preserve"> c  dodaje się lit. d w brzmieniu:</w:t>
      </w:r>
    </w:p>
    <w:p w14:paraId="6CA5E241" w14:textId="77777777" w:rsidR="002B3AB6" w:rsidRDefault="002B3AB6" w:rsidP="002B3AB6">
      <w:pPr>
        <w:pStyle w:val="ZLITzmlitartykuempunktem"/>
      </w:pPr>
      <w:r w:rsidRPr="0073204F">
        <w:lastRenderedPageBreak/>
        <w:t xml:space="preserve">„d) </w:t>
      </w:r>
      <w:r>
        <w:tab/>
      </w:r>
      <w:r w:rsidRPr="0073204F">
        <w:t xml:space="preserve">sąsiadującym z linią elektroenergetyczną najwyższych napięć, wyznaczonym po obu stronach osi linii, </w:t>
      </w:r>
      <w:r>
        <w:t>o którym mowa w art. 53 ust. 5e pkt 1</w:t>
      </w:r>
      <w:r w:rsidRPr="0073204F">
        <w:t>.”</w:t>
      </w:r>
      <w:r>
        <w:t>,</w:t>
      </w:r>
    </w:p>
    <w:p w14:paraId="32E5C4DD" w14:textId="5A33B62C" w:rsidR="002B3AB6" w:rsidRDefault="002B3AB6" w:rsidP="002B3AB6">
      <w:pPr>
        <w:pStyle w:val="LITlitera"/>
      </w:pPr>
      <w:r>
        <w:t xml:space="preserve">b) </w:t>
      </w:r>
      <w:r w:rsidR="0049151C">
        <w:tab/>
      </w:r>
      <w:r>
        <w:t xml:space="preserve">po ust. 2a dodaje się ust. 2b w brzmieniu: </w:t>
      </w:r>
    </w:p>
    <w:p w14:paraId="33BE1665" w14:textId="113E1D57" w:rsidR="002B3AB6" w:rsidRDefault="007F09C2" w:rsidP="002B3AB6">
      <w:pPr>
        <w:pStyle w:val="ZUSTzmustartykuempunktem"/>
      </w:pPr>
      <w:r>
        <w:t>„</w:t>
      </w:r>
      <w:r w:rsidR="002B3AB6">
        <w:t>2b. Przepisu ust. 1 pkt 6 nie stosuje się w przypadku uzgodnienia przez wnioskodawcę zmiany zagospodarowania terenu z właścicielem infrastruktury objętej strategiczną inwestycją w zakresie sieci przesyłowych, o której mowa w ustawie z dnia 24 lipca 2015 r. o przygotowaniu i realizacji strategicznych inwestycji w zakresie sieci przesyłowych lub inwestycją towarzyszącą, rurociągu lub gazociągu</w:t>
      </w:r>
      <w:r w:rsidR="00432049">
        <w:t>.</w:t>
      </w:r>
      <w:r>
        <w:t>”</w:t>
      </w:r>
      <w:r w:rsidR="002B3AB6">
        <w:t>;</w:t>
      </w:r>
    </w:p>
    <w:p w14:paraId="1E6DFECE" w14:textId="08FBBA18" w:rsidR="002B3AB6" w:rsidRDefault="002B3AB6" w:rsidP="00821BD7">
      <w:pPr>
        <w:pStyle w:val="PKTpunkt"/>
      </w:pPr>
      <w:r>
        <w:t>5)</w:t>
      </w:r>
      <w:r w:rsidR="00E7490B">
        <w:t xml:space="preserve"> </w:t>
      </w:r>
      <w:r w:rsidR="00E7490B">
        <w:tab/>
      </w:r>
      <w:r w:rsidR="00E7490B">
        <w:tab/>
      </w:r>
      <w:r w:rsidRPr="0009226E">
        <w:t>w art. 64 w ust. 1</w:t>
      </w:r>
      <w:r>
        <w:t xml:space="preserve"> dodaje się pkt 4 w brzmieniu:</w:t>
      </w:r>
    </w:p>
    <w:p w14:paraId="7CD4DDB4" w14:textId="56C6924E" w:rsidR="002B3AB6" w:rsidRDefault="007F09C2" w:rsidP="002B3AB6">
      <w:pPr>
        <w:pStyle w:val="ZPKTzmpktartykuempunktem"/>
      </w:pPr>
      <w:r>
        <w:t>„</w:t>
      </w:r>
      <w:r w:rsidR="002B3AB6">
        <w:t xml:space="preserve">4) </w:t>
      </w:r>
      <w:r w:rsidR="0049151C">
        <w:tab/>
      </w:r>
      <w:r w:rsidR="002B3AB6">
        <w:t>w przypadku gdy zmiana zagospodarowania terenu dotyczy obszaru w stosunku do którego decyzją o ustaleniu lokalizacji strategicznej inwestycji w zakresie sieci przesyłowej lub inwestycji towarzyszącej, o której mowa w art. 5 ust. 1 ustawy z dnia 24 lipca 2015 r. o przygotowaniu i realizacji strategicznych inwestycji w zakresie sieci przesyłowych ustanowiony został zakaz, o którym mowa w art. 22 ust. 2 pkt 1 tej ustawy, strefy kontrolowanej wyznaczonej po obu stronach gazociągu lub strefy bezpieczeństwa wyznaczonej po obu stronach rurociągu, wniosek o wydanie decyzji o warunkach zabudowy powinien zawierać również uzgodnienie, o którym mowa w art. 61 ust. 2b.</w:t>
      </w:r>
      <w:r>
        <w:t>”</w:t>
      </w:r>
      <w:r w:rsidR="002B3AB6">
        <w:t>.</w:t>
      </w:r>
    </w:p>
    <w:p w14:paraId="27C7814E" w14:textId="37344233" w:rsidR="001C608C" w:rsidRPr="001C608C" w:rsidRDefault="0073204F" w:rsidP="001C608C">
      <w:pPr>
        <w:pStyle w:val="ARTartustawynprozporzdzenia"/>
      </w:pPr>
      <w:r w:rsidRPr="004C4009">
        <w:rPr>
          <w:rStyle w:val="Ppogrubienie"/>
        </w:rPr>
        <w:t>Art. 7.</w:t>
      </w:r>
      <w:r w:rsidR="00C7789C">
        <w:rPr>
          <w:rStyle w:val="Ppogrubienie"/>
        </w:rPr>
        <w:t xml:space="preserve"> </w:t>
      </w:r>
      <w:r w:rsidR="001C608C" w:rsidRPr="00F05E2C">
        <w:rPr>
          <w:szCs w:val="24"/>
        </w:rPr>
        <w:t xml:space="preserve">Do spraw wszczętych </w:t>
      </w:r>
      <w:r w:rsidR="00382F5B">
        <w:rPr>
          <w:szCs w:val="24"/>
        </w:rPr>
        <w:t xml:space="preserve">na podstawie </w:t>
      </w:r>
      <w:r w:rsidR="00382F5B" w:rsidRPr="00B10AE6">
        <w:rPr>
          <w:szCs w:val="24"/>
        </w:rPr>
        <w:t xml:space="preserve"> ustaw</w:t>
      </w:r>
      <w:r w:rsidR="00382F5B">
        <w:rPr>
          <w:szCs w:val="24"/>
        </w:rPr>
        <w:t xml:space="preserve"> </w:t>
      </w:r>
      <w:r w:rsidR="00382F5B" w:rsidRPr="00B10AE6">
        <w:rPr>
          <w:szCs w:val="24"/>
        </w:rPr>
        <w:t>zmienian</w:t>
      </w:r>
      <w:r w:rsidR="00382F5B">
        <w:rPr>
          <w:szCs w:val="24"/>
        </w:rPr>
        <w:t>ych</w:t>
      </w:r>
      <w:r w:rsidR="00382F5B" w:rsidRPr="00B10AE6">
        <w:rPr>
          <w:szCs w:val="24"/>
        </w:rPr>
        <w:t xml:space="preserve"> w art. </w:t>
      </w:r>
      <w:r w:rsidR="00382F5B">
        <w:rPr>
          <w:szCs w:val="24"/>
        </w:rPr>
        <w:t>1</w:t>
      </w:r>
      <w:r w:rsidR="00382F5B" w:rsidRPr="00B10AE6">
        <w:rPr>
          <w:szCs w:val="24"/>
        </w:rPr>
        <w:t xml:space="preserve">-6 </w:t>
      </w:r>
      <w:r w:rsidR="001C608C" w:rsidRPr="00F05E2C">
        <w:rPr>
          <w:szCs w:val="24"/>
        </w:rPr>
        <w:t xml:space="preserve">i niezakończonych przed dniem wejścia w życie niniejszej ustawy przepisy ustaw zmienianych w art. </w:t>
      </w:r>
      <w:r w:rsidR="00382F5B">
        <w:rPr>
          <w:szCs w:val="24"/>
        </w:rPr>
        <w:t>1</w:t>
      </w:r>
      <w:r w:rsidR="001C608C" w:rsidRPr="00F05E2C">
        <w:rPr>
          <w:szCs w:val="24"/>
        </w:rPr>
        <w:t>-6 stosuje się w brzmieniu dotychczasowym.</w:t>
      </w:r>
    </w:p>
    <w:p w14:paraId="7CF132CB" w14:textId="77777777" w:rsidR="0073204F" w:rsidRPr="0073204F" w:rsidRDefault="0073204F" w:rsidP="0073204F">
      <w:pPr>
        <w:pStyle w:val="ARTartustawynprozporzdzenia"/>
        <w:rPr>
          <w:rStyle w:val="Pogrubienie"/>
        </w:rPr>
      </w:pPr>
      <w:r w:rsidRPr="0073204F">
        <w:rPr>
          <w:rStyle w:val="Pogrubienie"/>
        </w:rPr>
        <w:t xml:space="preserve">Art. 8. </w:t>
      </w:r>
      <w:r w:rsidRPr="0073204F">
        <w:t>Ustawa wchodzi w życie po upływie 30 dni od dnia ogłoszenia.</w:t>
      </w:r>
    </w:p>
    <w:p w14:paraId="4C369B91" w14:textId="77777777" w:rsidR="0073204F" w:rsidRPr="0073204F" w:rsidRDefault="0073204F" w:rsidP="0073204F">
      <w:pPr>
        <w:pStyle w:val="PKTpunkt"/>
      </w:pPr>
    </w:p>
    <w:p w14:paraId="65FAF366" w14:textId="77777777" w:rsidR="0073204F" w:rsidRPr="0073204F" w:rsidRDefault="0073204F" w:rsidP="0073204F"/>
    <w:p w14:paraId="151B2E0A" w14:textId="77777777" w:rsidR="00543ABC" w:rsidRDefault="00543ABC" w:rsidP="00543ABC">
      <w:bookmarkStart w:id="1" w:name="_Hlk62055669"/>
      <w:r>
        <w:t>Za zgodność pod względem prawnym, legislacyjnym i redakcyjnym</w:t>
      </w:r>
    </w:p>
    <w:p w14:paraId="4EC1FF23" w14:textId="77777777" w:rsidR="00543ABC" w:rsidRDefault="00543ABC" w:rsidP="00543ABC">
      <w:r>
        <w:t>Piotr Kudelski</w:t>
      </w:r>
    </w:p>
    <w:p w14:paraId="0365C2D3" w14:textId="77777777" w:rsidR="00543ABC" w:rsidRDefault="00543ABC" w:rsidP="00543ABC">
      <w:r>
        <w:t>Zastępca Dyrektora Departamentu Prawnego</w:t>
      </w:r>
    </w:p>
    <w:p w14:paraId="71EFDBB6" w14:textId="77777777" w:rsidR="00543ABC" w:rsidRDefault="00543ABC" w:rsidP="00543ABC">
      <w:r>
        <w:t>Ministerstwo Klimatu i Środowiska</w:t>
      </w:r>
    </w:p>
    <w:p w14:paraId="19CCC4C3" w14:textId="77777777" w:rsidR="00543ABC" w:rsidRDefault="00543ABC" w:rsidP="00543ABC">
      <w:r>
        <w:t>(-podpisano kwalifikowanym podpisem elektronicznym)</w:t>
      </w:r>
    </w:p>
    <w:bookmarkEnd w:id="1"/>
    <w:p w14:paraId="25C54BCF" w14:textId="77777777" w:rsidR="00261A16" w:rsidRPr="0073204F" w:rsidRDefault="00261A16" w:rsidP="0073204F"/>
    <w:sectPr w:rsidR="00261A16" w:rsidRPr="0073204F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15E6" w14:textId="77777777" w:rsidR="000C7535" w:rsidRDefault="000C7535">
      <w:r>
        <w:separator/>
      </w:r>
    </w:p>
  </w:endnote>
  <w:endnote w:type="continuationSeparator" w:id="0">
    <w:p w14:paraId="53418978" w14:textId="77777777" w:rsidR="000C7535" w:rsidRDefault="000C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FC12" w14:textId="77777777" w:rsidR="000C7535" w:rsidRDefault="000C7535">
      <w:r>
        <w:separator/>
      </w:r>
    </w:p>
  </w:footnote>
  <w:footnote w:type="continuationSeparator" w:id="0">
    <w:p w14:paraId="7B910363" w14:textId="77777777" w:rsidR="000C7535" w:rsidRDefault="000C7535">
      <w:r>
        <w:continuationSeparator/>
      </w:r>
    </w:p>
  </w:footnote>
  <w:footnote w:id="1">
    <w:p w14:paraId="5FA1CBA6" w14:textId="0E0830BB" w:rsidR="00CA5AA9" w:rsidRPr="007E1755" w:rsidRDefault="00CA5AA9" w:rsidP="007E1755">
      <w:pPr>
        <w:pStyle w:val="ODNONIKtreodnonika"/>
      </w:pPr>
      <w:r>
        <w:rPr>
          <w:rStyle w:val="Odwoanieprzypisudolnego"/>
        </w:rPr>
        <w:footnoteRef/>
      </w:r>
      <w:r w:rsidR="00352FCB">
        <w:rPr>
          <w:vertAlign w:val="superscript"/>
        </w:rPr>
        <w:t>)</w:t>
      </w:r>
      <w:r>
        <w:t xml:space="preserve"> </w:t>
      </w:r>
      <w:r w:rsidR="007E1755">
        <w:t>Niniejszą ustawą zmienia się ustawy: ustawę z dnia 21 marca 1985 r. o drogach publicznych, ustawę z dnia 7 lipca 1994 r. – Prawo budowlane, ustawę z dnia 21 sierpnia 1997 r. o gospodarce nieruchomościami, ustawę z dnia 27 marca 2003 r. o planowaniu i zagospodarowaniu przestrzennym  oraz ustawę z dnia 27 kwietnia 2001 r. – Prawo ochrony środowiska.</w:t>
      </w:r>
    </w:p>
  </w:footnote>
  <w:footnote w:id="2">
    <w:p w14:paraId="5827EEDC" w14:textId="255EBBCD" w:rsidR="006C7FE5" w:rsidRPr="006C7FE5" w:rsidRDefault="006C7FE5" w:rsidP="00F05E2C">
      <w:pPr>
        <w:pStyle w:val="ODNONIKtreodnonika"/>
      </w:pPr>
      <w:r>
        <w:rPr>
          <w:rStyle w:val="Odwoanieprzypisudolnego"/>
        </w:rPr>
        <w:footnoteRef/>
      </w:r>
      <w:r w:rsidRPr="00F05E2C">
        <w:rPr>
          <w:vertAlign w:val="superscript"/>
        </w:rPr>
        <w:t>)</w:t>
      </w:r>
      <w:r>
        <w:t xml:space="preserve"> Zmiany wymienionego rozporządzenia zostały ogłoszone w Dz. Urz. UE L 136 z 09.05.2014, str. 10, Dz. Urz. UE L 126 z 14.05.2016, str. 3 oraz Dz. Urz. UE L 128 z 19.05.2017, str. 1.  </w:t>
      </w:r>
    </w:p>
  </w:footnote>
  <w:footnote w:id="3">
    <w:p w14:paraId="7D8BA0B0" w14:textId="0E0227D6" w:rsidR="00E7490B" w:rsidRDefault="00E7490B" w:rsidP="00821BD7">
      <w:pPr>
        <w:pStyle w:val="ODNONIKtreodnonika"/>
      </w:pPr>
      <w:r>
        <w:rPr>
          <w:rStyle w:val="Odwoanieprzypisudolnego"/>
        </w:rPr>
        <w:footnoteRef/>
      </w:r>
      <w:r w:rsidR="008027F8" w:rsidRPr="006013D9">
        <w:rPr>
          <w:vertAlign w:val="superscript"/>
        </w:rPr>
        <w:t>)</w:t>
      </w:r>
      <w:r>
        <w:tab/>
      </w:r>
      <w:r w:rsidRPr="00821BD7">
        <w:rPr>
          <w:shd w:val="clear" w:color="auto" w:fill="FFFFFF"/>
        </w:rPr>
        <w:t xml:space="preserve">Zmiany tekstu jednolitego wymienionej ustawy zostały ogłoszone w Dz. U. z 2021 r. poz. </w:t>
      </w:r>
      <w:r w:rsidRPr="00821BD7">
        <w:t>2127, 2269, oraz z 2022 r. poz. 1079, 1260, 1504, 1576</w:t>
      </w:r>
      <w:r w:rsidR="008027F8">
        <w:t xml:space="preserve"> i</w:t>
      </w:r>
      <w:r w:rsidRPr="00821BD7">
        <w:t>1747</w:t>
      </w:r>
      <w:r w:rsidR="008027F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2DD"/>
    <w:multiLevelType w:val="hybridMultilevel"/>
    <w:tmpl w:val="B3C65800"/>
    <w:lvl w:ilvl="0" w:tplc="4DE81A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3CA3"/>
    <w:multiLevelType w:val="hybridMultilevel"/>
    <w:tmpl w:val="6C46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90801">
    <w:abstractNumId w:val="1"/>
  </w:num>
  <w:num w:numId="2" w16cid:durableId="112488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06B4A"/>
    <w:rsid w:val="00011089"/>
    <w:rsid w:val="00012A35"/>
    <w:rsid w:val="000139B0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72A"/>
    <w:rsid w:val="00036B63"/>
    <w:rsid w:val="00036EAF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031"/>
    <w:rsid w:val="0007533B"/>
    <w:rsid w:val="0007545D"/>
    <w:rsid w:val="000760BF"/>
    <w:rsid w:val="0007613E"/>
    <w:rsid w:val="00076BFC"/>
    <w:rsid w:val="000814A7"/>
    <w:rsid w:val="0008557B"/>
    <w:rsid w:val="00085CE7"/>
    <w:rsid w:val="00087145"/>
    <w:rsid w:val="000906EE"/>
    <w:rsid w:val="00091BA2"/>
    <w:rsid w:val="0009226E"/>
    <w:rsid w:val="00092A01"/>
    <w:rsid w:val="000944EF"/>
    <w:rsid w:val="0009732D"/>
    <w:rsid w:val="000973F0"/>
    <w:rsid w:val="000A1296"/>
    <w:rsid w:val="000A1C27"/>
    <w:rsid w:val="000A1DAD"/>
    <w:rsid w:val="000A2649"/>
    <w:rsid w:val="000A323B"/>
    <w:rsid w:val="000A332D"/>
    <w:rsid w:val="000B298D"/>
    <w:rsid w:val="000B5B2D"/>
    <w:rsid w:val="000B5DCE"/>
    <w:rsid w:val="000C05BA"/>
    <w:rsid w:val="000C0E8F"/>
    <w:rsid w:val="000C4BC4"/>
    <w:rsid w:val="000C55D8"/>
    <w:rsid w:val="000C6097"/>
    <w:rsid w:val="000C7535"/>
    <w:rsid w:val="000D0110"/>
    <w:rsid w:val="000D02FD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6D8"/>
    <w:rsid w:val="001042BA"/>
    <w:rsid w:val="00104DF9"/>
    <w:rsid w:val="00106D03"/>
    <w:rsid w:val="00110465"/>
    <w:rsid w:val="00110628"/>
    <w:rsid w:val="0011245A"/>
    <w:rsid w:val="0011493E"/>
    <w:rsid w:val="00114A55"/>
    <w:rsid w:val="00115B72"/>
    <w:rsid w:val="001209EC"/>
    <w:rsid w:val="00120A9E"/>
    <w:rsid w:val="00125A9C"/>
    <w:rsid w:val="00125FBE"/>
    <w:rsid w:val="001270A2"/>
    <w:rsid w:val="00130729"/>
    <w:rsid w:val="00131237"/>
    <w:rsid w:val="001329AC"/>
    <w:rsid w:val="00134CA0"/>
    <w:rsid w:val="00136063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33E2"/>
    <w:rsid w:val="00164C57"/>
    <w:rsid w:val="00164C9D"/>
    <w:rsid w:val="00172DB8"/>
    <w:rsid w:val="00172F7A"/>
    <w:rsid w:val="00173150"/>
    <w:rsid w:val="00173390"/>
    <w:rsid w:val="001736F0"/>
    <w:rsid w:val="00173BB3"/>
    <w:rsid w:val="001740D0"/>
    <w:rsid w:val="00174F2C"/>
    <w:rsid w:val="0017761B"/>
    <w:rsid w:val="00180F2A"/>
    <w:rsid w:val="00184B91"/>
    <w:rsid w:val="00184D4A"/>
    <w:rsid w:val="00186EC1"/>
    <w:rsid w:val="00191E1F"/>
    <w:rsid w:val="00192405"/>
    <w:rsid w:val="001930D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08C"/>
    <w:rsid w:val="001D1783"/>
    <w:rsid w:val="001D53CD"/>
    <w:rsid w:val="001D55A3"/>
    <w:rsid w:val="001D5AF5"/>
    <w:rsid w:val="001E1E73"/>
    <w:rsid w:val="001E2A02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0507D"/>
    <w:rsid w:val="002114EF"/>
    <w:rsid w:val="002166AD"/>
    <w:rsid w:val="00217871"/>
    <w:rsid w:val="00220924"/>
    <w:rsid w:val="00221ED8"/>
    <w:rsid w:val="002231EA"/>
    <w:rsid w:val="00223FDF"/>
    <w:rsid w:val="002275BE"/>
    <w:rsid w:val="002279C0"/>
    <w:rsid w:val="002305E9"/>
    <w:rsid w:val="002313D3"/>
    <w:rsid w:val="0023727E"/>
    <w:rsid w:val="00242081"/>
    <w:rsid w:val="00243777"/>
    <w:rsid w:val="002441CD"/>
    <w:rsid w:val="002501A3"/>
    <w:rsid w:val="0025166C"/>
    <w:rsid w:val="002555D4"/>
    <w:rsid w:val="0025626A"/>
    <w:rsid w:val="00261A16"/>
    <w:rsid w:val="00263522"/>
    <w:rsid w:val="00264EC6"/>
    <w:rsid w:val="00271013"/>
    <w:rsid w:val="00273FE4"/>
    <w:rsid w:val="002765B4"/>
    <w:rsid w:val="00276A94"/>
    <w:rsid w:val="00283675"/>
    <w:rsid w:val="002838B4"/>
    <w:rsid w:val="0029405D"/>
    <w:rsid w:val="00294FA6"/>
    <w:rsid w:val="00295A6F"/>
    <w:rsid w:val="002A1A5F"/>
    <w:rsid w:val="002A20C4"/>
    <w:rsid w:val="002A5536"/>
    <w:rsid w:val="002A570F"/>
    <w:rsid w:val="002A7292"/>
    <w:rsid w:val="002A7358"/>
    <w:rsid w:val="002A7902"/>
    <w:rsid w:val="002B0F6B"/>
    <w:rsid w:val="002B23B8"/>
    <w:rsid w:val="002B243A"/>
    <w:rsid w:val="002B3AB6"/>
    <w:rsid w:val="002B4429"/>
    <w:rsid w:val="002B68A6"/>
    <w:rsid w:val="002B7FAF"/>
    <w:rsid w:val="002C6B5F"/>
    <w:rsid w:val="002D0C4F"/>
    <w:rsid w:val="002D1364"/>
    <w:rsid w:val="002D4D30"/>
    <w:rsid w:val="002D5000"/>
    <w:rsid w:val="002D598D"/>
    <w:rsid w:val="002D7188"/>
    <w:rsid w:val="002E0FF1"/>
    <w:rsid w:val="002E1DE3"/>
    <w:rsid w:val="002E2AB6"/>
    <w:rsid w:val="002E3F34"/>
    <w:rsid w:val="002E42D8"/>
    <w:rsid w:val="002E5F79"/>
    <w:rsid w:val="002E64FA"/>
    <w:rsid w:val="002F0A00"/>
    <w:rsid w:val="002F0CFA"/>
    <w:rsid w:val="002F0E89"/>
    <w:rsid w:val="002F63C8"/>
    <w:rsid w:val="002F669F"/>
    <w:rsid w:val="003007D1"/>
    <w:rsid w:val="00301C97"/>
    <w:rsid w:val="00306560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28E"/>
    <w:rsid w:val="00352DAE"/>
    <w:rsid w:val="00352FCB"/>
    <w:rsid w:val="00354EB9"/>
    <w:rsid w:val="00356AAB"/>
    <w:rsid w:val="003602AE"/>
    <w:rsid w:val="00360929"/>
    <w:rsid w:val="003626B2"/>
    <w:rsid w:val="003647D5"/>
    <w:rsid w:val="00365052"/>
    <w:rsid w:val="003674B0"/>
    <w:rsid w:val="0037727C"/>
    <w:rsid w:val="00377E70"/>
    <w:rsid w:val="00380904"/>
    <w:rsid w:val="003823EE"/>
    <w:rsid w:val="00382960"/>
    <w:rsid w:val="00382F5B"/>
    <w:rsid w:val="003846F7"/>
    <w:rsid w:val="003851ED"/>
    <w:rsid w:val="00385B39"/>
    <w:rsid w:val="00386785"/>
    <w:rsid w:val="00390CF2"/>
    <w:rsid w:val="00390E89"/>
    <w:rsid w:val="00391B1A"/>
    <w:rsid w:val="00394423"/>
    <w:rsid w:val="00396942"/>
    <w:rsid w:val="00396B49"/>
    <w:rsid w:val="00396E3E"/>
    <w:rsid w:val="003A0BF9"/>
    <w:rsid w:val="003A306E"/>
    <w:rsid w:val="003A60DC"/>
    <w:rsid w:val="003A6A46"/>
    <w:rsid w:val="003A7A63"/>
    <w:rsid w:val="003B000C"/>
    <w:rsid w:val="003B0F1D"/>
    <w:rsid w:val="003B4457"/>
    <w:rsid w:val="003B4A57"/>
    <w:rsid w:val="003C0600"/>
    <w:rsid w:val="003C0AD9"/>
    <w:rsid w:val="003C0ED0"/>
    <w:rsid w:val="003C1D49"/>
    <w:rsid w:val="003C35C4"/>
    <w:rsid w:val="003C4C7D"/>
    <w:rsid w:val="003D0A7B"/>
    <w:rsid w:val="003D12C2"/>
    <w:rsid w:val="003D2A99"/>
    <w:rsid w:val="003D31B9"/>
    <w:rsid w:val="003D3867"/>
    <w:rsid w:val="003E0D1A"/>
    <w:rsid w:val="003E2DA3"/>
    <w:rsid w:val="003F020D"/>
    <w:rsid w:val="003F03D9"/>
    <w:rsid w:val="003F1ACA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3A0"/>
    <w:rsid w:val="00417B22"/>
    <w:rsid w:val="00421085"/>
    <w:rsid w:val="00423AFE"/>
    <w:rsid w:val="0042465E"/>
    <w:rsid w:val="00424DF7"/>
    <w:rsid w:val="00432049"/>
    <w:rsid w:val="00432B76"/>
    <w:rsid w:val="00434371"/>
    <w:rsid w:val="00434D01"/>
    <w:rsid w:val="00435D26"/>
    <w:rsid w:val="00440C99"/>
    <w:rsid w:val="0044175C"/>
    <w:rsid w:val="00445A77"/>
    <w:rsid w:val="00445F4D"/>
    <w:rsid w:val="004504C0"/>
    <w:rsid w:val="00454A20"/>
    <w:rsid w:val="004550FB"/>
    <w:rsid w:val="0046111A"/>
    <w:rsid w:val="00462647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51C"/>
    <w:rsid w:val="00491EDF"/>
    <w:rsid w:val="00492A3F"/>
    <w:rsid w:val="00494F62"/>
    <w:rsid w:val="00496FD7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009"/>
    <w:rsid w:val="004C7EE7"/>
    <w:rsid w:val="004D2DEE"/>
    <w:rsid w:val="004D2E1F"/>
    <w:rsid w:val="004D5F8B"/>
    <w:rsid w:val="004D7FD9"/>
    <w:rsid w:val="004E1324"/>
    <w:rsid w:val="004E19A5"/>
    <w:rsid w:val="004E37E5"/>
    <w:rsid w:val="004E3FDB"/>
    <w:rsid w:val="004F06D9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AED"/>
    <w:rsid w:val="00543ABC"/>
    <w:rsid w:val="00544BDE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4B1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EEE"/>
    <w:rsid w:val="00597024"/>
    <w:rsid w:val="00597625"/>
    <w:rsid w:val="00597FD3"/>
    <w:rsid w:val="005A0274"/>
    <w:rsid w:val="005A081C"/>
    <w:rsid w:val="005A095C"/>
    <w:rsid w:val="005A4ABA"/>
    <w:rsid w:val="005A669D"/>
    <w:rsid w:val="005A75D8"/>
    <w:rsid w:val="005B412B"/>
    <w:rsid w:val="005B713E"/>
    <w:rsid w:val="005C03B6"/>
    <w:rsid w:val="005C348E"/>
    <w:rsid w:val="005C68E1"/>
    <w:rsid w:val="005D3763"/>
    <w:rsid w:val="005D55E1"/>
    <w:rsid w:val="005E124D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3D9"/>
    <w:rsid w:val="00603A1A"/>
    <w:rsid w:val="00603AB6"/>
    <w:rsid w:val="006046D5"/>
    <w:rsid w:val="00607A93"/>
    <w:rsid w:val="00610C08"/>
    <w:rsid w:val="00611F74"/>
    <w:rsid w:val="00615772"/>
    <w:rsid w:val="006165C0"/>
    <w:rsid w:val="00616743"/>
    <w:rsid w:val="00621256"/>
    <w:rsid w:val="00621FCC"/>
    <w:rsid w:val="00622E4B"/>
    <w:rsid w:val="006327F7"/>
    <w:rsid w:val="006333DA"/>
    <w:rsid w:val="006337FE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5175"/>
    <w:rsid w:val="00680058"/>
    <w:rsid w:val="00681F9F"/>
    <w:rsid w:val="006840EA"/>
    <w:rsid w:val="006844E2"/>
    <w:rsid w:val="0068451D"/>
    <w:rsid w:val="00685267"/>
    <w:rsid w:val="00687188"/>
    <w:rsid w:val="006872AE"/>
    <w:rsid w:val="00690082"/>
    <w:rsid w:val="00690252"/>
    <w:rsid w:val="00691933"/>
    <w:rsid w:val="006946BB"/>
    <w:rsid w:val="006969FA"/>
    <w:rsid w:val="006A35D5"/>
    <w:rsid w:val="006A748A"/>
    <w:rsid w:val="006C419E"/>
    <w:rsid w:val="006C4A31"/>
    <w:rsid w:val="006C5AC2"/>
    <w:rsid w:val="006C6AFB"/>
    <w:rsid w:val="006C7FE5"/>
    <w:rsid w:val="006D10B7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45F"/>
    <w:rsid w:val="0072621B"/>
    <w:rsid w:val="00730555"/>
    <w:rsid w:val="007312CC"/>
    <w:rsid w:val="007313FD"/>
    <w:rsid w:val="0073204F"/>
    <w:rsid w:val="00736A64"/>
    <w:rsid w:val="00737F6A"/>
    <w:rsid w:val="007410B6"/>
    <w:rsid w:val="00744C6F"/>
    <w:rsid w:val="007457F6"/>
    <w:rsid w:val="00745ABB"/>
    <w:rsid w:val="00746E38"/>
    <w:rsid w:val="007474C9"/>
    <w:rsid w:val="00747CD5"/>
    <w:rsid w:val="00753B51"/>
    <w:rsid w:val="00753E5C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BA2"/>
    <w:rsid w:val="007B75BC"/>
    <w:rsid w:val="007C0BD6"/>
    <w:rsid w:val="007C3806"/>
    <w:rsid w:val="007C5BB7"/>
    <w:rsid w:val="007D07D5"/>
    <w:rsid w:val="007D1C64"/>
    <w:rsid w:val="007D32DD"/>
    <w:rsid w:val="007D62AC"/>
    <w:rsid w:val="007D6DCE"/>
    <w:rsid w:val="007D72C4"/>
    <w:rsid w:val="007E1755"/>
    <w:rsid w:val="007E2C56"/>
    <w:rsid w:val="007E2CFE"/>
    <w:rsid w:val="007E59C9"/>
    <w:rsid w:val="007E62DE"/>
    <w:rsid w:val="007F0072"/>
    <w:rsid w:val="007F09C2"/>
    <w:rsid w:val="007F2EB6"/>
    <w:rsid w:val="007F40F2"/>
    <w:rsid w:val="007F54C3"/>
    <w:rsid w:val="008027F8"/>
    <w:rsid w:val="00802949"/>
    <w:rsid w:val="0080301E"/>
    <w:rsid w:val="0080365F"/>
    <w:rsid w:val="00806F00"/>
    <w:rsid w:val="00810E85"/>
    <w:rsid w:val="00811B92"/>
    <w:rsid w:val="00812BE5"/>
    <w:rsid w:val="00817429"/>
    <w:rsid w:val="00821514"/>
    <w:rsid w:val="00821BD7"/>
    <w:rsid w:val="00821E35"/>
    <w:rsid w:val="00824591"/>
    <w:rsid w:val="00824AED"/>
    <w:rsid w:val="008257F0"/>
    <w:rsid w:val="00827820"/>
    <w:rsid w:val="008319FD"/>
    <w:rsid w:val="00831B8B"/>
    <w:rsid w:val="0083405D"/>
    <w:rsid w:val="008352D4"/>
    <w:rsid w:val="00836DB9"/>
    <w:rsid w:val="0083781E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CA2"/>
    <w:rsid w:val="0086018B"/>
    <w:rsid w:val="008611DD"/>
    <w:rsid w:val="008620DE"/>
    <w:rsid w:val="00866867"/>
    <w:rsid w:val="00872257"/>
    <w:rsid w:val="008753E6"/>
    <w:rsid w:val="0087738C"/>
    <w:rsid w:val="0088022B"/>
    <w:rsid w:val="008802AF"/>
    <w:rsid w:val="00881926"/>
    <w:rsid w:val="0088318F"/>
    <w:rsid w:val="0088331D"/>
    <w:rsid w:val="008852B0"/>
    <w:rsid w:val="00885AE7"/>
    <w:rsid w:val="00886B60"/>
    <w:rsid w:val="00886D4E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209"/>
    <w:rsid w:val="008B7712"/>
    <w:rsid w:val="008B7B26"/>
    <w:rsid w:val="008C3524"/>
    <w:rsid w:val="008C4061"/>
    <w:rsid w:val="008C4229"/>
    <w:rsid w:val="008C5BE0"/>
    <w:rsid w:val="008C6948"/>
    <w:rsid w:val="008C7233"/>
    <w:rsid w:val="008D2434"/>
    <w:rsid w:val="008D41F3"/>
    <w:rsid w:val="008E171D"/>
    <w:rsid w:val="008E2785"/>
    <w:rsid w:val="008E78A3"/>
    <w:rsid w:val="008F0654"/>
    <w:rsid w:val="008F06CB"/>
    <w:rsid w:val="008F242C"/>
    <w:rsid w:val="008F2E83"/>
    <w:rsid w:val="008F612A"/>
    <w:rsid w:val="008F691F"/>
    <w:rsid w:val="0090293D"/>
    <w:rsid w:val="009034DE"/>
    <w:rsid w:val="009047D5"/>
    <w:rsid w:val="00904D46"/>
    <w:rsid w:val="00905396"/>
    <w:rsid w:val="0090605D"/>
    <w:rsid w:val="00906419"/>
    <w:rsid w:val="009112A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5C5"/>
    <w:rsid w:val="00926A3F"/>
    <w:rsid w:val="0092794E"/>
    <w:rsid w:val="00930D30"/>
    <w:rsid w:val="00932762"/>
    <w:rsid w:val="009332A2"/>
    <w:rsid w:val="00933477"/>
    <w:rsid w:val="00937598"/>
    <w:rsid w:val="0093790B"/>
    <w:rsid w:val="00943751"/>
    <w:rsid w:val="00946DD0"/>
    <w:rsid w:val="009509E6"/>
    <w:rsid w:val="00952018"/>
    <w:rsid w:val="00952800"/>
    <w:rsid w:val="0095300D"/>
    <w:rsid w:val="00953460"/>
    <w:rsid w:val="00956812"/>
    <w:rsid w:val="0095719A"/>
    <w:rsid w:val="0095793A"/>
    <w:rsid w:val="009623E9"/>
    <w:rsid w:val="00963EEB"/>
    <w:rsid w:val="009648BC"/>
    <w:rsid w:val="00964C2F"/>
    <w:rsid w:val="00965F88"/>
    <w:rsid w:val="00966695"/>
    <w:rsid w:val="00984E03"/>
    <w:rsid w:val="00987E85"/>
    <w:rsid w:val="0099049E"/>
    <w:rsid w:val="009A0D12"/>
    <w:rsid w:val="009A1987"/>
    <w:rsid w:val="009A2BEE"/>
    <w:rsid w:val="009A5289"/>
    <w:rsid w:val="009A7A53"/>
    <w:rsid w:val="009A7D10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0330"/>
    <w:rsid w:val="00A039D5"/>
    <w:rsid w:val="00A046AD"/>
    <w:rsid w:val="00A06BE5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F8F"/>
    <w:rsid w:val="00A3310E"/>
    <w:rsid w:val="00A333A0"/>
    <w:rsid w:val="00A37E70"/>
    <w:rsid w:val="00A437E1"/>
    <w:rsid w:val="00A4685E"/>
    <w:rsid w:val="00A50CD4"/>
    <w:rsid w:val="00A51191"/>
    <w:rsid w:val="00A51ABC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22B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54D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709"/>
    <w:rsid w:val="00B07700"/>
    <w:rsid w:val="00B078EB"/>
    <w:rsid w:val="00B13921"/>
    <w:rsid w:val="00B1528C"/>
    <w:rsid w:val="00B1566F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CEF"/>
    <w:rsid w:val="00B43E1F"/>
    <w:rsid w:val="00B446FA"/>
    <w:rsid w:val="00B45FBC"/>
    <w:rsid w:val="00B51A7D"/>
    <w:rsid w:val="00B535C2"/>
    <w:rsid w:val="00B55544"/>
    <w:rsid w:val="00B642FC"/>
    <w:rsid w:val="00B64622"/>
    <w:rsid w:val="00B64D26"/>
    <w:rsid w:val="00B64FBB"/>
    <w:rsid w:val="00B70E22"/>
    <w:rsid w:val="00B774CB"/>
    <w:rsid w:val="00B80402"/>
    <w:rsid w:val="00B80827"/>
    <w:rsid w:val="00B80B9A"/>
    <w:rsid w:val="00B830B7"/>
    <w:rsid w:val="00B83F53"/>
    <w:rsid w:val="00B848EA"/>
    <w:rsid w:val="00B84B2B"/>
    <w:rsid w:val="00B90500"/>
    <w:rsid w:val="00B9176C"/>
    <w:rsid w:val="00B935A4"/>
    <w:rsid w:val="00BA561A"/>
    <w:rsid w:val="00BB0DC6"/>
    <w:rsid w:val="00BB15E4"/>
    <w:rsid w:val="00BB17C7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77C3"/>
    <w:rsid w:val="00BF19B9"/>
    <w:rsid w:val="00BF3DDE"/>
    <w:rsid w:val="00BF4722"/>
    <w:rsid w:val="00BF6589"/>
    <w:rsid w:val="00BF6F7F"/>
    <w:rsid w:val="00C00647"/>
    <w:rsid w:val="00C02764"/>
    <w:rsid w:val="00C04CEF"/>
    <w:rsid w:val="00C0662F"/>
    <w:rsid w:val="00C11943"/>
    <w:rsid w:val="00C12E96"/>
    <w:rsid w:val="00C13927"/>
    <w:rsid w:val="00C14763"/>
    <w:rsid w:val="00C16141"/>
    <w:rsid w:val="00C2363F"/>
    <w:rsid w:val="00C236C8"/>
    <w:rsid w:val="00C260B1"/>
    <w:rsid w:val="00C26E56"/>
    <w:rsid w:val="00C277C0"/>
    <w:rsid w:val="00C31406"/>
    <w:rsid w:val="00C37194"/>
    <w:rsid w:val="00C40637"/>
    <w:rsid w:val="00C40F6C"/>
    <w:rsid w:val="00C424D8"/>
    <w:rsid w:val="00C42706"/>
    <w:rsid w:val="00C44426"/>
    <w:rsid w:val="00C445F3"/>
    <w:rsid w:val="00C451F4"/>
    <w:rsid w:val="00C45EB1"/>
    <w:rsid w:val="00C51831"/>
    <w:rsid w:val="00C54A3A"/>
    <w:rsid w:val="00C55566"/>
    <w:rsid w:val="00C55B0C"/>
    <w:rsid w:val="00C56448"/>
    <w:rsid w:val="00C634F7"/>
    <w:rsid w:val="00C667BE"/>
    <w:rsid w:val="00C6766B"/>
    <w:rsid w:val="00C70375"/>
    <w:rsid w:val="00C72223"/>
    <w:rsid w:val="00C7261F"/>
    <w:rsid w:val="00C76417"/>
    <w:rsid w:val="00C7726F"/>
    <w:rsid w:val="00C7789C"/>
    <w:rsid w:val="00C804F2"/>
    <w:rsid w:val="00C823DA"/>
    <w:rsid w:val="00C8259F"/>
    <w:rsid w:val="00C82746"/>
    <w:rsid w:val="00C8312F"/>
    <w:rsid w:val="00C84C47"/>
    <w:rsid w:val="00C855E8"/>
    <w:rsid w:val="00C858A4"/>
    <w:rsid w:val="00C86AFA"/>
    <w:rsid w:val="00C902ED"/>
    <w:rsid w:val="00C948AF"/>
    <w:rsid w:val="00CA5AA9"/>
    <w:rsid w:val="00CB18D0"/>
    <w:rsid w:val="00CB1C8A"/>
    <w:rsid w:val="00CB24F5"/>
    <w:rsid w:val="00CB2663"/>
    <w:rsid w:val="00CB3BBE"/>
    <w:rsid w:val="00CB59E9"/>
    <w:rsid w:val="00CB7A64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842"/>
    <w:rsid w:val="00D15197"/>
    <w:rsid w:val="00D16820"/>
    <w:rsid w:val="00D169C8"/>
    <w:rsid w:val="00D1793F"/>
    <w:rsid w:val="00D22AF5"/>
    <w:rsid w:val="00D232D5"/>
    <w:rsid w:val="00D235EA"/>
    <w:rsid w:val="00D247A9"/>
    <w:rsid w:val="00D26191"/>
    <w:rsid w:val="00D32721"/>
    <w:rsid w:val="00D328DC"/>
    <w:rsid w:val="00D33387"/>
    <w:rsid w:val="00D36AC7"/>
    <w:rsid w:val="00D402FB"/>
    <w:rsid w:val="00D47D7A"/>
    <w:rsid w:val="00D50ABD"/>
    <w:rsid w:val="00D55290"/>
    <w:rsid w:val="00D5624C"/>
    <w:rsid w:val="00D56EE1"/>
    <w:rsid w:val="00D57791"/>
    <w:rsid w:val="00D6046A"/>
    <w:rsid w:val="00D6241B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6D2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B41"/>
    <w:rsid w:val="00DA0ADA"/>
    <w:rsid w:val="00DA3FDD"/>
    <w:rsid w:val="00DA7017"/>
    <w:rsid w:val="00DA7028"/>
    <w:rsid w:val="00DB1A2E"/>
    <w:rsid w:val="00DB1AD2"/>
    <w:rsid w:val="00DB2B58"/>
    <w:rsid w:val="00DB5206"/>
    <w:rsid w:val="00DB6276"/>
    <w:rsid w:val="00DB63F5"/>
    <w:rsid w:val="00DC1C6B"/>
    <w:rsid w:val="00DC1E8C"/>
    <w:rsid w:val="00DC2C2E"/>
    <w:rsid w:val="00DC4AF0"/>
    <w:rsid w:val="00DC579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0E36"/>
    <w:rsid w:val="00E02BAB"/>
    <w:rsid w:val="00E04CEB"/>
    <w:rsid w:val="00E060BC"/>
    <w:rsid w:val="00E11420"/>
    <w:rsid w:val="00E132FB"/>
    <w:rsid w:val="00E15091"/>
    <w:rsid w:val="00E170B7"/>
    <w:rsid w:val="00E177DD"/>
    <w:rsid w:val="00E20900"/>
    <w:rsid w:val="00E20C7F"/>
    <w:rsid w:val="00E2396E"/>
    <w:rsid w:val="00E24728"/>
    <w:rsid w:val="00E276AC"/>
    <w:rsid w:val="00E27A4F"/>
    <w:rsid w:val="00E34A35"/>
    <w:rsid w:val="00E37C2F"/>
    <w:rsid w:val="00E41C28"/>
    <w:rsid w:val="00E44134"/>
    <w:rsid w:val="00E461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90B"/>
    <w:rsid w:val="00E75DDA"/>
    <w:rsid w:val="00E773E8"/>
    <w:rsid w:val="00E83ADD"/>
    <w:rsid w:val="00E84F38"/>
    <w:rsid w:val="00E85623"/>
    <w:rsid w:val="00E87441"/>
    <w:rsid w:val="00E906E2"/>
    <w:rsid w:val="00E91FAE"/>
    <w:rsid w:val="00E963C9"/>
    <w:rsid w:val="00E96E3F"/>
    <w:rsid w:val="00EA270C"/>
    <w:rsid w:val="00EA3E8F"/>
    <w:rsid w:val="00EA4974"/>
    <w:rsid w:val="00EA532E"/>
    <w:rsid w:val="00EA7294"/>
    <w:rsid w:val="00EB06D9"/>
    <w:rsid w:val="00EB192B"/>
    <w:rsid w:val="00EB19ED"/>
    <w:rsid w:val="00EB1CAB"/>
    <w:rsid w:val="00EB4686"/>
    <w:rsid w:val="00EC0F5A"/>
    <w:rsid w:val="00EC410F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E0739"/>
    <w:rsid w:val="00EF0B96"/>
    <w:rsid w:val="00EF3486"/>
    <w:rsid w:val="00EF47AF"/>
    <w:rsid w:val="00EF53B6"/>
    <w:rsid w:val="00EF56DB"/>
    <w:rsid w:val="00F00B73"/>
    <w:rsid w:val="00F05E2C"/>
    <w:rsid w:val="00F115CA"/>
    <w:rsid w:val="00F14817"/>
    <w:rsid w:val="00F14EBA"/>
    <w:rsid w:val="00F1510F"/>
    <w:rsid w:val="00F1533A"/>
    <w:rsid w:val="00F15E5A"/>
    <w:rsid w:val="00F17F0A"/>
    <w:rsid w:val="00F23D25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47CD"/>
    <w:rsid w:val="00F55BA8"/>
    <w:rsid w:val="00F55DB1"/>
    <w:rsid w:val="00F56ACA"/>
    <w:rsid w:val="00F600FE"/>
    <w:rsid w:val="00F62E4D"/>
    <w:rsid w:val="00F6506A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47C6"/>
    <w:rsid w:val="00F962CE"/>
    <w:rsid w:val="00F96D63"/>
    <w:rsid w:val="00FA13C2"/>
    <w:rsid w:val="00FA200D"/>
    <w:rsid w:val="00FA6575"/>
    <w:rsid w:val="00FA7F91"/>
    <w:rsid w:val="00FB121C"/>
    <w:rsid w:val="00FB1CDD"/>
    <w:rsid w:val="00FB1FBF"/>
    <w:rsid w:val="00FB2C2F"/>
    <w:rsid w:val="00FB305C"/>
    <w:rsid w:val="00FC12B6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A17"/>
    <w:rsid w:val="00FE0B3B"/>
    <w:rsid w:val="00FE1BE2"/>
    <w:rsid w:val="00FE730A"/>
    <w:rsid w:val="00FF1DD7"/>
    <w:rsid w:val="00FF4453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basedOn w:val="Domylnaczcionkaakapitu"/>
    <w:uiPriority w:val="99"/>
    <w:qFormat/>
    <w:rsid w:val="007320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204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C4009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7490B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97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86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8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oobsga2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l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8</TotalTime>
  <Pages>9</Pages>
  <Words>2716</Words>
  <Characters>16301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ZAWADZKI Kamil</cp:lastModifiedBy>
  <cp:revision>3</cp:revision>
  <cp:lastPrinted>2012-04-23T06:39:00Z</cp:lastPrinted>
  <dcterms:created xsi:type="dcterms:W3CDTF">2022-10-05T10:12:00Z</dcterms:created>
  <dcterms:modified xsi:type="dcterms:W3CDTF">2022-10-05T11:06:00Z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