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  <w:bookmarkStart w:id="0" w:name="_GoBack"/>
      <w:bookmarkEnd w:id="0"/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3F6F19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  <w:sz w:val="56"/>
          <w:szCs w:val="56"/>
        </w:rPr>
      </w:pPr>
    </w:p>
    <w:p w:rsidR="00BC1D53" w:rsidRPr="002A2C8D" w:rsidRDefault="001A143C" w:rsidP="008128F4">
      <w:pPr>
        <w:spacing w:line="300" w:lineRule="auto"/>
        <w:jc w:val="center"/>
        <w:rPr>
          <w:rFonts w:ascii="Arial" w:hAnsi="Arial" w:cs="Arial"/>
          <w:b/>
          <w:color w:val="244061" w:themeColor="accent1" w:themeShade="80"/>
          <w:sz w:val="56"/>
          <w:szCs w:val="56"/>
        </w:rPr>
      </w:pPr>
      <w:r w:rsidRPr="002A2C8D">
        <w:rPr>
          <w:rFonts w:ascii="Arial" w:hAnsi="Arial" w:cs="Arial"/>
          <w:b/>
          <w:color w:val="244061" w:themeColor="accent1" w:themeShade="80"/>
          <w:sz w:val="56"/>
          <w:szCs w:val="56"/>
        </w:rPr>
        <w:t>Postępowanie grupowe</w:t>
      </w:r>
    </w:p>
    <w:p w:rsidR="001A143C" w:rsidRPr="002A2C8D" w:rsidRDefault="001A143C" w:rsidP="00691099">
      <w:pPr>
        <w:spacing w:after="200" w:line="300" w:lineRule="auto"/>
        <w:jc w:val="center"/>
        <w:rPr>
          <w:rFonts w:ascii="Arial" w:hAnsi="Arial" w:cs="Arial"/>
          <w:b/>
          <w:i/>
          <w:color w:val="244061" w:themeColor="accent1" w:themeShade="80"/>
          <w:sz w:val="56"/>
          <w:szCs w:val="56"/>
        </w:rPr>
      </w:pPr>
      <w:proofErr w:type="gramStart"/>
      <w:r w:rsidRPr="002A2C8D">
        <w:rPr>
          <w:rFonts w:ascii="Arial" w:hAnsi="Arial" w:cs="Arial"/>
          <w:b/>
          <w:color w:val="244061" w:themeColor="accent1" w:themeShade="80"/>
          <w:sz w:val="56"/>
          <w:szCs w:val="56"/>
        </w:rPr>
        <w:t>w</w:t>
      </w:r>
      <w:proofErr w:type="gramEnd"/>
      <w:r w:rsidRPr="002A2C8D">
        <w:rPr>
          <w:rFonts w:ascii="Arial" w:hAnsi="Arial" w:cs="Arial"/>
          <w:b/>
          <w:color w:val="244061" w:themeColor="accent1" w:themeShade="80"/>
          <w:sz w:val="56"/>
          <w:szCs w:val="56"/>
        </w:rPr>
        <w:t xml:space="preserve"> modelu </w:t>
      </w:r>
      <w:r w:rsidRPr="002A2C8D">
        <w:rPr>
          <w:rFonts w:ascii="Arial" w:hAnsi="Arial" w:cs="Arial"/>
          <w:b/>
          <w:i/>
          <w:color w:val="244061" w:themeColor="accent1" w:themeShade="80"/>
          <w:sz w:val="56"/>
          <w:szCs w:val="56"/>
        </w:rPr>
        <w:t>opt-out</w:t>
      </w:r>
    </w:p>
    <w:p w:rsidR="00691099" w:rsidRPr="002A2C8D" w:rsidRDefault="00691099" w:rsidP="00691099">
      <w:pPr>
        <w:spacing w:after="200" w:line="300" w:lineRule="auto"/>
        <w:jc w:val="center"/>
        <w:rPr>
          <w:rFonts w:ascii="Arial" w:hAnsi="Arial" w:cs="Arial"/>
          <w:color w:val="244061" w:themeColor="accent1" w:themeShade="80"/>
          <w:sz w:val="56"/>
          <w:szCs w:val="56"/>
        </w:rPr>
      </w:pPr>
      <w:r w:rsidRPr="002A2C8D">
        <w:rPr>
          <w:rFonts w:ascii="Arial" w:hAnsi="Arial" w:cs="Arial"/>
          <w:b/>
          <w:i/>
          <w:color w:val="244061" w:themeColor="accent1" w:themeShade="80"/>
          <w:sz w:val="56"/>
          <w:szCs w:val="56"/>
        </w:rPr>
        <w:softHyphen/>
      </w:r>
      <w:r w:rsidRPr="002A2C8D">
        <w:rPr>
          <w:rFonts w:ascii="Arial" w:hAnsi="Arial" w:cs="Arial"/>
          <w:b/>
          <w:i/>
          <w:color w:val="244061" w:themeColor="accent1" w:themeShade="80"/>
          <w:sz w:val="56"/>
          <w:szCs w:val="56"/>
        </w:rPr>
        <w:softHyphen/>
      </w:r>
      <w:r w:rsidRPr="002A2C8D">
        <w:rPr>
          <w:rFonts w:ascii="Arial" w:hAnsi="Arial" w:cs="Arial"/>
          <w:b/>
          <w:i/>
          <w:color w:val="244061" w:themeColor="accent1" w:themeShade="80"/>
          <w:sz w:val="56"/>
          <w:szCs w:val="56"/>
        </w:rPr>
        <w:softHyphen/>
      </w:r>
      <w:r w:rsidR="008128F4" w:rsidRPr="002A2C8D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– </w:t>
      </w:r>
      <w:r w:rsidRPr="002A2C8D">
        <w:rPr>
          <w:rFonts w:ascii="Arial" w:hAnsi="Arial" w:cs="Arial"/>
          <w:b/>
          <w:i/>
          <w:color w:val="244061" w:themeColor="accent1" w:themeShade="80"/>
          <w:sz w:val="40"/>
          <w:szCs w:val="40"/>
        </w:rPr>
        <w:t>materiał do pre-konsultacji</w:t>
      </w: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 w:rsidRPr="002A2C8D">
        <w:rPr>
          <w:rFonts w:ascii="Arial" w:hAnsi="Arial" w:cs="Arial"/>
          <w:b/>
          <w:color w:val="244061" w:themeColor="accent1" w:themeShade="80"/>
          <w:sz w:val="36"/>
          <w:szCs w:val="36"/>
        </w:rPr>
        <w:t>Ministerstwo Rozwoju</w:t>
      </w:r>
    </w:p>
    <w:p w:rsidR="003F6F19" w:rsidRPr="002A2C8D" w:rsidRDefault="003F6F19" w:rsidP="00691099">
      <w:pPr>
        <w:spacing w:after="200" w:line="300" w:lineRule="auto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F6F19" w:rsidRPr="002A2C8D" w:rsidRDefault="003F6F19" w:rsidP="00691099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8128F4" w:rsidRPr="002A2C8D" w:rsidRDefault="003F6F19" w:rsidP="008128F4">
      <w:pPr>
        <w:spacing w:after="200" w:line="300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A2C8D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Warszawa, </w:t>
      </w:r>
      <w:r w:rsidR="001A143C" w:rsidRPr="002A2C8D">
        <w:rPr>
          <w:rFonts w:ascii="Arial" w:hAnsi="Arial" w:cs="Arial"/>
          <w:b/>
          <w:color w:val="244061" w:themeColor="accent1" w:themeShade="80"/>
          <w:sz w:val="28"/>
          <w:szCs w:val="28"/>
        </w:rPr>
        <w:t>lipiec</w:t>
      </w:r>
      <w:r w:rsidRPr="002A2C8D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2016 r.</w:t>
      </w:r>
    </w:p>
    <w:p w:rsidR="008128F4" w:rsidRPr="002A2C8D" w:rsidRDefault="008128F4" w:rsidP="008128F4">
      <w:pPr>
        <w:spacing w:after="200" w:line="30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bookmarkStart w:id="1" w:name="_Toc454539991"/>
    </w:p>
    <w:p w:rsidR="00D6069D" w:rsidRPr="002A2C8D" w:rsidRDefault="00D6069D" w:rsidP="00D6069D">
      <w:pPr>
        <w:pStyle w:val="Spistreci1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r w:rsidRPr="002A2C8D">
        <w:rPr>
          <w:rFonts w:ascii="Arial" w:hAnsi="Arial" w:cs="Arial"/>
          <w:b/>
          <w:color w:val="244061" w:themeColor="accent1" w:themeShade="80"/>
          <w:sz w:val="22"/>
          <w:szCs w:val="22"/>
        </w:rPr>
        <w:fldChar w:fldCharType="begin"/>
      </w:r>
      <w:r w:rsidRPr="002A2C8D">
        <w:rPr>
          <w:rFonts w:ascii="Arial" w:hAnsi="Arial" w:cs="Arial"/>
          <w:b/>
          <w:color w:val="244061" w:themeColor="accent1" w:themeShade="80"/>
          <w:sz w:val="22"/>
          <w:szCs w:val="22"/>
        </w:rPr>
        <w:instrText xml:space="preserve"> TOC \o "1-3" \h \z \t "AAA Pkt I;1;AAA Pkt 1;2" </w:instrText>
      </w:r>
      <w:r w:rsidRPr="002A2C8D">
        <w:rPr>
          <w:rFonts w:ascii="Arial" w:hAnsi="Arial" w:cs="Arial"/>
          <w:b/>
          <w:color w:val="244061" w:themeColor="accent1" w:themeShade="80"/>
          <w:sz w:val="22"/>
          <w:szCs w:val="22"/>
        </w:rPr>
        <w:fldChar w:fldCharType="separate"/>
      </w:r>
      <w:hyperlink w:anchor="_Toc455333812" w:history="1">
        <w:r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I.</w:t>
        </w:r>
        <w:r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Postępowanie grupowe – jakie są jego zalety?</w:t>
        </w:r>
        <w:r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_Toc455333812 \h </w:instrText>
        </w:r>
        <w:r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2</w:t>
        </w:r>
        <w:r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1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13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II.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 xml:space="preserve">Na czym polega model </w:t>
        </w:r>
        <w:r w:rsidR="00D6069D" w:rsidRPr="002A2C8D">
          <w:rPr>
            <w:rStyle w:val="Hipercze"/>
            <w:rFonts w:ascii="Arial" w:hAnsi="Arial" w:cs="Arial"/>
            <w:b/>
            <w:i/>
            <w:noProof/>
            <w:color w:val="244061" w:themeColor="accent1" w:themeShade="80"/>
            <w:sz w:val="22"/>
            <w:szCs w:val="22"/>
          </w:rPr>
          <w:t>opt-out</w:t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?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_Toc455333813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3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1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14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III.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 xml:space="preserve">Dlaczego warto dopuścić postępowanie grupowe w modelu </w:t>
        </w:r>
        <w:r w:rsidR="00D6069D" w:rsidRPr="002A2C8D">
          <w:rPr>
            <w:rStyle w:val="Hipercze"/>
            <w:rFonts w:ascii="Arial" w:hAnsi="Arial" w:cs="Arial"/>
            <w:b/>
            <w:i/>
            <w:noProof/>
            <w:color w:val="244061" w:themeColor="accent1" w:themeShade="80"/>
            <w:sz w:val="22"/>
            <w:szCs w:val="22"/>
          </w:rPr>
          <w:t>opt-out</w:t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?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_Toc455333814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3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1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15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 xml:space="preserve">Proponowane zasady wdrożenia modelu </w:t>
        </w:r>
        <w:r w:rsidR="00D6069D" w:rsidRPr="002A2C8D">
          <w:rPr>
            <w:rStyle w:val="Hipercze"/>
            <w:rFonts w:ascii="Arial" w:hAnsi="Arial" w:cs="Arial"/>
            <w:b/>
            <w:i/>
            <w:noProof/>
            <w:color w:val="244061" w:themeColor="accent1" w:themeShade="80"/>
            <w:sz w:val="22"/>
            <w:szCs w:val="22"/>
          </w:rPr>
          <w:t>opt-out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_Toc455333815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7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16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IV.1.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Zagadnienia ogólne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_Toc455333816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7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17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IV.2.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 xml:space="preserve">Ograniczenie zakresu przedmiotowego zastosowania modelu </w:t>
        </w:r>
        <w:r w:rsidR="00D6069D" w:rsidRPr="002A2C8D">
          <w:rPr>
            <w:rStyle w:val="Hipercze"/>
            <w:rFonts w:ascii="Arial" w:hAnsi="Arial" w:cs="Arial"/>
            <w:b/>
            <w:i/>
            <w:noProof/>
            <w:color w:val="244061" w:themeColor="accent1" w:themeShade="80"/>
            <w:sz w:val="22"/>
            <w:szCs w:val="22"/>
          </w:rPr>
          <w:t>opt-out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_Toc455333817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8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18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IV.3.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Kryterium drobnych roszczeń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_Toc455333818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9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19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IV.4.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Miejsce zamieszkania członków grupy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_Toc455333819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10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20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IV.5.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Reprezentacja grupy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_Toc455333820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10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21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IV.6.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Mediacja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_Toc455333821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10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22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IV.7.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Sąd właściwy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_Toc455333822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11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23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IV.8.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Procedura notyfikacji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_Toc455333823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11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24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IV.9.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Procedura dystrybucji zasądzanych środków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_Toc455333824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11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2"/>
        <w:tabs>
          <w:tab w:val="clear" w:pos="851"/>
          <w:tab w:val="left" w:pos="993"/>
          <w:tab w:val="left" w:pos="1100"/>
        </w:tabs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25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IV.10.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Podsumowanie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_Toc455333825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12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73797B" w:rsidP="00D6069D">
      <w:pPr>
        <w:pStyle w:val="Spistreci1"/>
        <w:rPr>
          <w:rFonts w:ascii="Arial" w:eastAsiaTheme="minorEastAsia" w:hAnsi="Arial" w:cs="Arial"/>
          <w:b/>
          <w:noProof/>
          <w:color w:val="244061" w:themeColor="accent1" w:themeShade="80"/>
          <w:sz w:val="22"/>
          <w:szCs w:val="22"/>
        </w:rPr>
      </w:pPr>
      <w:hyperlink w:anchor="_Toc455333826" w:history="1"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V.</w:t>
        </w:r>
        <w:r w:rsidR="00D6069D" w:rsidRPr="002A2C8D">
          <w:rPr>
            <w:rFonts w:ascii="Arial" w:eastAsiaTheme="minorEastAsia" w:hAnsi="Arial" w:cs="Arial"/>
            <w:b/>
            <w:noProof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Style w:val="Hipercze"/>
            <w:rFonts w:ascii="Arial" w:hAnsi="Arial" w:cs="Arial"/>
            <w:b/>
            <w:noProof/>
            <w:color w:val="244061" w:themeColor="accent1" w:themeShade="80"/>
            <w:sz w:val="22"/>
            <w:szCs w:val="22"/>
          </w:rPr>
          <w:t>Pytania do dyskusji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ab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begin"/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instrText xml:space="preserve"> PAGEREF _Toc455333826 \h </w:instrTex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separate"/>
        </w:r>
        <w:r w:rsidR="00843F1B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t>13</w:t>
        </w:r>
        <w:r w:rsidR="00D6069D" w:rsidRPr="002A2C8D">
          <w:rPr>
            <w:rFonts w:ascii="Arial" w:hAnsi="Arial" w:cs="Arial"/>
            <w:b/>
            <w:noProof/>
            <w:webHidden/>
            <w:color w:val="244061" w:themeColor="accent1" w:themeShade="80"/>
            <w:sz w:val="22"/>
            <w:szCs w:val="22"/>
          </w:rPr>
          <w:fldChar w:fldCharType="end"/>
        </w:r>
      </w:hyperlink>
    </w:p>
    <w:p w:rsidR="00D6069D" w:rsidRPr="002A2C8D" w:rsidRDefault="00D6069D" w:rsidP="00FB4504">
      <w:pPr>
        <w:pStyle w:val="AAAPktI"/>
      </w:pPr>
      <w:r w:rsidRPr="002A2C8D">
        <w:fldChar w:fldCharType="end"/>
      </w:r>
    </w:p>
    <w:p w:rsidR="00225FC2" w:rsidRPr="002A2C8D" w:rsidRDefault="001A143C" w:rsidP="00FB4504">
      <w:pPr>
        <w:pStyle w:val="AAAPktI"/>
      </w:pPr>
      <w:bookmarkStart w:id="2" w:name="_Toc455333812"/>
      <w:r w:rsidRPr="002A2C8D">
        <w:t>I.</w:t>
      </w:r>
      <w:r w:rsidRPr="002A2C8D">
        <w:tab/>
      </w:r>
      <w:bookmarkEnd w:id="1"/>
      <w:r w:rsidR="00BF1BF6" w:rsidRPr="002A2C8D">
        <w:t xml:space="preserve">Postępowanie </w:t>
      </w:r>
      <w:proofErr w:type="gramStart"/>
      <w:r w:rsidR="00BF1BF6" w:rsidRPr="002A2C8D">
        <w:t xml:space="preserve">grupowe – </w:t>
      </w:r>
      <w:r w:rsidR="00B525E8" w:rsidRPr="002A2C8D">
        <w:t>jakie</w:t>
      </w:r>
      <w:proofErr w:type="gramEnd"/>
      <w:r w:rsidR="00B525E8" w:rsidRPr="002A2C8D">
        <w:t xml:space="preserve"> są jego zalety</w:t>
      </w:r>
      <w:r w:rsidR="00BF1BF6" w:rsidRPr="002A2C8D">
        <w:t>?</w:t>
      </w:r>
      <w:bookmarkEnd w:id="2"/>
    </w:p>
    <w:p w:rsidR="001A143C" w:rsidRPr="002A2C8D" w:rsidRDefault="001A143C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Postępowanie grupowe uregulowane zostało w ustawie z dnia 17 grudnia 2009 r. o dochodzeniu roszczeń w postępowaniu grupowym</w:t>
      </w:r>
      <w:r w:rsidR="00A26D20" w:rsidRPr="002A2C8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A2C8D">
        <w:rPr>
          <w:rFonts w:ascii="Arial" w:hAnsi="Arial" w:cs="Arial"/>
          <w:sz w:val="22"/>
          <w:szCs w:val="22"/>
        </w:rPr>
        <w:t xml:space="preserve"> (dalej: „</w:t>
      </w:r>
      <w:r w:rsidR="00FC04EA" w:rsidRPr="002A2C8D">
        <w:rPr>
          <w:rFonts w:ascii="Arial" w:hAnsi="Arial" w:cs="Arial"/>
          <w:b/>
          <w:i/>
          <w:sz w:val="22"/>
          <w:szCs w:val="22"/>
        </w:rPr>
        <w:t>Ustawa</w:t>
      </w:r>
      <w:r w:rsidRPr="002A2C8D">
        <w:rPr>
          <w:rFonts w:ascii="Arial" w:hAnsi="Arial" w:cs="Arial"/>
          <w:sz w:val="22"/>
          <w:szCs w:val="22"/>
        </w:rPr>
        <w:t xml:space="preserve">”), która weszła w życie 19 lipca 2010 r.  </w:t>
      </w:r>
    </w:p>
    <w:p w:rsidR="00B525E8" w:rsidRPr="002A2C8D" w:rsidRDefault="0092764A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Ten tryb postępowania</w:t>
      </w:r>
      <w:r w:rsidR="00BF1BF6" w:rsidRPr="002A2C8D">
        <w:rPr>
          <w:rFonts w:ascii="Arial" w:hAnsi="Arial" w:cs="Arial"/>
          <w:sz w:val="22"/>
          <w:szCs w:val="22"/>
        </w:rPr>
        <w:t xml:space="preserve"> daje możliwość rozstrzygnięcia wielu podobnych spraw w jednym procesie</w:t>
      </w:r>
      <w:r w:rsidR="00B525E8" w:rsidRPr="002A2C8D">
        <w:rPr>
          <w:rFonts w:ascii="Arial" w:hAnsi="Arial" w:cs="Arial"/>
          <w:sz w:val="22"/>
          <w:szCs w:val="22"/>
        </w:rPr>
        <w:t xml:space="preserve"> cywilnym</w:t>
      </w:r>
      <w:r w:rsidR="00BF1BF6" w:rsidRPr="002A2C8D">
        <w:rPr>
          <w:rFonts w:ascii="Arial" w:hAnsi="Arial" w:cs="Arial"/>
          <w:sz w:val="22"/>
          <w:szCs w:val="22"/>
        </w:rPr>
        <w:t xml:space="preserve">. </w:t>
      </w:r>
      <w:r w:rsidR="00B525E8" w:rsidRPr="002A2C8D">
        <w:rPr>
          <w:rFonts w:ascii="Arial" w:hAnsi="Arial" w:cs="Arial"/>
          <w:sz w:val="22"/>
          <w:szCs w:val="22"/>
        </w:rPr>
        <w:t>Osoby</w:t>
      </w:r>
      <w:r w:rsidR="00B24379" w:rsidRPr="002A2C8D">
        <w:rPr>
          <w:rFonts w:ascii="Arial" w:hAnsi="Arial" w:cs="Arial"/>
          <w:sz w:val="22"/>
          <w:szCs w:val="22"/>
        </w:rPr>
        <w:t>, które zostały</w:t>
      </w:r>
      <w:r w:rsidR="00B525E8" w:rsidRPr="002A2C8D">
        <w:rPr>
          <w:rFonts w:ascii="Arial" w:hAnsi="Arial" w:cs="Arial"/>
          <w:sz w:val="22"/>
          <w:szCs w:val="22"/>
        </w:rPr>
        <w:t xml:space="preserve"> poszkodowane w podobnych okolicznościach – przykładowo, </w:t>
      </w:r>
      <w:r w:rsidR="00A26D20" w:rsidRPr="002A2C8D">
        <w:rPr>
          <w:rFonts w:ascii="Arial" w:hAnsi="Arial" w:cs="Arial"/>
          <w:sz w:val="22"/>
          <w:szCs w:val="22"/>
        </w:rPr>
        <w:t>na </w:t>
      </w:r>
      <w:r w:rsidR="00B525E8" w:rsidRPr="002A2C8D">
        <w:rPr>
          <w:rFonts w:ascii="Arial" w:hAnsi="Arial" w:cs="Arial"/>
          <w:sz w:val="22"/>
          <w:szCs w:val="22"/>
        </w:rPr>
        <w:t xml:space="preserve">skutek stosowania takiej samej, sprzecznej z prawem klauzuli umownej </w:t>
      </w:r>
      <w:r w:rsidRPr="002A2C8D">
        <w:rPr>
          <w:rFonts w:ascii="Arial" w:hAnsi="Arial" w:cs="Arial"/>
          <w:sz w:val="22"/>
          <w:szCs w:val="22"/>
        </w:rPr>
        <w:t>czy w wyniku katastrofy komunikacyjnej</w:t>
      </w:r>
      <w:r w:rsidR="00B525E8" w:rsidRPr="002A2C8D">
        <w:rPr>
          <w:rFonts w:ascii="Arial" w:hAnsi="Arial" w:cs="Arial"/>
          <w:sz w:val="22"/>
          <w:szCs w:val="22"/>
        </w:rPr>
        <w:t xml:space="preserve"> – mogą </w:t>
      </w:r>
      <w:r w:rsidR="001A27E8" w:rsidRPr="002A2C8D">
        <w:rPr>
          <w:rFonts w:ascii="Arial" w:hAnsi="Arial" w:cs="Arial"/>
          <w:sz w:val="22"/>
          <w:szCs w:val="22"/>
        </w:rPr>
        <w:t xml:space="preserve">w postępowaniu grupowym </w:t>
      </w:r>
      <w:r w:rsidR="00B525E8" w:rsidRPr="002A2C8D">
        <w:rPr>
          <w:rFonts w:ascii="Arial" w:hAnsi="Arial" w:cs="Arial"/>
          <w:sz w:val="22"/>
          <w:szCs w:val="22"/>
        </w:rPr>
        <w:t xml:space="preserve">wspólnie dochodzić odszkodowania od </w:t>
      </w:r>
      <w:r w:rsidRPr="002A2C8D">
        <w:rPr>
          <w:rFonts w:ascii="Arial" w:hAnsi="Arial" w:cs="Arial"/>
          <w:sz w:val="22"/>
          <w:szCs w:val="22"/>
        </w:rPr>
        <w:t>osoby odpowiedzialnej</w:t>
      </w:r>
      <w:r w:rsidR="00B525E8" w:rsidRPr="002A2C8D">
        <w:rPr>
          <w:rFonts w:ascii="Arial" w:hAnsi="Arial" w:cs="Arial"/>
          <w:sz w:val="22"/>
          <w:szCs w:val="22"/>
        </w:rPr>
        <w:t xml:space="preserve">. </w:t>
      </w:r>
    </w:p>
    <w:p w:rsidR="00BF1BF6" w:rsidRPr="002A2C8D" w:rsidRDefault="00BF1BF6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Wspólne dochodzenie podobnych roszczeń jest zwykle korzystniejsze dla uprawnionego </w:t>
      </w:r>
      <w:r w:rsidR="00A26D20" w:rsidRPr="002A2C8D">
        <w:rPr>
          <w:rFonts w:ascii="Arial" w:hAnsi="Arial" w:cs="Arial"/>
          <w:sz w:val="22"/>
          <w:szCs w:val="22"/>
        </w:rPr>
        <w:t>niż </w:t>
      </w:r>
      <w:r w:rsidRPr="002A2C8D">
        <w:rPr>
          <w:rFonts w:ascii="Arial" w:hAnsi="Arial" w:cs="Arial"/>
          <w:sz w:val="22"/>
          <w:szCs w:val="22"/>
        </w:rPr>
        <w:t xml:space="preserve">indywidualne występowanie z własnym roszczeniem. Postępowanie grupowe </w:t>
      </w:r>
      <w:proofErr w:type="gramStart"/>
      <w:r w:rsidRPr="002A2C8D">
        <w:rPr>
          <w:rFonts w:ascii="Arial" w:hAnsi="Arial" w:cs="Arial"/>
          <w:sz w:val="22"/>
          <w:szCs w:val="22"/>
        </w:rPr>
        <w:t>ułatwia zatem</w:t>
      </w:r>
      <w:proofErr w:type="gramEnd"/>
      <w:r w:rsidRPr="002A2C8D">
        <w:rPr>
          <w:rFonts w:ascii="Arial" w:hAnsi="Arial" w:cs="Arial"/>
          <w:sz w:val="22"/>
          <w:szCs w:val="22"/>
        </w:rPr>
        <w:t xml:space="preserve"> dostęp do sądu i czyni go mniej kosztownym, a przez to – zwiększa efektywność ochrony sądowej.</w:t>
      </w:r>
    </w:p>
    <w:p w:rsidR="00BF1BF6" w:rsidRPr="002A2C8D" w:rsidRDefault="00B24379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C</w:t>
      </w:r>
      <w:r w:rsidR="00BF1BF6" w:rsidRPr="002A2C8D">
        <w:rPr>
          <w:rFonts w:ascii="Arial" w:hAnsi="Arial" w:cs="Arial"/>
          <w:sz w:val="22"/>
          <w:szCs w:val="22"/>
        </w:rPr>
        <w:t>ele, które realizuje postępowanie grupowe</w:t>
      </w:r>
      <w:r w:rsidR="00A26D20" w:rsidRPr="002A2C8D">
        <w:rPr>
          <w:rFonts w:ascii="Arial" w:hAnsi="Arial" w:cs="Arial"/>
          <w:sz w:val="22"/>
          <w:szCs w:val="22"/>
        </w:rPr>
        <w:t>,</w:t>
      </w:r>
      <w:r w:rsidR="00BF1BF6" w:rsidRPr="002A2C8D">
        <w:rPr>
          <w:rFonts w:ascii="Arial" w:hAnsi="Arial" w:cs="Arial"/>
          <w:sz w:val="22"/>
          <w:szCs w:val="22"/>
        </w:rPr>
        <w:t xml:space="preserve"> są istotne nie tylko dla zainteresowanych stron sporu, ale także dla wymiaru sprawiedliwości. </w:t>
      </w:r>
      <w:r w:rsidR="001A27E8" w:rsidRPr="002A2C8D">
        <w:rPr>
          <w:rFonts w:ascii="Arial" w:hAnsi="Arial" w:cs="Arial"/>
          <w:sz w:val="22"/>
          <w:szCs w:val="22"/>
        </w:rPr>
        <w:t>Postępowanie grupowe</w:t>
      </w:r>
      <w:r w:rsidR="00BF1BF6" w:rsidRPr="002A2C8D">
        <w:rPr>
          <w:rFonts w:ascii="Arial" w:hAnsi="Arial" w:cs="Arial"/>
          <w:sz w:val="22"/>
          <w:szCs w:val="22"/>
        </w:rPr>
        <w:t xml:space="preserve"> z założenia </w:t>
      </w:r>
      <w:r w:rsidR="00B525E8" w:rsidRPr="002A2C8D">
        <w:rPr>
          <w:rFonts w:ascii="Arial" w:hAnsi="Arial" w:cs="Arial"/>
          <w:sz w:val="22"/>
          <w:szCs w:val="22"/>
        </w:rPr>
        <w:t>sprzyja</w:t>
      </w:r>
      <w:r w:rsidR="00BF1BF6" w:rsidRPr="002A2C8D">
        <w:rPr>
          <w:rFonts w:ascii="Arial" w:hAnsi="Arial" w:cs="Arial"/>
          <w:sz w:val="22"/>
          <w:szCs w:val="22"/>
        </w:rPr>
        <w:t xml:space="preserve"> ekonomii procesowej – </w:t>
      </w:r>
      <w:r w:rsidR="00B525E8" w:rsidRPr="002A2C8D">
        <w:rPr>
          <w:rFonts w:ascii="Arial" w:hAnsi="Arial" w:cs="Arial"/>
          <w:sz w:val="22"/>
          <w:szCs w:val="22"/>
        </w:rPr>
        <w:t>zamiast</w:t>
      </w:r>
      <w:r w:rsidR="00BF1BF6" w:rsidRPr="002A2C8D">
        <w:rPr>
          <w:rFonts w:ascii="Arial" w:hAnsi="Arial" w:cs="Arial"/>
          <w:sz w:val="22"/>
          <w:szCs w:val="22"/>
        </w:rPr>
        <w:t xml:space="preserve"> kilkudziesięciu czy nawet kilkuset </w:t>
      </w:r>
      <w:r w:rsidR="00B525E8" w:rsidRPr="002A2C8D">
        <w:rPr>
          <w:rFonts w:ascii="Arial" w:hAnsi="Arial" w:cs="Arial"/>
          <w:sz w:val="22"/>
          <w:szCs w:val="22"/>
        </w:rPr>
        <w:t>postępowań</w:t>
      </w:r>
      <w:r w:rsidR="00BF1BF6" w:rsidRPr="002A2C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1BF6" w:rsidRPr="002A2C8D">
        <w:rPr>
          <w:rFonts w:ascii="Arial" w:hAnsi="Arial" w:cs="Arial"/>
          <w:sz w:val="22"/>
          <w:szCs w:val="22"/>
        </w:rPr>
        <w:t>może bowiem</w:t>
      </w:r>
      <w:proofErr w:type="gramEnd"/>
      <w:r w:rsidR="00BF1BF6" w:rsidRPr="002A2C8D">
        <w:rPr>
          <w:rFonts w:ascii="Arial" w:hAnsi="Arial" w:cs="Arial"/>
          <w:sz w:val="22"/>
          <w:szCs w:val="22"/>
        </w:rPr>
        <w:t xml:space="preserve"> toczyć się </w:t>
      </w:r>
      <w:r w:rsidRPr="002A2C8D">
        <w:rPr>
          <w:rFonts w:ascii="Arial" w:hAnsi="Arial" w:cs="Arial"/>
          <w:sz w:val="22"/>
          <w:szCs w:val="22"/>
        </w:rPr>
        <w:t>jeden proces</w:t>
      </w:r>
      <w:r w:rsidR="00BF1BF6" w:rsidRPr="002A2C8D">
        <w:rPr>
          <w:rFonts w:ascii="Arial" w:hAnsi="Arial" w:cs="Arial"/>
          <w:sz w:val="22"/>
          <w:szCs w:val="22"/>
        </w:rPr>
        <w:t>.</w:t>
      </w:r>
      <w:r w:rsidR="0092764A" w:rsidRPr="002A2C8D">
        <w:rPr>
          <w:rFonts w:ascii="Arial" w:hAnsi="Arial" w:cs="Arial"/>
          <w:sz w:val="22"/>
          <w:szCs w:val="22"/>
        </w:rPr>
        <w:t xml:space="preserve"> Wszczynanie</w:t>
      </w:r>
      <w:r w:rsidR="00B525E8" w:rsidRPr="002A2C8D">
        <w:rPr>
          <w:rFonts w:ascii="Arial" w:hAnsi="Arial" w:cs="Arial"/>
          <w:sz w:val="22"/>
          <w:szCs w:val="22"/>
        </w:rPr>
        <w:t xml:space="preserve"> postępowań grupowych </w:t>
      </w:r>
      <w:proofErr w:type="gramStart"/>
      <w:r w:rsidR="00B525E8" w:rsidRPr="002A2C8D">
        <w:rPr>
          <w:rFonts w:ascii="Arial" w:hAnsi="Arial" w:cs="Arial"/>
          <w:sz w:val="22"/>
          <w:szCs w:val="22"/>
        </w:rPr>
        <w:t xml:space="preserve">skutkuje </w:t>
      </w:r>
      <w:r w:rsidR="0092764A" w:rsidRPr="002A2C8D">
        <w:rPr>
          <w:rFonts w:ascii="Arial" w:hAnsi="Arial" w:cs="Arial"/>
          <w:sz w:val="22"/>
          <w:szCs w:val="22"/>
        </w:rPr>
        <w:t>więc</w:t>
      </w:r>
      <w:proofErr w:type="gramEnd"/>
      <w:r w:rsidR="0092764A" w:rsidRPr="002A2C8D">
        <w:rPr>
          <w:rFonts w:ascii="Arial" w:hAnsi="Arial" w:cs="Arial"/>
          <w:sz w:val="22"/>
          <w:szCs w:val="22"/>
        </w:rPr>
        <w:t xml:space="preserve"> </w:t>
      </w:r>
      <w:r w:rsidR="00BF1BF6" w:rsidRPr="002A2C8D">
        <w:rPr>
          <w:rFonts w:ascii="Arial" w:hAnsi="Arial" w:cs="Arial"/>
          <w:sz w:val="22"/>
          <w:szCs w:val="22"/>
        </w:rPr>
        <w:t>odciążenie</w:t>
      </w:r>
      <w:r w:rsidR="00B525E8" w:rsidRPr="002A2C8D">
        <w:rPr>
          <w:rFonts w:ascii="Arial" w:hAnsi="Arial" w:cs="Arial"/>
          <w:sz w:val="22"/>
          <w:szCs w:val="22"/>
        </w:rPr>
        <w:t>m</w:t>
      </w:r>
      <w:r w:rsidR="00BF1BF6" w:rsidRPr="002A2C8D">
        <w:rPr>
          <w:rFonts w:ascii="Arial" w:hAnsi="Arial" w:cs="Arial"/>
          <w:sz w:val="22"/>
          <w:szCs w:val="22"/>
        </w:rPr>
        <w:t xml:space="preserve"> sądów </w:t>
      </w:r>
      <w:r w:rsidR="00A26D20" w:rsidRPr="002A2C8D">
        <w:rPr>
          <w:rFonts w:ascii="Arial" w:hAnsi="Arial" w:cs="Arial"/>
          <w:sz w:val="22"/>
          <w:szCs w:val="22"/>
        </w:rPr>
        <w:t>od </w:t>
      </w:r>
      <w:r w:rsidR="00BF1BF6" w:rsidRPr="002A2C8D">
        <w:rPr>
          <w:rFonts w:ascii="Arial" w:hAnsi="Arial" w:cs="Arial"/>
          <w:sz w:val="22"/>
          <w:szCs w:val="22"/>
        </w:rPr>
        <w:t xml:space="preserve">rozpatrywania podobnych spraw </w:t>
      </w:r>
      <w:r w:rsidRPr="002A2C8D">
        <w:rPr>
          <w:rFonts w:ascii="Arial" w:hAnsi="Arial" w:cs="Arial"/>
          <w:sz w:val="22"/>
          <w:szCs w:val="22"/>
        </w:rPr>
        <w:t>wielu</w:t>
      </w:r>
      <w:r w:rsidR="00BF1BF6" w:rsidRPr="002A2C8D">
        <w:rPr>
          <w:rFonts w:ascii="Arial" w:hAnsi="Arial" w:cs="Arial"/>
          <w:sz w:val="22"/>
          <w:szCs w:val="22"/>
        </w:rPr>
        <w:t xml:space="preserve"> podmiotów oraz zmniejszenie</w:t>
      </w:r>
      <w:r w:rsidR="00B525E8" w:rsidRPr="002A2C8D">
        <w:rPr>
          <w:rFonts w:ascii="Arial" w:hAnsi="Arial" w:cs="Arial"/>
          <w:sz w:val="22"/>
          <w:szCs w:val="22"/>
        </w:rPr>
        <w:t xml:space="preserve">m kosztów postępowania (choćby dzięki </w:t>
      </w:r>
      <w:r w:rsidR="00BF1BF6" w:rsidRPr="002A2C8D">
        <w:rPr>
          <w:rFonts w:ascii="Arial" w:hAnsi="Arial" w:cs="Arial"/>
          <w:sz w:val="22"/>
          <w:szCs w:val="22"/>
        </w:rPr>
        <w:t>wspólne</w:t>
      </w:r>
      <w:r w:rsidR="00B525E8" w:rsidRPr="002A2C8D">
        <w:rPr>
          <w:rFonts w:ascii="Arial" w:hAnsi="Arial" w:cs="Arial"/>
          <w:sz w:val="22"/>
          <w:szCs w:val="22"/>
        </w:rPr>
        <w:t>mu postępowaniu</w:t>
      </w:r>
      <w:r w:rsidR="00BF1BF6" w:rsidRPr="002A2C8D">
        <w:rPr>
          <w:rFonts w:ascii="Arial" w:hAnsi="Arial" w:cs="Arial"/>
          <w:sz w:val="22"/>
          <w:szCs w:val="22"/>
        </w:rPr>
        <w:t xml:space="preserve"> dowodowe</w:t>
      </w:r>
      <w:r w:rsidR="00B525E8" w:rsidRPr="002A2C8D">
        <w:rPr>
          <w:rFonts w:ascii="Arial" w:hAnsi="Arial" w:cs="Arial"/>
          <w:sz w:val="22"/>
          <w:szCs w:val="22"/>
        </w:rPr>
        <w:t>mu</w:t>
      </w:r>
      <w:r w:rsidR="00BF1BF6" w:rsidRPr="002A2C8D">
        <w:rPr>
          <w:rFonts w:ascii="Arial" w:hAnsi="Arial" w:cs="Arial"/>
          <w:sz w:val="22"/>
          <w:szCs w:val="22"/>
        </w:rPr>
        <w:t xml:space="preserve">).  </w:t>
      </w:r>
    </w:p>
    <w:p w:rsidR="00BF1BF6" w:rsidRPr="002A2C8D" w:rsidRDefault="0092764A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P</w:t>
      </w:r>
      <w:r w:rsidR="00B525E8" w:rsidRPr="002A2C8D">
        <w:rPr>
          <w:rFonts w:ascii="Arial" w:hAnsi="Arial" w:cs="Arial"/>
          <w:sz w:val="22"/>
          <w:szCs w:val="22"/>
        </w:rPr>
        <w:t xml:space="preserve">ostępowanie grupowe pozwala </w:t>
      </w:r>
      <w:r w:rsidRPr="002A2C8D">
        <w:rPr>
          <w:rFonts w:ascii="Arial" w:hAnsi="Arial" w:cs="Arial"/>
          <w:sz w:val="22"/>
          <w:szCs w:val="22"/>
        </w:rPr>
        <w:t xml:space="preserve">także </w:t>
      </w:r>
      <w:r w:rsidR="00B525E8" w:rsidRPr="002A2C8D">
        <w:rPr>
          <w:rFonts w:ascii="Arial" w:hAnsi="Arial" w:cs="Arial"/>
          <w:sz w:val="22"/>
          <w:szCs w:val="22"/>
        </w:rPr>
        <w:t>na</w:t>
      </w:r>
      <w:r w:rsidR="00BF1BF6" w:rsidRPr="002A2C8D">
        <w:rPr>
          <w:rFonts w:ascii="Arial" w:hAnsi="Arial" w:cs="Arial"/>
          <w:sz w:val="22"/>
          <w:szCs w:val="22"/>
        </w:rPr>
        <w:t xml:space="preserve"> ujednolic</w:t>
      </w:r>
      <w:r w:rsidR="00B525E8" w:rsidRPr="002A2C8D">
        <w:rPr>
          <w:rFonts w:ascii="Arial" w:hAnsi="Arial" w:cs="Arial"/>
          <w:sz w:val="22"/>
          <w:szCs w:val="22"/>
        </w:rPr>
        <w:t>e</w:t>
      </w:r>
      <w:r w:rsidR="00BF1BF6" w:rsidRPr="002A2C8D">
        <w:rPr>
          <w:rFonts w:ascii="Arial" w:hAnsi="Arial" w:cs="Arial"/>
          <w:sz w:val="22"/>
          <w:szCs w:val="22"/>
        </w:rPr>
        <w:t>ni</w:t>
      </w:r>
      <w:r w:rsidR="00B525E8" w:rsidRPr="002A2C8D">
        <w:rPr>
          <w:rFonts w:ascii="Arial" w:hAnsi="Arial" w:cs="Arial"/>
          <w:sz w:val="22"/>
          <w:szCs w:val="22"/>
        </w:rPr>
        <w:t>e</w:t>
      </w:r>
      <w:r w:rsidR="00BF1BF6" w:rsidRPr="002A2C8D">
        <w:rPr>
          <w:rFonts w:ascii="Arial" w:hAnsi="Arial" w:cs="Arial"/>
          <w:sz w:val="22"/>
          <w:szCs w:val="22"/>
        </w:rPr>
        <w:t xml:space="preserve"> rozstrzygnięć w podobnych sprawach.</w:t>
      </w:r>
    </w:p>
    <w:p w:rsidR="001A143C" w:rsidRPr="002A2C8D" w:rsidRDefault="0092764A" w:rsidP="00FB4504">
      <w:pPr>
        <w:pStyle w:val="AAAPktI"/>
      </w:pPr>
      <w:bookmarkStart w:id="3" w:name="_Toc455333813"/>
      <w:r w:rsidRPr="002A2C8D">
        <w:lastRenderedPageBreak/>
        <w:t>II.</w:t>
      </w:r>
      <w:r w:rsidRPr="002A2C8D">
        <w:tab/>
      </w:r>
      <w:proofErr w:type="gramStart"/>
      <w:r w:rsidRPr="002A2C8D">
        <w:t>Na czym</w:t>
      </w:r>
      <w:proofErr w:type="gramEnd"/>
      <w:r w:rsidRPr="002A2C8D">
        <w:t xml:space="preserve"> polega model </w:t>
      </w:r>
      <w:r w:rsidRPr="002A2C8D">
        <w:rPr>
          <w:i/>
        </w:rPr>
        <w:t>opt-out</w:t>
      </w:r>
      <w:r w:rsidRPr="002A2C8D">
        <w:t>?</w:t>
      </w:r>
      <w:bookmarkEnd w:id="3"/>
    </w:p>
    <w:p w:rsidR="00FC04EA" w:rsidRPr="002A2C8D" w:rsidRDefault="00FC04EA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Systemy prawne krajów </w:t>
      </w:r>
      <w:r w:rsidR="001A27E8" w:rsidRPr="002A2C8D">
        <w:rPr>
          <w:rFonts w:ascii="Arial" w:hAnsi="Arial" w:cs="Arial"/>
          <w:sz w:val="22"/>
          <w:szCs w:val="22"/>
        </w:rPr>
        <w:t xml:space="preserve">europejskich </w:t>
      </w:r>
      <w:r w:rsidRPr="002A2C8D">
        <w:rPr>
          <w:rFonts w:ascii="Arial" w:hAnsi="Arial" w:cs="Arial"/>
          <w:sz w:val="22"/>
          <w:szCs w:val="22"/>
        </w:rPr>
        <w:t xml:space="preserve">przewidują różnorodne zasady wspólnego dochodzenia podobnych roszczeń. Można je podzielić na rozwiązania, które opierają się na modelu </w:t>
      </w:r>
      <w:r w:rsidRPr="002A2C8D">
        <w:rPr>
          <w:rFonts w:ascii="Arial" w:hAnsi="Arial" w:cs="Arial"/>
          <w:i/>
          <w:sz w:val="22"/>
          <w:szCs w:val="22"/>
        </w:rPr>
        <w:t>opt-in</w:t>
      </w:r>
      <w:r w:rsidRPr="002A2C8D">
        <w:rPr>
          <w:rFonts w:ascii="Arial" w:hAnsi="Arial" w:cs="Arial"/>
          <w:sz w:val="22"/>
          <w:szCs w:val="22"/>
        </w:rPr>
        <w:t xml:space="preserve"> </w:t>
      </w:r>
      <w:r w:rsidR="00A26D20" w:rsidRPr="002A2C8D">
        <w:rPr>
          <w:rFonts w:ascii="Arial" w:hAnsi="Arial" w:cs="Arial"/>
          <w:sz w:val="22"/>
          <w:szCs w:val="22"/>
        </w:rPr>
        <w:t>oraz </w:t>
      </w:r>
      <w:r w:rsidRPr="002A2C8D">
        <w:rPr>
          <w:rFonts w:ascii="Arial" w:hAnsi="Arial" w:cs="Arial"/>
          <w:sz w:val="22"/>
          <w:szCs w:val="22"/>
        </w:rPr>
        <w:t xml:space="preserve">takie, które przyjmują model </w:t>
      </w:r>
      <w:r w:rsidRPr="002A2C8D">
        <w:rPr>
          <w:rFonts w:ascii="Arial" w:hAnsi="Arial" w:cs="Arial"/>
          <w:i/>
          <w:sz w:val="22"/>
          <w:szCs w:val="22"/>
        </w:rPr>
        <w:t>opt-out</w:t>
      </w:r>
      <w:r w:rsidRPr="002A2C8D">
        <w:rPr>
          <w:rFonts w:ascii="Arial" w:hAnsi="Arial" w:cs="Arial"/>
          <w:sz w:val="22"/>
          <w:szCs w:val="22"/>
        </w:rPr>
        <w:t>. K</w:t>
      </w:r>
      <w:r w:rsidR="001A143C" w:rsidRPr="002A2C8D">
        <w:rPr>
          <w:rFonts w:ascii="Arial" w:hAnsi="Arial" w:cs="Arial"/>
          <w:sz w:val="22"/>
          <w:szCs w:val="22"/>
        </w:rPr>
        <w:t xml:space="preserve">ryterium </w:t>
      </w:r>
      <w:r w:rsidRPr="002A2C8D">
        <w:rPr>
          <w:rFonts w:ascii="Arial" w:hAnsi="Arial" w:cs="Arial"/>
          <w:sz w:val="22"/>
          <w:szCs w:val="22"/>
        </w:rPr>
        <w:t xml:space="preserve">tego </w:t>
      </w:r>
      <w:r w:rsidR="001A143C" w:rsidRPr="002A2C8D">
        <w:rPr>
          <w:rFonts w:ascii="Arial" w:hAnsi="Arial" w:cs="Arial"/>
          <w:sz w:val="22"/>
          <w:szCs w:val="22"/>
        </w:rPr>
        <w:t xml:space="preserve">podziału </w:t>
      </w:r>
      <w:r w:rsidR="00B24379" w:rsidRPr="002A2C8D">
        <w:rPr>
          <w:rFonts w:ascii="Arial" w:hAnsi="Arial" w:cs="Arial"/>
          <w:sz w:val="22"/>
          <w:szCs w:val="22"/>
        </w:rPr>
        <w:t>stanowi</w:t>
      </w:r>
      <w:r w:rsidR="001A143C" w:rsidRPr="002A2C8D">
        <w:rPr>
          <w:rFonts w:ascii="Arial" w:hAnsi="Arial" w:cs="Arial"/>
          <w:sz w:val="22"/>
          <w:szCs w:val="22"/>
        </w:rPr>
        <w:t xml:space="preserve"> sposób </w:t>
      </w:r>
      <w:r w:rsidR="00B24379" w:rsidRPr="002A2C8D">
        <w:rPr>
          <w:rFonts w:ascii="Arial" w:hAnsi="Arial" w:cs="Arial"/>
          <w:sz w:val="22"/>
          <w:szCs w:val="22"/>
        </w:rPr>
        <w:t>kształtowania (zebrania) grupy, czyli</w:t>
      </w:r>
      <w:r w:rsidR="001A143C" w:rsidRPr="002A2C8D">
        <w:rPr>
          <w:rFonts w:ascii="Arial" w:hAnsi="Arial" w:cs="Arial"/>
          <w:sz w:val="22"/>
          <w:szCs w:val="22"/>
        </w:rPr>
        <w:t xml:space="preserve"> podmiotów</w:t>
      </w:r>
      <w:r w:rsidR="00A26D20" w:rsidRPr="002A2C8D">
        <w:rPr>
          <w:rFonts w:ascii="Arial" w:hAnsi="Arial" w:cs="Arial"/>
          <w:sz w:val="22"/>
          <w:szCs w:val="22"/>
        </w:rPr>
        <w:t>,</w:t>
      </w:r>
      <w:r w:rsidR="001A143C" w:rsidRPr="002A2C8D">
        <w:rPr>
          <w:rFonts w:ascii="Arial" w:hAnsi="Arial" w:cs="Arial"/>
          <w:sz w:val="22"/>
          <w:szCs w:val="22"/>
        </w:rPr>
        <w:t xml:space="preserve"> </w:t>
      </w:r>
      <w:r w:rsidRPr="002A2C8D">
        <w:rPr>
          <w:rFonts w:ascii="Arial" w:hAnsi="Arial" w:cs="Arial"/>
          <w:sz w:val="22"/>
          <w:szCs w:val="22"/>
        </w:rPr>
        <w:t>w których imieniu</w:t>
      </w:r>
      <w:r w:rsidR="001A143C" w:rsidRPr="002A2C8D">
        <w:rPr>
          <w:rFonts w:ascii="Arial" w:hAnsi="Arial" w:cs="Arial"/>
          <w:sz w:val="22"/>
          <w:szCs w:val="22"/>
        </w:rPr>
        <w:t xml:space="preserve"> jest prowadzone</w:t>
      </w:r>
      <w:r w:rsidRPr="002A2C8D">
        <w:rPr>
          <w:rFonts w:ascii="Arial" w:hAnsi="Arial" w:cs="Arial"/>
          <w:sz w:val="22"/>
          <w:szCs w:val="22"/>
        </w:rPr>
        <w:t xml:space="preserve"> postępowanie</w:t>
      </w:r>
      <w:r w:rsidR="001A143C" w:rsidRPr="002A2C8D">
        <w:rPr>
          <w:rFonts w:ascii="Arial" w:hAnsi="Arial" w:cs="Arial"/>
          <w:sz w:val="22"/>
          <w:szCs w:val="22"/>
        </w:rPr>
        <w:t xml:space="preserve">. </w:t>
      </w:r>
    </w:p>
    <w:p w:rsidR="00FC04EA" w:rsidRPr="002A2C8D" w:rsidRDefault="00FC04EA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b/>
          <w:sz w:val="22"/>
          <w:szCs w:val="22"/>
        </w:rPr>
        <w:t xml:space="preserve">Model </w:t>
      </w:r>
      <w:r w:rsidRPr="002A2C8D">
        <w:rPr>
          <w:rFonts w:ascii="Arial" w:hAnsi="Arial" w:cs="Arial"/>
          <w:b/>
          <w:i/>
          <w:sz w:val="22"/>
          <w:szCs w:val="22"/>
        </w:rPr>
        <w:t>opt-in</w:t>
      </w:r>
      <w:r w:rsidR="001A143C" w:rsidRPr="002A2C8D">
        <w:rPr>
          <w:rFonts w:ascii="Arial" w:hAnsi="Arial" w:cs="Arial"/>
          <w:sz w:val="22"/>
          <w:szCs w:val="22"/>
        </w:rPr>
        <w:t xml:space="preserve"> zakłada, że grupa </w:t>
      </w:r>
      <w:r w:rsidRPr="002A2C8D">
        <w:rPr>
          <w:rFonts w:ascii="Arial" w:hAnsi="Arial" w:cs="Arial"/>
          <w:sz w:val="22"/>
          <w:szCs w:val="22"/>
        </w:rPr>
        <w:t>zostaje utworzona</w:t>
      </w:r>
      <w:r w:rsidR="001A143C" w:rsidRPr="002A2C8D">
        <w:rPr>
          <w:rFonts w:ascii="Arial" w:hAnsi="Arial" w:cs="Arial"/>
          <w:sz w:val="22"/>
          <w:szCs w:val="22"/>
        </w:rPr>
        <w:t xml:space="preserve"> </w:t>
      </w:r>
      <w:r w:rsidRPr="002A2C8D">
        <w:rPr>
          <w:rFonts w:ascii="Arial" w:hAnsi="Arial" w:cs="Arial"/>
          <w:sz w:val="22"/>
          <w:szCs w:val="22"/>
        </w:rPr>
        <w:t>po</w:t>
      </w:r>
      <w:r w:rsidR="001A143C" w:rsidRPr="002A2C8D">
        <w:rPr>
          <w:rFonts w:ascii="Arial" w:hAnsi="Arial" w:cs="Arial"/>
          <w:sz w:val="22"/>
          <w:szCs w:val="22"/>
        </w:rPr>
        <w:t xml:space="preserve">przez </w:t>
      </w:r>
      <w:r w:rsidR="001A143C" w:rsidRPr="002A2C8D">
        <w:rPr>
          <w:rFonts w:ascii="Arial" w:hAnsi="Arial" w:cs="Arial"/>
          <w:b/>
          <w:sz w:val="22"/>
          <w:szCs w:val="22"/>
        </w:rPr>
        <w:t>wyraź</w:t>
      </w:r>
      <w:r w:rsidRPr="002A2C8D">
        <w:rPr>
          <w:rFonts w:ascii="Arial" w:hAnsi="Arial" w:cs="Arial"/>
          <w:b/>
          <w:sz w:val="22"/>
          <w:szCs w:val="22"/>
        </w:rPr>
        <w:t>ne oświadczenia</w:t>
      </w:r>
      <w:r w:rsidRPr="002A2C8D">
        <w:rPr>
          <w:rFonts w:ascii="Arial" w:hAnsi="Arial" w:cs="Arial"/>
          <w:sz w:val="22"/>
          <w:szCs w:val="22"/>
        </w:rPr>
        <w:t xml:space="preserve"> </w:t>
      </w:r>
      <w:r w:rsidR="000C7C2D" w:rsidRPr="002A2C8D">
        <w:rPr>
          <w:rFonts w:ascii="Arial" w:hAnsi="Arial" w:cs="Arial"/>
          <w:sz w:val="22"/>
          <w:szCs w:val="22"/>
        </w:rPr>
        <w:t xml:space="preserve">uprawnionych podmiotów </w:t>
      </w:r>
      <w:r w:rsidR="001A143C" w:rsidRPr="002A2C8D">
        <w:rPr>
          <w:rFonts w:ascii="Arial" w:hAnsi="Arial" w:cs="Arial"/>
          <w:sz w:val="22"/>
          <w:szCs w:val="22"/>
        </w:rPr>
        <w:t xml:space="preserve">o </w:t>
      </w:r>
      <w:r w:rsidRPr="002A2C8D">
        <w:rPr>
          <w:rFonts w:ascii="Arial" w:hAnsi="Arial" w:cs="Arial"/>
          <w:sz w:val="22"/>
          <w:szCs w:val="22"/>
        </w:rPr>
        <w:t>woli</w:t>
      </w:r>
      <w:r w:rsidR="001A143C" w:rsidRPr="002A2C8D">
        <w:rPr>
          <w:rFonts w:ascii="Arial" w:hAnsi="Arial" w:cs="Arial"/>
          <w:sz w:val="22"/>
          <w:szCs w:val="22"/>
        </w:rPr>
        <w:t xml:space="preserve"> objęcia ich postępowaniem grupowym – jego skutkami </w:t>
      </w:r>
      <w:r w:rsidR="002C0D05" w:rsidRPr="002A2C8D">
        <w:rPr>
          <w:rFonts w:ascii="Arial" w:hAnsi="Arial" w:cs="Arial"/>
          <w:sz w:val="22"/>
          <w:szCs w:val="22"/>
        </w:rPr>
        <w:t>w sferze prawa procesowego i materialnego</w:t>
      </w:r>
      <w:r w:rsidR="001A143C" w:rsidRPr="002A2C8D">
        <w:rPr>
          <w:rFonts w:ascii="Arial" w:hAnsi="Arial" w:cs="Arial"/>
          <w:sz w:val="22"/>
          <w:szCs w:val="22"/>
        </w:rPr>
        <w:t xml:space="preserve">. </w:t>
      </w:r>
      <w:r w:rsidRPr="002A2C8D">
        <w:rPr>
          <w:rFonts w:ascii="Arial" w:hAnsi="Arial" w:cs="Arial"/>
          <w:sz w:val="22"/>
          <w:szCs w:val="22"/>
        </w:rPr>
        <w:t>Na takim założeniu opiera się postępowanie grupowe uregulowane obecnie w polskiej Ustawie</w:t>
      </w:r>
      <w:r w:rsidR="002C0D05" w:rsidRPr="002A2C8D">
        <w:rPr>
          <w:rFonts w:ascii="Arial" w:hAnsi="Arial" w:cs="Arial"/>
          <w:sz w:val="22"/>
          <w:szCs w:val="22"/>
        </w:rPr>
        <w:t>. T</w:t>
      </w:r>
      <w:r w:rsidRPr="002A2C8D">
        <w:rPr>
          <w:rFonts w:ascii="Arial" w:hAnsi="Arial" w:cs="Arial"/>
          <w:sz w:val="22"/>
          <w:szCs w:val="22"/>
        </w:rPr>
        <w:t xml:space="preserve">ylko osoby, które złożą pisemne oświadczenie o przystąpieniu </w:t>
      </w:r>
      <w:r w:rsidR="00A26D20" w:rsidRPr="002A2C8D">
        <w:rPr>
          <w:rFonts w:ascii="Arial" w:hAnsi="Arial" w:cs="Arial"/>
          <w:sz w:val="22"/>
          <w:szCs w:val="22"/>
        </w:rPr>
        <w:t>do </w:t>
      </w:r>
      <w:r w:rsidRPr="002A2C8D">
        <w:rPr>
          <w:rFonts w:ascii="Arial" w:hAnsi="Arial" w:cs="Arial"/>
          <w:sz w:val="22"/>
          <w:szCs w:val="22"/>
        </w:rPr>
        <w:t>grupy</w:t>
      </w:r>
      <w:r w:rsidR="000C7C2D" w:rsidRPr="002A2C8D">
        <w:rPr>
          <w:rFonts w:ascii="Arial" w:hAnsi="Arial" w:cs="Arial"/>
          <w:sz w:val="22"/>
          <w:szCs w:val="22"/>
        </w:rPr>
        <w:t xml:space="preserve"> (zob. art. 6 ust. 2 i art. 12 Ustawy)</w:t>
      </w:r>
      <w:r w:rsidRPr="002A2C8D">
        <w:rPr>
          <w:rFonts w:ascii="Arial" w:hAnsi="Arial" w:cs="Arial"/>
          <w:sz w:val="22"/>
          <w:szCs w:val="22"/>
        </w:rPr>
        <w:t xml:space="preserve">, stają się jej członkami i tylko na ich rzecz może toczyć się postępowanie grupowe. Żadna osoba, która nie złożyła takiego oświadczenia w stosownym czasie – tj. do momentu wydania postanowienia w przedmiocie składu grupy </w:t>
      </w:r>
      <w:r w:rsidR="000C7C2D" w:rsidRPr="002A2C8D">
        <w:rPr>
          <w:rFonts w:ascii="Arial" w:hAnsi="Arial" w:cs="Arial"/>
          <w:sz w:val="22"/>
          <w:szCs w:val="22"/>
        </w:rPr>
        <w:t xml:space="preserve">(zob. art. 17 ust. 3 Ustawy) </w:t>
      </w:r>
      <w:r w:rsidRPr="002A2C8D">
        <w:rPr>
          <w:rFonts w:ascii="Arial" w:hAnsi="Arial" w:cs="Arial"/>
          <w:sz w:val="22"/>
          <w:szCs w:val="22"/>
        </w:rPr>
        <w:t>– nie zostaje objęta skutkami wyroku wydanego w postępowaniu grupowym.</w:t>
      </w:r>
      <w:r w:rsidR="002C0D05" w:rsidRPr="002A2C8D">
        <w:rPr>
          <w:rFonts w:ascii="Arial" w:hAnsi="Arial" w:cs="Arial"/>
          <w:sz w:val="22"/>
          <w:szCs w:val="22"/>
        </w:rPr>
        <w:t xml:space="preserve"> U</w:t>
      </w:r>
      <w:r w:rsidR="00B24379" w:rsidRPr="002A2C8D">
        <w:rPr>
          <w:rFonts w:ascii="Arial" w:hAnsi="Arial" w:cs="Arial"/>
          <w:sz w:val="22"/>
          <w:szCs w:val="22"/>
        </w:rPr>
        <w:t>dział w </w:t>
      </w:r>
      <w:r w:rsidR="002C0D05" w:rsidRPr="002A2C8D">
        <w:rPr>
          <w:rFonts w:ascii="Arial" w:hAnsi="Arial" w:cs="Arial"/>
          <w:sz w:val="22"/>
          <w:szCs w:val="22"/>
        </w:rPr>
        <w:t xml:space="preserve">postępowaniu grupowym w modelu </w:t>
      </w:r>
      <w:r w:rsidR="002C0D05" w:rsidRPr="002A2C8D">
        <w:rPr>
          <w:rFonts w:ascii="Arial" w:hAnsi="Arial" w:cs="Arial"/>
          <w:i/>
          <w:sz w:val="22"/>
          <w:szCs w:val="22"/>
        </w:rPr>
        <w:t>opt-in</w:t>
      </w:r>
      <w:r w:rsidR="002C0D05" w:rsidRPr="002A2C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C0D05" w:rsidRPr="002A2C8D">
        <w:rPr>
          <w:rFonts w:ascii="Arial" w:hAnsi="Arial" w:cs="Arial"/>
          <w:sz w:val="22"/>
          <w:szCs w:val="22"/>
        </w:rPr>
        <w:t>wymaga zatem</w:t>
      </w:r>
      <w:proofErr w:type="gramEnd"/>
      <w:r w:rsidR="002C0D05" w:rsidRPr="002A2C8D">
        <w:rPr>
          <w:rFonts w:ascii="Arial" w:hAnsi="Arial" w:cs="Arial"/>
          <w:sz w:val="22"/>
          <w:szCs w:val="22"/>
        </w:rPr>
        <w:t xml:space="preserve"> aktywnej postawy osób, </w:t>
      </w:r>
      <w:r w:rsidR="00A26D20" w:rsidRPr="002A2C8D">
        <w:rPr>
          <w:rFonts w:ascii="Arial" w:hAnsi="Arial" w:cs="Arial"/>
          <w:sz w:val="22"/>
          <w:szCs w:val="22"/>
        </w:rPr>
        <w:t>które </w:t>
      </w:r>
      <w:r w:rsidR="002C0D05" w:rsidRPr="002A2C8D">
        <w:rPr>
          <w:rFonts w:ascii="Arial" w:hAnsi="Arial" w:cs="Arial"/>
          <w:sz w:val="22"/>
          <w:szCs w:val="22"/>
        </w:rPr>
        <w:t xml:space="preserve">potencjalnie mogą być członkami grupy oraz spełnienia </w:t>
      </w:r>
      <w:r w:rsidR="000C7C2D" w:rsidRPr="002A2C8D">
        <w:rPr>
          <w:rFonts w:ascii="Arial" w:hAnsi="Arial" w:cs="Arial"/>
          <w:sz w:val="22"/>
          <w:szCs w:val="22"/>
        </w:rPr>
        <w:t xml:space="preserve">przez nie </w:t>
      </w:r>
      <w:r w:rsidR="001A27E8" w:rsidRPr="002A2C8D">
        <w:rPr>
          <w:rFonts w:ascii="Arial" w:hAnsi="Arial" w:cs="Arial"/>
          <w:sz w:val="22"/>
          <w:szCs w:val="22"/>
        </w:rPr>
        <w:t>szeregu</w:t>
      </w:r>
      <w:r w:rsidR="002C0D05" w:rsidRPr="002A2C8D">
        <w:rPr>
          <w:rFonts w:ascii="Arial" w:hAnsi="Arial" w:cs="Arial"/>
          <w:sz w:val="22"/>
          <w:szCs w:val="22"/>
        </w:rPr>
        <w:t xml:space="preserve"> formalności. </w:t>
      </w:r>
    </w:p>
    <w:p w:rsidR="00FC04EA" w:rsidRPr="002A2C8D" w:rsidRDefault="002C0D05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Pozew zbiorowy oparty na modelu </w:t>
      </w:r>
      <w:r w:rsidRPr="002A2C8D">
        <w:rPr>
          <w:rFonts w:ascii="Arial" w:hAnsi="Arial" w:cs="Arial"/>
          <w:i/>
          <w:sz w:val="22"/>
          <w:szCs w:val="22"/>
        </w:rPr>
        <w:t>opt-in</w:t>
      </w:r>
      <w:r w:rsidRPr="002A2C8D">
        <w:rPr>
          <w:rFonts w:ascii="Arial" w:hAnsi="Arial" w:cs="Arial"/>
          <w:sz w:val="22"/>
          <w:szCs w:val="22"/>
        </w:rPr>
        <w:t xml:space="preserve"> przewidziano</w:t>
      </w:r>
      <w:r w:rsidR="00FC04EA" w:rsidRPr="002A2C8D">
        <w:rPr>
          <w:rFonts w:ascii="Arial" w:hAnsi="Arial" w:cs="Arial"/>
          <w:sz w:val="22"/>
          <w:szCs w:val="22"/>
        </w:rPr>
        <w:t xml:space="preserve"> </w:t>
      </w:r>
      <w:r w:rsidR="000C7C2D" w:rsidRPr="002A2C8D">
        <w:rPr>
          <w:rFonts w:ascii="Arial" w:hAnsi="Arial" w:cs="Arial"/>
          <w:sz w:val="22"/>
          <w:szCs w:val="22"/>
        </w:rPr>
        <w:t xml:space="preserve">także </w:t>
      </w:r>
      <w:r w:rsidR="00FC04EA" w:rsidRPr="002A2C8D">
        <w:rPr>
          <w:rFonts w:ascii="Arial" w:hAnsi="Arial" w:cs="Arial"/>
          <w:sz w:val="22"/>
          <w:szCs w:val="22"/>
        </w:rPr>
        <w:t xml:space="preserve">m.in. </w:t>
      </w:r>
      <w:r w:rsidR="001A143C" w:rsidRPr="002A2C8D">
        <w:rPr>
          <w:rFonts w:ascii="Arial" w:hAnsi="Arial" w:cs="Arial"/>
          <w:sz w:val="22"/>
          <w:szCs w:val="22"/>
        </w:rPr>
        <w:t xml:space="preserve">w prawodawstwie </w:t>
      </w:r>
      <w:r w:rsidR="00B24379" w:rsidRPr="002A2C8D">
        <w:rPr>
          <w:rFonts w:ascii="Arial" w:hAnsi="Arial" w:cs="Arial"/>
          <w:sz w:val="22"/>
          <w:szCs w:val="22"/>
        </w:rPr>
        <w:t>szw</w:t>
      </w:r>
      <w:r w:rsidR="00F57F8E" w:rsidRPr="002A2C8D">
        <w:rPr>
          <w:rFonts w:ascii="Arial" w:hAnsi="Arial" w:cs="Arial"/>
          <w:sz w:val="22"/>
          <w:szCs w:val="22"/>
        </w:rPr>
        <w:t>edzkim, francuskim i włoskim</w:t>
      </w:r>
      <w:r w:rsidR="00FC04EA" w:rsidRPr="002A2C8D">
        <w:rPr>
          <w:rFonts w:ascii="Arial" w:hAnsi="Arial" w:cs="Arial"/>
          <w:sz w:val="22"/>
          <w:szCs w:val="22"/>
        </w:rPr>
        <w:t>.</w:t>
      </w:r>
      <w:r w:rsidR="001A143C" w:rsidRPr="002A2C8D">
        <w:rPr>
          <w:rFonts w:ascii="Arial" w:hAnsi="Arial" w:cs="Arial"/>
          <w:sz w:val="22"/>
          <w:szCs w:val="22"/>
        </w:rPr>
        <w:t xml:space="preserve"> </w:t>
      </w:r>
    </w:p>
    <w:p w:rsidR="001A143C" w:rsidRPr="002A2C8D" w:rsidRDefault="002C0D05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b/>
          <w:sz w:val="22"/>
          <w:szCs w:val="22"/>
        </w:rPr>
        <w:t xml:space="preserve">Model </w:t>
      </w:r>
      <w:r w:rsidR="001A143C" w:rsidRPr="002A2C8D">
        <w:rPr>
          <w:rFonts w:ascii="Arial" w:hAnsi="Arial" w:cs="Arial"/>
          <w:b/>
          <w:i/>
          <w:sz w:val="22"/>
          <w:szCs w:val="22"/>
        </w:rPr>
        <w:t>op</w:t>
      </w:r>
      <w:r w:rsidRPr="002A2C8D">
        <w:rPr>
          <w:rFonts w:ascii="Arial" w:hAnsi="Arial" w:cs="Arial"/>
          <w:b/>
          <w:i/>
          <w:sz w:val="22"/>
          <w:szCs w:val="22"/>
        </w:rPr>
        <w:t>t-out</w:t>
      </w:r>
      <w:r w:rsidRPr="002A2C8D">
        <w:rPr>
          <w:rFonts w:ascii="Arial" w:hAnsi="Arial" w:cs="Arial"/>
          <w:sz w:val="22"/>
          <w:szCs w:val="22"/>
        </w:rPr>
        <w:t xml:space="preserve"> </w:t>
      </w:r>
      <w:r w:rsidR="001A143C" w:rsidRPr="002A2C8D">
        <w:rPr>
          <w:rFonts w:ascii="Arial" w:hAnsi="Arial" w:cs="Arial"/>
          <w:sz w:val="22"/>
          <w:szCs w:val="22"/>
        </w:rPr>
        <w:t xml:space="preserve">zakłada </w:t>
      </w:r>
      <w:r w:rsidRPr="002A2C8D">
        <w:rPr>
          <w:rFonts w:ascii="Arial" w:hAnsi="Arial" w:cs="Arial"/>
          <w:sz w:val="22"/>
          <w:szCs w:val="22"/>
        </w:rPr>
        <w:t xml:space="preserve">natomiast, że członkami zdefiniowanej grupy (inaczej – „klasy”) są wszystkie osoby, które spełniają określone kryteria (np. uczestniczyły w jednym zdarzeniu). Zostają one objęte skutkami </w:t>
      </w:r>
      <w:r w:rsidR="000C7C2D" w:rsidRPr="002A2C8D">
        <w:rPr>
          <w:rFonts w:ascii="Arial" w:hAnsi="Arial" w:cs="Arial"/>
          <w:sz w:val="22"/>
          <w:szCs w:val="22"/>
        </w:rPr>
        <w:t xml:space="preserve">wyroku </w:t>
      </w:r>
      <w:r w:rsidRPr="002A2C8D">
        <w:rPr>
          <w:rFonts w:ascii="Arial" w:hAnsi="Arial" w:cs="Arial"/>
          <w:sz w:val="22"/>
          <w:szCs w:val="22"/>
        </w:rPr>
        <w:t xml:space="preserve">zapadłego w procesie zbiorowym bez konieczności składania jakichkolwiek oświadczeń, </w:t>
      </w:r>
      <w:proofErr w:type="gramStart"/>
      <w:r w:rsidRPr="002A2C8D">
        <w:rPr>
          <w:rFonts w:ascii="Arial" w:hAnsi="Arial" w:cs="Arial"/>
          <w:sz w:val="22"/>
          <w:szCs w:val="22"/>
        </w:rPr>
        <w:t>chyba że</w:t>
      </w:r>
      <w:proofErr w:type="gramEnd"/>
      <w:r w:rsidRPr="002A2C8D">
        <w:rPr>
          <w:rFonts w:ascii="Arial" w:hAnsi="Arial" w:cs="Arial"/>
          <w:sz w:val="22"/>
          <w:szCs w:val="22"/>
        </w:rPr>
        <w:t xml:space="preserve"> wyraźne się temu sprzeciwią.</w:t>
      </w:r>
      <w:r w:rsidR="001A143C" w:rsidRPr="002A2C8D">
        <w:rPr>
          <w:rFonts w:ascii="Arial" w:hAnsi="Arial" w:cs="Arial"/>
          <w:sz w:val="22"/>
          <w:szCs w:val="22"/>
        </w:rPr>
        <w:t xml:space="preserve"> </w:t>
      </w:r>
      <w:r w:rsidRPr="002A2C8D">
        <w:rPr>
          <w:rFonts w:ascii="Arial" w:hAnsi="Arial" w:cs="Arial"/>
          <w:sz w:val="22"/>
          <w:szCs w:val="22"/>
        </w:rPr>
        <w:t xml:space="preserve">Innymi słowy, w modelu </w:t>
      </w:r>
      <w:r w:rsidRPr="002A2C8D">
        <w:rPr>
          <w:rFonts w:ascii="Arial" w:hAnsi="Arial" w:cs="Arial"/>
          <w:i/>
          <w:sz w:val="22"/>
          <w:szCs w:val="22"/>
        </w:rPr>
        <w:t>opt-out</w:t>
      </w:r>
      <w:r w:rsidRPr="002A2C8D">
        <w:rPr>
          <w:rFonts w:ascii="Arial" w:hAnsi="Arial" w:cs="Arial"/>
          <w:sz w:val="22"/>
          <w:szCs w:val="22"/>
        </w:rPr>
        <w:t xml:space="preserve"> podmioty, którym przysługują określone roszczenia</w:t>
      </w:r>
      <w:r w:rsidR="00F57F8E" w:rsidRPr="002A2C8D">
        <w:rPr>
          <w:rFonts w:ascii="Arial" w:hAnsi="Arial" w:cs="Arial"/>
          <w:sz w:val="22"/>
          <w:szCs w:val="22"/>
        </w:rPr>
        <w:t>,</w:t>
      </w:r>
      <w:r w:rsidRPr="002A2C8D">
        <w:rPr>
          <w:rFonts w:ascii="Arial" w:hAnsi="Arial" w:cs="Arial"/>
          <w:sz w:val="22"/>
          <w:szCs w:val="22"/>
        </w:rPr>
        <w:t xml:space="preserve"> stają się – automatycznie – członkami grupy chyba, że oświadczą, że chcą być z tej grupy wyłączone i nie podlegać skutkom wyroku</w:t>
      </w:r>
      <w:r w:rsidR="00F57F8E" w:rsidRPr="002A2C8D">
        <w:rPr>
          <w:rStyle w:val="Odwoanieprzypisudolnego"/>
          <w:rFonts w:ascii="Arial" w:hAnsi="Arial"/>
          <w:sz w:val="22"/>
          <w:szCs w:val="22"/>
        </w:rPr>
        <w:footnoteReference w:id="2"/>
      </w:r>
      <w:r w:rsidRPr="002A2C8D">
        <w:rPr>
          <w:rFonts w:ascii="Arial" w:hAnsi="Arial" w:cs="Arial"/>
          <w:sz w:val="22"/>
          <w:szCs w:val="22"/>
        </w:rPr>
        <w:t>.</w:t>
      </w:r>
    </w:p>
    <w:p w:rsidR="000C7C2D" w:rsidRPr="002A2C8D" w:rsidRDefault="001A27E8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Spośród</w:t>
      </w:r>
      <w:r w:rsidR="000C7C2D" w:rsidRPr="002A2C8D">
        <w:rPr>
          <w:rFonts w:ascii="Arial" w:hAnsi="Arial" w:cs="Arial"/>
          <w:sz w:val="22"/>
          <w:szCs w:val="22"/>
        </w:rPr>
        <w:t xml:space="preserve"> krajów </w:t>
      </w:r>
      <w:r w:rsidRPr="002A2C8D">
        <w:rPr>
          <w:rFonts w:ascii="Arial" w:hAnsi="Arial" w:cs="Arial"/>
          <w:sz w:val="22"/>
          <w:szCs w:val="22"/>
        </w:rPr>
        <w:t>e</w:t>
      </w:r>
      <w:r w:rsidR="000C7C2D" w:rsidRPr="002A2C8D">
        <w:rPr>
          <w:rFonts w:ascii="Arial" w:hAnsi="Arial" w:cs="Arial"/>
          <w:sz w:val="22"/>
          <w:szCs w:val="22"/>
        </w:rPr>
        <w:t xml:space="preserve">uropejskich, postępowanie grupowe w modelu </w:t>
      </w:r>
      <w:r w:rsidR="000C7C2D" w:rsidRPr="002A2C8D">
        <w:rPr>
          <w:rFonts w:ascii="Arial" w:hAnsi="Arial" w:cs="Arial"/>
          <w:i/>
          <w:sz w:val="22"/>
          <w:szCs w:val="22"/>
        </w:rPr>
        <w:t>opt-out</w:t>
      </w:r>
      <w:r w:rsidR="000C7C2D" w:rsidRPr="002A2C8D">
        <w:rPr>
          <w:rFonts w:ascii="Arial" w:hAnsi="Arial" w:cs="Arial"/>
          <w:sz w:val="22"/>
          <w:szCs w:val="22"/>
        </w:rPr>
        <w:t xml:space="preserve"> </w:t>
      </w:r>
      <w:r w:rsidRPr="002A2C8D">
        <w:rPr>
          <w:rFonts w:ascii="Arial" w:hAnsi="Arial" w:cs="Arial"/>
          <w:sz w:val="22"/>
          <w:szCs w:val="22"/>
        </w:rPr>
        <w:t xml:space="preserve">dopuszcza prawodawstwo Belgii, </w:t>
      </w:r>
      <w:r w:rsidR="000C7C2D" w:rsidRPr="002A2C8D">
        <w:rPr>
          <w:rFonts w:ascii="Arial" w:hAnsi="Arial" w:cs="Arial"/>
          <w:sz w:val="22"/>
          <w:szCs w:val="22"/>
        </w:rPr>
        <w:t xml:space="preserve">Danii </w:t>
      </w:r>
      <w:r w:rsidR="00F57F8E" w:rsidRPr="002A2C8D">
        <w:rPr>
          <w:rFonts w:ascii="Arial" w:hAnsi="Arial" w:cs="Arial"/>
          <w:sz w:val="22"/>
          <w:szCs w:val="22"/>
        </w:rPr>
        <w:t>oraz</w:t>
      </w:r>
      <w:r w:rsidRPr="002A2C8D">
        <w:rPr>
          <w:rFonts w:ascii="Arial" w:hAnsi="Arial" w:cs="Arial"/>
          <w:sz w:val="22"/>
          <w:szCs w:val="22"/>
        </w:rPr>
        <w:t xml:space="preserve"> </w:t>
      </w:r>
      <w:r w:rsidR="000C7C2D" w:rsidRPr="002A2C8D">
        <w:rPr>
          <w:rFonts w:ascii="Arial" w:hAnsi="Arial" w:cs="Arial"/>
          <w:sz w:val="22"/>
          <w:szCs w:val="22"/>
        </w:rPr>
        <w:t>Wielkiej Brytanii.</w:t>
      </w:r>
    </w:p>
    <w:p w:rsidR="000C7C2D" w:rsidRPr="002A2C8D" w:rsidRDefault="000C7C2D" w:rsidP="00FB4504">
      <w:pPr>
        <w:pStyle w:val="AAAPktI"/>
      </w:pPr>
      <w:bookmarkStart w:id="4" w:name="_Toc455333814"/>
      <w:r w:rsidRPr="002A2C8D">
        <w:t>III.</w:t>
      </w:r>
      <w:r w:rsidRPr="002A2C8D">
        <w:tab/>
        <w:t xml:space="preserve">Dlaczego warto dopuścić postępowanie grupowe w modelu </w:t>
      </w:r>
      <w:r w:rsidRPr="002A2C8D">
        <w:rPr>
          <w:i/>
        </w:rPr>
        <w:t>opt-out</w:t>
      </w:r>
      <w:r w:rsidRPr="002A2C8D">
        <w:t>?</w:t>
      </w:r>
      <w:bookmarkEnd w:id="4"/>
    </w:p>
    <w:p w:rsidR="005F13C7" w:rsidRPr="002A2C8D" w:rsidRDefault="005F13C7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W obecnym stanie prawnym skala i wartość roszczeń dochodzonych w postępowaniu grupowym jest w praktyce znacznie niższa, niż rzeczywista szkoda wyrządzona pewnymi zdarzeniami w skali globalnej. Przykładowo, w postępowaniach grupowych w sprawach związanych ze stosowaniem niedozwolonych postanowień umownych, </w:t>
      </w:r>
      <w:r w:rsidR="00F57F8E" w:rsidRPr="002A2C8D">
        <w:rPr>
          <w:rFonts w:ascii="Arial" w:hAnsi="Arial" w:cs="Arial"/>
          <w:sz w:val="22"/>
          <w:szCs w:val="22"/>
        </w:rPr>
        <w:t xml:space="preserve">formowane </w:t>
      </w:r>
      <w:r w:rsidRPr="002A2C8D">
        <w:rPr>
          <w:rFonts w:ascii="Arial" w:hAnsi="Arial" w:cs="Arial"/>
          <w:sz w:val="22"/>
          <w:szCs w:val="22"/>
        </w:rPr>
        <w:t>grupy nie obejmują nawet znacznej części wszystkich osób, wobec których klauzule abuzywne miały zastosowanie i które potencjalnie mogłyby brać udział w postępowaniu.</w:t>
      </w:r>
    </w:p>
    <w:p w:rsidR="001A27E8" w:rsidRPr="002A2C8D" w:rsidRDefault="001D07ED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W</w:t>
      </w:r>
      <w:r w:rsidR="005F13C7" w:rsidRPr="002A2C8D">
        <w:rPr>
          <w:rFonts w:ascii="Arial" w:hAnsi="Arial" w:cs="Arial"/>
          <w:sz w:val="22"/>
          <w:szCs w:val="22"/>
        </w:rPr>
        <w:t xml:space="preserve"> przypadku, gdy pojedyncze roszczenia mają niewielką wysokość</w:t>
      </w:r>
      <w:r w:rsidR="001A27E8" w:rsidRPr="002A2C8D">
        <w:rPr>
          <w:rFonts w:ascii="Arial" w:hAnsi="Arial" w:cs="Arial"/>
          <w:sz w:val="22"/>
          <w:szCs w:val="22"/>
        </w:rPr>
        <w:t>, przykładowo</w:t>
      </w:r>
      <w:r w:rsidR="005F13C7" w:rsidRPr="002A2C8D">
        <w:rPr>
          <w:rFonts w:ascii="Arial" w:hAnsi="Arial" w:cs="Arial"/>
          <w:sz w:val="22"/>
          <w:szCs w:val="22"/>
        </w:rPr>
        <w:t xml:space="preserve"> w przypadku szkód wywołanyc</w:t>
      </w:r>
      <w:r w:rsidR="001A27E8" w:rsidRPr="002A2C8D">
        <w:rPr>
          <w:rFonts w:ascii="Arial" w:hAnsi="Arial" w:cs="Arial"/>
          <w:sz w:val="22"/>
          <w:szCs w:val="22"/>
        </w:rPr>
        <w:t>h naruszeniem prawa konkurencji</w:t>
      </w:r>
      <w:r w:rsidR="005F13C7" w:rsidRPr="002A2C8D">
        <w:rPr>
          <w:rFonts w:ascii="Arial" w:hAnsi="Arial" w:cs="Arial"/>
          <w:sz w:val="22"/>
          <w:szCs w:val="22"/>
        </w:rPr>
        <w:t xml:space="preserve">, ich dochodzenie </w:t>
      </w:r>
      <w:r w:rsidRPr="002A2C8D">
        <w:rPr>
          <w:rFonts w:ascii="Arial" w:hAnsi="Arial" w:cs="Arial"/>
          <w:sz w:val="22"/>
          <w:szCs w:val="22"/>
        </w:rPr>
        <w:t xml:space="preserve">często </w:t>
      </w:r>
      <w:r w:rsidR="005F13C7" w:rsidRPr="002A2C8D">
        <w:rPr>
          <w:rFonts w:ascii="Arial" w:hAnsi="Arial" w:cs="Arial"/>
          <w:sz w:val="22"/>
          <w:szCs w:val="22"/>
        </w:rPr>
        <w:t xml:space="preserve">jest </w:t>
      </w:r>
      <w:r w:rsidR="00F57F8E" w:rsidRPr="002A2C8D">
        <w:rPr>
          <w:rFonts w:ascii="Arial" w:hAnsi="Arial" w:cs="Arial"/>
          <w:sz w:val="22"/>
          <w:szCs w:val="22"/>
        </w:rPr>
        <w:t>(</w:t>
      </w:r>
      <w:r w:rsidR="005F13C7" w:rsidRPr="002A2C8D">
        <w:rPr>
          <w:rFonts w:ascii="Arial" w:hAnsi="Arial" w:cs="Arial"/>
          <w:sz w:val="22"/>
          <w:szCs w:val="22"/>
        </w:rPr>
        <w:t>lub wydaje się osobom poszkodowanym</w:t>
      </w:r>
      <w:r w:rsidR="00F57F8E" w:rsidRPr="002A2C8D">
        <w:rPr>
          <w:rFonts w:ascii="Arial" w:hAnsi="Arial" w:cs="Arial"/>
          <w:sz w:val="22"/>
          <w:szCs w:val="22"/>
        </w:rPr>
        <w:t>)</w:t>
      </w:r>
      <w:r w:rsidR="005F13C7" w:rsidRPr="002A2C8D">
        <w:rPr>
          <w:rFonts w:ascii="Arial" w:hAnsi="Arial" w:cs="Arial"/>
          <w:sz w:val="22"/>
          <w:szCs w:val="22"/>
        </w:rPr>
        <w:t xml:space="preserve"> nieopłacalne – tak z punktu widzenia kosztów</w:t>
      </w:r>
      <w:r w:rsidR="00F57F8E" w:rsidRPr="002A2C8D">
        <w:rPr>
          <w:rFonts w:ascii="Arial" w:hAnsi="Arial" w:cs="Arial"/>
          <w:sz w:val="22"/>
          <w:szCs w:val="22"/>
        </w:rPr>
        <w:t>,</w:t>
      </w:r>
      <w:r w:rsidR="005F13C7" w:rsidRPr="002A2C8D">
        <w:rPr>
          <w:rFonts w:ascii="Arial" w:hAnsi="Arial" w:cs="Arial"/>
          <w:sz w:val="22"/>
          <w:szCs w:val="22"/>
        </w:rPr>
        <w:t xml:space="preserve"> jak i czasu potrzebnego do uzyskania rekompensaty. </w:t>
      </w:r>
      <w:r w:rsidR="007B7C26" w:rsidRPr="002A2C8D">
        <w:rPr>
          <w:rFonts w:ascii="Arial" w:hAnsi="Arial" w:cs="Arial"/>
          <w:sz w:val="22"/>
          <w:szCs w:val="22"/>
        </w:rPr>
        <w:t xml:space="preserve">Jak już wyżej wspomniano, udział w postępowaniu grupowym </w:t>
      </w:r>
      <w:r w:rsidR="007B7C26" w:rsidRPr="002A2C8D">
        <w:rPr>
          <w:rFonts w:ascii="Arial" w:hAnsi="Arial" w:cs="Arial"/>
          <w:sz w:val="22"/>
          <w:szCs w:val="22"/>
        </w:rPr>
        <w:lastRenderedPageBreak/>
        <w:t>w</w:t>
      </w:r>
      <w:r w:rsidR="001A27E8" w:rsidRPr="002A2C8D">
        <w:rPr>
          <w:rFonts w:ascii="Arial" w:hAnsi="Arial" w:cs="Arial"/>
          <w:sz w:val="22"/>
          <w:szCs w:val="22"/>
        </w:rPr>
        <w:t> </w:t>
      </w:r>
      <w:r w:rsidR="007B7C26" w:rsidRPr="002A2C8D">
        <w:rPr>
          <w:rFonts w:ascii="Arial" w:hAnsi="Arial" w:cs="Arial"/>
          <w:sz w:val="22"/>
          <w:szCs w:val="22"/>
        </w:rPr>
        <w:t xml:space="preserve">modelu </w:t>
      </w:r>
      <w:r w:rsidR="007B7C26" w:rsidRPr="002A2C8D">
        <w:rPr>
          <w:rFonts w:ascii="Arial" w:hAnsi="Arial" w:cs="Arial"/>
          <w:i/>
          <w:sz w:val="22"/>
          <w:szCs w:val="22"/>
        </w:rPr>
        <w:t>opt-</w:t>
      </w:r>
      <w:r w:rsidR="006F5EBA">
        <w:rPr>
          <w:rFonts w:ascii="Arial" w:hAnsi="Arial" w:cs="Arial"/>
          <w:i/>
          <w:sz w:val="22"/>
          <w:szCs w:val="22"/>
        </w:rPr>
        <w:t>in</w:t>
      </w:r>
      <w:r w:rsidR="007B7C26" w:rsidRPr="002A2C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7C26" w:rsidRPr="002A2C8D">
        <w:rPr>
          <w:rFonts w:ascii="Arial" w:hAnsi="Arial" w:cs="Arial"/>
          <w:sz w:val="22"/>
          <w:szCs w:val="22"/>
        </w:rPr>
        <w:t>wymaga bowiem</w:t>
      </w:r>
      <w:proofErr w:type="gramEnd"/>
      <w:r w:rsidR="007B7C26" w:rsidRPr="002A2C8D">
        <w:rPr>
          <w:rFonts w:ascii="Arial" w:hAnsi="Arial" w:cs="Arial"/>
          <w:sz w:val="22"/>
          <w:szCs w:val="22"/>
        </w:rPr>
        <w:t xml:space="preserve"> aktywnej postawy członka grupy oraz spełnienia szeregu formalności, takich jak złożenie oświadczenia o przystąpieniu do grupy oraz przedłożenie dokumentów lub innych dowodów, które świadczą o przynależności do grupy. Członek grupy może zostać ponadto przesłuchany w postępowaniu grupowym w charakterze strony</w:t>
      </w:r>
      <w:r w:rsidRPr="002A2C8D">
        <w:rPr>
          <w:rFonts w:ascii="Arial" w:hAnsi="Arial" w:cs="Arial"/>
          <w:sz w:val="22"/>
          <w:szCs w:val="22"/>
        </w:rPr>
        <w:t>, a</w:t>
      </w:r>
      <w:r w:rsidR="007B7C26" w:rsidRPr="002A2C8D">
        <w:rPr>
          <w:rFonts w:ascii="Arial" w:hAnsi="Arial" w:cs="Arial"/>
          <w:sz w:val="22"/>
          <w:szCs w:val="22"/>
        </w:rPr>
        <w:t xml:space="preserve"> zgoda więcej </w:t>
      </w:r>
      <w:r w:rsidR="00A26D20" w:rsidRPr="002A2C8D">
        <w:rPr>
          <w:rFonts w:ascii="Arial" w:hAnsi="Arial" w:cs="Arial"/>
          <w:sz w:val="22"/>
          <w:szCs w:val="22"/>
        </w:rPr>
        <w:t>niż </w:t>
      </w:r>
      <w:r w:rsidR="007B7C26" w:rsidRPr="002A2C8D">
        <w:rPr>
          <w:rFonts w:ascii="Arial" w:hAnsi="Arial" w:cs="Arial"/>
          <w:sz w:val="22"/>
          <w:szCs w:val="22"/>
        </w:rPr>
        <w:t xml:space="preserve">połowy członków grupy </w:t>
      </w:r>
      <w:r w:rsidRPr="002A2C8D">
        <w:rPr>
          <w:rFonts w:ascii="Arial" w:hAnsi="Arial" w:cs="Arial"/>
          <w:sz w:val="22"/>
          <w:szCs w:val="22"/>
        </w:rPr>
        <w:t>jest wymagana do</w:t>
      </w:r>
      <w:r w:rsidR="007B7C26" w:rsidRPr="002A2C8D">
        <w:rPr>
          <w:rFonts w:ascii="Arial" w:hAnsi="Arial" w:cs="Arial"/>
          <w:sz w:val="22"/>
          <w:szCs w:val="22"/>
        </w:rPr>
        <w:t xml:space="preserve"> c</w:t>
      </w:r>
      <w:r w:rsidRPr="002A2C8D">
        <w:rPr>
          <w:rFonts w:ascii="Arial" w:hAnsi="Arial" w:cs="Arial"/>
          <w:sz w:val="22"/>
          <w:szCs w:val="22"/>
        </w:rPr>
        <w:t>ofnięcia pozwu, zrzeczenia się lub ograniczenia</w:t>
      </w:r>
      <w:r w:rsidR="007B7C26" w:rsidRPr="002A2C8D">
        <w:rPr>
          <w:rFonts w:ascii="Arial" w:hAnsi="Arial" w:cs="Arial"/>
          <w:sz w:val="22"/>
          <w:szCs w:val="22"/>
        </w:rPr>
        <w:t xml:space="preserve"> roszczenia oraz </w:t>
      </w:r>
      <w:r w:rsidRPr="002A2C8D">
        <w:rPr>
          <w:rFonts w:ascii="Arial" w:hAnsi="Arial" w:cs="Arial"/>
          <w:sz w:val="22"/>
          <w:szCs w:val="22"/>
        </w:rPr>
        <w:t>do zawarcia</w:t>
      </w:r>
      <w:r w:rsidR="007B7C26" w:rsidRPr="002A2C8D">
        <w:rPr>
          <w:rFonts w:ascii="Arial" w:hAnsi="Arial" w:cs="Arial"/>
          <w:sz w:val="22"/>
          <w:szCs w:val="22"/>
        </w:rPr>
        <w:t xml:space="preserve"> ugody. Członkowie grupy w prakty</w:t>
      </w:r>
      <w:r w:rsidR="001A27E8" w:rsidRPr="002A2C8D">
        <w:rPr>
          <w:rFonts w:ascii="Arial" w:hAnsi="Arial" w:cs="Arial"/>
          <w:sz w:val="22"/>
          <w:szCs w:val="22"/>
        </w:rPr>
        <w:t>ce uczestniczą też na bieżąco w </w:t>
      </w:r>
      <w:r w:rsidR="007B7C26" w:rsidRPr="002A2C8D">
        <w:rPr>
          <w:rFonts w:ascii="Arial" w:hAnsi="Arial" w:cs="Arial"/>
          <w:sz w:val="22"/>
          <w:szCs w:val="22"/>
        </w:rPr>
        <w:t>kosztach postępowania</w:t>
      </w:r>
      <w:r w:rsidR="001A27E8" w:rsidRPr="002A2C8D">
        <w:rPr>
          <w:rFonts w:ascii="Arial" w:hAnsi="Arial" w:cs="Arial"/>
          <w:sz w:val="22"/>
          <w:szCs w:val="22"/>
        </w:rPr>
        <w:t xml:space="preserve"> (ponoszonych formalnie przez reprezentanta grupy)</w:t>
      </w:r>
      <w:r w:rsidR="007B7C26" w:rsidRPr="002A2C8D">
        <w:rPr>
          <w:rFonts w:ascii="Arial" w:hAnsi="Arial" w:cs="Arial"/>
          <w:sz w:val="22"/>
          <w:szCs w:val="22"/>
        </w:rPr>
        <w:t xml:space="preserve">. </w:t>
      </w:r>
    </w:p>
    <w:p w:rsidR="005F13C7" w:rsidRPr="002A2C8D" w:rsidRDefault="007B7C26" w:rsidP="00691099">
      <w:pPr>
        <w:spacing w:after="20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2A2C8D">
        <w:rPr>
          <w:rFonts w:ascii="Arial" w:hAnsi="Arial" w:cs="Arial"/>
          <w:b/>
          <w:sz w:val="22"/>
          <w:szCs w:val="22"/>
        </w:rPr>
        <w:t xml:space="preserve">Efektywne prowadzenie postępowania grupowego przez reprezentanta </w:t>
      </w:r>
      <w:r w:rsidR="001A27E8" w:rsidRPr="002A2C8D">
        <w:rPr>
          <w:rFonts w:ascii="Arial" w:hAnsi="Arial" w:cs="Arial"/>
          <w:b/>
          <w:sz w:val="22"/>
          <w:szCs w:val="22"/>
        </w:rPr>
        <w:t xml:space="preserve">grupy w modelu </w:t>
      </w:r>
      <w:r w:rsidR="001A27E8" w:rsidRPr="002A2C8D">
        <w:rPr>
          <w:rFonts w:ascii="Arial" w:hAnsi="Arial" w:cs="Arial"/>
          <w:b/>
          <w:i/>
          <w:sz w:val="22"/>
          <w:szCs w:val="22"/>
        </w:rPr>
        <w:t>opt-in</w:t>
      </w:r>
      <w:r w:rsidR="001A27E8" w:rsidRPr="002A2C8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A2C8D">
        <w:rPr>
          <w:rFonts w:ascii="Arial" w:hAnsi="Arial" w:cs="Arial"/>
          <w:b/>
          <w:sz w:val="22"/>
          <w:szCs w:val="22"/>
        </w:rPr>
        <w:t>wymaga zatem</w:t>
      </w:r>
      <w:proofErr w:type="gramEnd"/>
      <w:r w:rsidRPr="002A2C8D">
        <w:rPr>
          <w:rFonts w:ascii="Arial" w:hAnsi="Arial" w:cs="Arial"/>
          <w:b/>
          <w:sz w:val="22"/>
          <w:szCs w:val="22"/>
        </w:rPr>
        <w:t xml:space="preserve"> często jego ścisłej współpracy z wszystkimi członkami grupy – zarówno przed wniesieniem pozwu grupowego jak i w toku procesu.</w:t>
      </w:r>
      <w:r w:rsidR="001D07ED" w:rsidRPr="002A2C8D">
        <w:rPr>
          <w:rFonts w:ascii="Arial" w:hAnsi="Arial" w:cs="Arial"/>
          <w:b/>
          <w:sz w:val="22"/>
          <w:szCs w:val="22"/>
        </w:rPr>
        <w:t xml:space="preserve"> To zaś generuje koszty zarówno po stronie członków grupy jak i działającego na ich rzecz reprezentanta.</w:t>
      </w:r>
    </w:p>
    <w:p w:rsidR="005F13C7" w:rsidRPr="002A2C8D" w:rsidRDefault="001D07ED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Z powyższych przyczyn</w:t>
      </w:r>
      <w:r w:rsidR="005F13C7" w:rsidRPr="002A2C8D">
        <w:rPr>
          <w:rFonts w:ascii="Arial" w:hAnsi="Arial" w:cs="Arial"/>
          <w:sz w:val="22"/>
          <w:szCs w:val="22"/>
        </w:rPr>
        <w:t xml:space="preserve">, </w:t>
      </w:r>
      <w:r w:rsidRPr="002A2C8D">
        <w:rPr>
          <w:rFonts w:ascii="Arial" w:hAnsi="Arial" w:cs="Arial"/>
          <w:sz w:val="22"/>
          <w:szCs w:val="22"/>
        </w:rPr>
        <w:t xml:space="preserve">wiele osób, którym przysługują roszczenia na relatywnie niewielkie kwoty nie decydują się na udział w postępowaniu grupowym w modelu </w:t>
      </w:r>
      <w:r w:rsidRPr="002A2C8D">
        <w:rPr>
          <w:rFonts w:ascii="Arial" w:hAnsi="Arial" w:cs="Arial"/>
          <w:i/>
          <w:sz w:val="22"/>
          <w:szCs w:val="22"/>
        </w:rPr>
        <w:t>opt-in</w:t>
      </w:r>
      <w:r w:rsidRPr="002A2C8D">
        <w:rPr>
          <w:rFonts w:ascii="Arial" w:hAnsi="Arial" w:cs="Arial"/>
          <w:sz w:val="22"/>
          <w:szCs w:val="22"/>
        </w:rPr>
        <w:t xml:space="preserve">. W konsekwencji, nie </w:t>
      </w:r>
      <w:r w:rsidR="001A27E8" w:rsidRPr="002A2C8D">
        <w:rPr>
          <w:rFonts w:ascii="Arial" w:hAnsi="Arial" w:cs="Arial"/>
          <w:sz w:val="22"/>
          <w:szCs w:val="22"/>
        </w:rPr>
        <w:t>wydaje się</w:t>
      </w:r>
      <w:r w:rsidRPr="002A2C8D">
        <w:rPr>
          <w:rFonts w:ascii="Arial" w:hAnsi="Arial" w:cs="Arial"/>
          <w:sz w:val="22"/>
          <w:szCs w:val="22"/>
        </w:rPr>
        <w:t xml:space="preserve"> ono </w:t>
      </w:r>
      <w:r w:rsidR="00F57F8E" w:rsidRPr="002A2C8D">
        <w:rPr>
          <w:rFonts w:ascii="Arial" w:hAnsi="Arial" w:cs="Arial"/>
          <w:sz w:val="22"/>
          <w:szCs w:val="22"/>
        </w:rPr>
        <w:t xml:space="preserve">obecnie </w:t>
      </w:r>
      <w:r w:rsidR="005F13C7" w:rsidRPr="002A2C8D">
        <w:rPr>
          <w:rFonts w:ascii="Arial" w:hAnsi="Arial" w:cs="Arial"/>
          <w:sz w:val="22"/>
          <w:szCs w:val="22"/>
        </w:rPr>
        <w:t>instrumentem realnie „odstraszającym” od zachowań wyrządzających szkodę, zwłaszcza stosunkowo niewielką, wielu podmiotom (</w:t>
      </w:r>
      <w:r w:rsidR="00A26D20" w:rsidRPr="002A2C8D">
        <w:rPr>
          <w:rFonts w:ascii="Arial" w:hAnsi="Arial" w:cs="Arial"/>
          <w:sz w:val="22"/>
          <w:szCs w:val="22"/>
        </w:rPr>
        <w:t>ang</w:t>
      </w:r>
      <w:r w:rsidR="005F13C7" w:rsidRPr="002A2C8D">
        <w:rPr>
          <w:rFonts w:ascii="Arial" w:hAnsi="Arial" w:cs="Arial"/>
          <w:sz w:val="22"/>
          <w:szCs w:val="22"/>
        </w:rPr>
        <w:t xml:space="preserve">. </w:t>
      </w:r>
      <w:r w:rsidR="005F13C7" w:rsidRPr="002A2C8D">
        <w:rPr>
          <w:rFonts w:ascii="Arial" w:hAnsi="Arial" w:cs="Arial"/>
          <w:i/>
          <w:sz w:val="22"/>
          <w:szCs w:val="22"/>
        </w:rPr>
        <w:t>small claims</w:t>
      </w:r>
      <w:r w:rsidR="005F13C7" w:rsidRPr="002A2C8D">
        <w:rPr>
          <w:rFonts w:ascii="Arial" w:hAnsi="Arial" w:cs="Arial"/>
          <w:sz w:val="22"/>
          <w:szCs w:val="22"/>
        </w:rPr>
        <w:t xml:space="preserve"> lub </w:t>
      </w:r>
      <w:r w:rsidR="005F13C7" w:rsidRPr="002A2C8D">
        <w:rPr>
          <w:rFonts w:ascii="Arial" w:hAnsi="Arial" w:cs="Arial"/>
          <w:i/>
          <w:sz w:val="22"/>
          <w:szCs w:val="22"/>
        </w:rPr>
        <w:t>mass claims</w:t>
      </w:r>
      <w:r w:rsidRPr="002A2C8D">
        <w:rPr>
          <w:rFonts w:ascii="Arial" w:hAnsi="Arial" w:cs="Arial"/>
          <w:sz w:val="22"/>
          <w:szCs w:val="22"/>
        </w:rPr>
        <w:t>). Jest to zjawisko niepożądane,</w:t>
      </w:r>
      <w:r w:rsidR="005F13C7" w:rsidRPr="002A2C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13C7" w:rsidRPr="002A2C8D">
        <w:rPr>
          <w:rFonts w:ascii="Arial" w:hAnsi="Arial" w:cs="Arial"/>
          <w:sz w:val="22"/>
          <w:szCs w:val="22"/>
        </w:rPr>
        <w:t>zwłaszcza gdy</w:t>
      </w:r>
      <w:proofErr w:type="gramEnd"/>
      <w:r w:rsidR="005F13C7" w:rsidRPr="002A2C8D">
        <w:rPr>
          <w:rFonts w:ascii="Arial" w:hAnsi="Arial" w:cs="Arial"/>
          <w:sz w:val="22"/>
          <w:szCs w:val="22"/>
        </w:rPr>
        <w:t xml:space="preserve"> – jak w przypadku naruszenia prawa ochrony konsumentów lub konkurencji – </w:t>
      </w:r>
      <w:r w:rsidRPr="002A2C8D">
        <w:rPr>
          <w:rFonts w:ascii="Arial" w:hAnsi="Arial" w:cs="Arial"/>
          <w:sz w:val="22"/>
          <w:szCs w:val="22"/>
        </w:rPr>
        <w:t xml:space="preserve">występują </w:t>
      </w:r>
      <w:r w:rsidR="001A27E8" w:rsidRPr="002A2C8D">
        <w:rPr>
          <w:rFonts w:ascii="Arial" w:hAnsi="Arial" w:cs="Arial"/>
          <w:sz w:val="22"/>
          <w:szCs w:val="22"/>
        </w:rPr>
        <w:t xml:space="preserve">często </w:t>
      </w:r>
      <w:r w:rsidRPr="002A2C8D">
        <w:rPr>
          <w:rFonts w:ascii="Arial" w:hAnsi="Arial" w:cs="Arial"/>
          <w:sz w:val="22"/>
          <w:szCs w:val="22"/>
        </w:rPr>
        <w:t>duże korzyści</w:t>
      </w:r>
      <w:r w:rsidR="005F13C7" w:rsidRPr="002A2C8D">
        <w:rPr>
          <w:rFonts w:ascii="Arial" w:hAnsi="Arial" w:cs="Arial"/>
          <w:sz w:val="22"/>
          <w:szCs w:val="22"/>
        </w:rPr>
        <w:t xml:space="preserve"> po stronie naruszyciela.</w:t>
      </w:r>
    </w:p>
    <w:p w:rsidR="005F13C7" w:rsidRPr="002A2C8D" w:rsidRDefault="005F13C7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Modelem, który może zapewnić faktyczną efektywność zbiorowego dochodzenia roszczeń związanych z ochroną konsumentów </w:t>
      </w:r>
      <w:r w:rsidR="00F57F8E" w:rsidRPr="002A2C8D">
        <w:rPr>
          <w:rFonts w:ascii="Arial" w:hAnsi="Arial" w:cs="Arial"/>
          <w:sz w:val="22"/>
          <w:szCs w:val="22"/>
        </w:rPr>
        <w:t>lub</w:t>
      </w:r>
      <w:r w:rsidRPr="002A2C8D">
        <w:rPr>
          <w:rFonts w:ascii="Arial" w:hAnsi="Arial" w:cs="Arial"/>
          <w:sz w:val="22"/>
          <w:szCs w:val="22"/>
        </w:rPr>
        <w:t xml:space="preserve"> z naruszeniem prawa konkurencji (także roszczeń </w:t>
      </w:r>
      <w:r w:rsidR="001A27E8" w:rsidRPr="002A2C8D">
        <w:rPr>
          <w:rFonts w:ascii="Arial" w:hAnsi="Arial" w:cs="Arial"/>
          <w:sz w:val="22"/>
          <w:szCs w:val="22"/>
        </w:rPr>
        <w:t xml:space="preserve">mikro-, </w:t>
      </w:r>
      <w:r w:rsidRPr="002A2C8D">
        <w:rPr>
          <w:rFonts w:ascii="Arial" w:hAnsi="Arial" w:cs="Arial"/>
          <w:sz w:val="22"/>
          <w:szCs w:val="22"/>
        </w:rPr>
        <w:t xml:space="preserve">małych i średnich przedsiębiorców), jest opisany wyżej model </w:t>
      </w:r>
      <w:r w:rsidRPr="002A2C8D">
        <w:rPr>
          <w:rFonts w:ascii="Arial" w:hAnsi="Arial" w:cs="Arial"/>
          <w:i/>
          <w:sz w:val="22"/>
          <w:szCs w:val="22"/>
        </w:rPr>
        <w:t>opt-out</w:t>
      </w:r>
      <w:r w:rsidRPr="002A2C8D">
        <w:rPr>
          <w:rFonts w:ascii="Arial" w:hAnsi="Arial" w:cs="Arial"/>
          <w:sz w:val="22"/>
          <w:szCs w:val="22"/>
        </w:rPr>
        <w:t xml:space="preserve">. </w:t>
      </w:r>
    </w:p>
    <w:p w:rsidR="001D07ED" w:rsidRPr="002A2C8D" w:rsidRDefault="001A27E8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Model </w:t>
      </w:r>
      <w:r w:rsidRPr="002A2C8D">
        <w:rPr>
          <w:rFonts w:ascii="Arial" w:hAnsi="Arial" w:cs="Arial"/>
          <w:i/>
          <w:sz w:val="22"/>
          <w:szCs w:val="22"/>
        </w:rPr>
        <w:t>opt-out</w:t>
      </w:r>
      <w:r w:rsidR="005F13C7" w:rsidRPr="002A2C8D">
        <w:rPr>
          <w:rFonts w:ascii="Arial" w:hAnsi="Arial" w:cs="Arial"/>
          <w:sz w:val="22"/>
          <w:szCs w:val="22"/>
        </w:rPr>
        <w:t xml:space="preserve"> bywa </w:t>
      </w:r>
      <w:r w:rsidRPr="002A2C8D">
        <w:rPr>
          <w:rFonts w:ascii="Arial" w:hAnsi="Arial" w:cs="Arial"/>
          <w:sz w:val="22"/>
          <w:szCs w:val="22"/>
        </w:rPr>
        <w:t xml:space="preserve">wprawdzie </w:t>
      </w:r>
      <w:r w:rsidR="005F13C7" w:rsidRPr="002A2C8D">
        <w:rPr>
          <w:rFonts w:ascii="Arial" w:hAnsi="Arial" w:cs="Arial"/>
          <w:sz w:val="22"/>
          <w:szCs w:val="22"/>
        </w:rPr>
        <w:t xml:space="preserve">uważany za zwiększający ryzyko nadużyć związanych z postępowaniem grupowym (np. wytaczanie powództw oczywiście bezzasadnych w celu osiągnięcia ugody – ang. </w:t>
      </w:r>
      <w:r w:rsidR="005F13C7" w:rsidRPr="002A2C8D">
        <w:rPr>
          <w:rFonts w:ascii="Arial" w:hAnsi="Arial" w:cs="Arial"/>
          <w:i/>
          <w:sz w:val="22"/>
          <w:szCs w:val="22"/>
        </w:rPr>
        <w:t>blackmail settlement</w:t>
      </w:r>
      <w:r w:rsidR="005F13C7" w:rsidRPr="002A2C8D">
        <w:rPr>
          <w:rFonts w:ascii="Arial" w:hAnsi="Arial" w:cs="Arial"/>
          <w:sz w:val="22"/>
          <w:szCs w:val="22"/>
        </w:rPr>
        <w:t>). W związku z tym, Parlament Europejski w rezolucji z dnia 2 lutego 2012 r. pt. „W kierunku spójnego europejskiego podejścia do zbiorowego dochodzenia roszczeń”</w:t>
      </w:r>
      <w:r w:rsidR="005F13C7" w:rsidRPr="002A2C8D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5F13C7" w:rsidRPr="002A2C8D">
        <w:rPr>
          <w:rFonts w:ascii="Arial" w:hAnsi="Arial" w:cs="Arial"/>
          <w:sz w:val="22"/>
          <w:szCs w:val="22"/>
        </w:rPr>
        <w:t xml:space="preserve"> stwierdził, że europejskie podejście do zbiorowego dochodzenia roszczeń powinno opierać się na zasadzie </w:t>
      </w:r>
      <w:r w:rsidR="005F13C7" w:rsidRPr="002A2C8D">
        <w:rPr>
          <w:rFonts w:ascii="Arial" w:hAnsi="Arial" w:cs="Arial"/>
          <w:i/>
          <w:sz w:val="22"/>
          <w:szCs w:val="22"/>
        </w:rPr>
        <w:t>opt-in</w:t>
      </w:r>
      <w:r w:rsidR="005F13C7" w:rsidRPr="002A2C8D">
        <w:rPr>
          <w:rFonts w:ascii="Arial" w:hAnsi="Arial" w:cs="Arial"/>
          <w:sz w:val="22"/>
          <w:szCs w:val="22"/>
        </w:rPr>
        <w:t>. Z drugiej jednak strony</w:t>
      </w:r>
      <w:r w:rsidR="001D07ED" w:rsidRPr="002A2C8D">
        <w:rPr>
          <w:rFonts w:ascii="Arial" w:hAnsi="Arial" w:cs="Arial"/>
          <w:sz w:val="22"/>
          <w:szCs w:val="22"/>
        </w:rPr>
        <w:t>,</w:t>
      </w:r>
      <w:r w:rsidR="005F13C7" w:rsidRPr="002A2C8D">
        <w:rPr>
          <w:rFonts w:ascii="Arial" w:hAnsi="Arial" w:cs="Arial"/>
          <w:sz w:val="22"/>
          <w:szCs w:val="22"/>
        </w:rPr>
        <w:t xml:space="preserve"> w opinii dotyczącej rządowego projektu Ustawy trafnie wskazano, że model </w:t>
      </w:r>
      <w:r w:rsidR="005F13C7" w:rsidRPr="002A2C8D">
        <w:rPr>
          <w:rFonts w:ascii="Arial" w:hAnsi="Arial" w:cs="Arial"/>
          <w:i/>
          <w:sz w:val="22"/>
          <w:szCs w:val="22"/>
        </w:rPr>
        <w:t>opt-out</w:t>
      </w:r>
      <w:r w:rsidR="005F13C7" w:rsidRPr="002A2C8D">
        <w:rPr>
          <w:rFonts w:ascii="Arial" w:hAnsi="Arial" w:cs="Arial"/>
          <w:sz w:val="22"/>
          <w:szCs w:val="22"/>
        </w:rPr>
        <w:t xml:space="preserve">, którego obowiązywanie nie zamyka nikomu drogi sądowej dochodzenia naruszonych wolności lub </w:t>
      </w:r>
      <w:proofErr w:type="gramStart"/>
      <w:r w:rsidR="005F13C7" w:rsidRPr="002A2C8D">
        <w:rPr>
          <w:rFonts w:ascii="Arial" w:hAnsi="Arial" w:cs="Arial"/>
          <w:sz w:val="22"/>
          <w:szCs w:val="22"/>
        </w:rPr>
        <w:t>praw</w:t>
      </w:r>
      <w:proofErr w:type="gramEnd"/>
      <w:r w:rsidR="005F13C7" w:rsidRPr="002A2C8D">
        <w:rPr>
          <w:rFonts w:ascii="Arial" w:hAnsi="Arial" w:cs="Arial"/>
          <w:sz w:val="22"/>
          <w:szCs w:val="22"/>
        </w:rPr>
        <w:t xml:space="preserve">, nie </w:t>
      </w:r>
      <w:r w:rsidR="001D07ED" w:rsidRPr="002A2C8D">
        <w:rPr>
          <w:rFonts w:ascii="Arial" w:hAnsi="Arial" w:cs="Arial"/>
          <w:sz w:val="22"/>
          <w:szCs w:val="22"/>
        </w:rPr>
        <w:t>narusza</w:t>
      </w:r>
      <w:r w:rsidR="005F13C7" w:rsidRPr="002A2C8D">
        <w:rPr>
          <w:rFonts w:ascii="Arial" w:hAnsi="Arial" w:cs="Arial"/>
          <w:sz w:val="22"/>
          <w:szCs w:val="22"/>
        </w:rPr>
        <w:t xml:space="preserve"> art. 45 Konstytucji RP, </w:t>
      </w:r>
      <w:r w:rsidR="001D07ED" w:rsidRPr="002A2C8D">
        <w:rPr>
          <w:rFonts w:ascii="Arial" w:hAnsi="Arial" w:cs="Arial"/>
          <w:sz w:val="22"/>
          <w:szCs w:val="22"/>
        </w:rPr>
        <w:t>w </w:t>
      </w:r>
      <w:r w:rsidR="005F13C7" w:rsidRPr="002A2C8D">
        <w:rPr>
          <w:rFonts w:ascii="Arial" w:hAnsi="Arial" w:cs="Arial"/>
          <w:sz w:val="22"/>
          <w:szCs w:val="22"/>
        </w:rPr>
        <w:t>tym – zakaz</w:t>
      </w:r>
      <w:r w:rsidR="001D07ED" w:rsidRPr="002A2C8D">
        <w:rPr>
          <w:rFonts w:ascii="Arial" w:hAnsi="Arial" w:cs="Arial"/>
          <w:sz w:val="22"/>
          <w:szCs w:val="22"/>
        </w:rPr>
        <w:t>u</w:t>
      </w:r>
      <w:r w:rsidR="005F13C7" w:rsidRPr="002A2C8D">
        <w:rPr>
          <w:rFonts w:ascii="Arial" w:hAnsi="Arial" w:cs="Arial"/>
          <w:sz w:val="22"/>
          <w:szCs w:val="22"/>
        </w:rPr>
        <w:t xml:space="preserve"> naruszania sfery prawnej danego podmiotu przez podmioty trzecie </w:t>
      </w:r>
      <w:r w:rsidR="00A26D20" w:rsidRPr="002A2C8D">
        <w:rPr>
          <w:rFonts w:ascii="Arial" w:hAnsi="Arial" w:cs="Arial"/>
          <w:sz w:val="22"/>
          <w:szCs w:val="22"/>
        </w:rPr>
        <w:t>poprzez </w:t>
      </w:r>
      <w:r w:rsidR="005F13C7" w:rsidRPr="002A2C8D">
        <w:rPr>
          <w:rFonts w:ascii="Arial" w:hAnsi="Arial" w:cs="Arial"/>
          <w:sz w:val="22"/>
          <w:szCs w:val="22"/>
        </w:rPr>
        <w:t>wytoczenie powództwa (</w:t>
      </w:r>
      <w:r w:rsidR="00A26D20" w:rsidRPr="002A2C8D">
        <w:rPr>
          <w:rFonts w:ascii="Arial" w:hAnsi="Arial" w:cs="Arial"/>
          <w:sz w:val="22"/>
          <w:szCs w:val="22"/>
        </w:rPr>
        <w:t xml:space="preserve">łac. </w:t>
      </w:r>
      <w:r w:rsidR="005F13C7" w:rsidRPr="002A2C8D">
        <w:rPr>
          <w:rFonts w:ascii="Arial" w:hAnsi="Arial" w:cs="Arial"/>
          <w:i/>
          <w:sz w:val="22"/>
          <w:szCs w:val="22"/>
        </w:rPr>
        <w:t>vigilantibus iura scripta sunt</w:t>
      </w:r>
      <w:r w:rsidR="00F57F8E" w:rsidRPr="002A2C8D">
        <w:rPr>
          <w:rFonts w:ascii="Arial" w:hAnsi="Arial" w:cs="Arial"/>
          <w:sz w:val="22"/>
          <w:szCs w:val="22"/>
        </w:rPr>
        <w:t>)</w:t>
      </w:r>
      <w:r w:rsidR="00F57F8E" w:rsidRPr="002A2C8D">
        <w:rPr>
          <w:rStyle w:val="Odwoanieprzypisudolnego"/>
          <w:rFonts w:ascii="Arial" w:hAnsi="Arial"/>
          <w:sz w:val="22"/>
          <w:szCs w:val="22"/>
        </w:rPr>
        <w:footnoteReference w:id="4"/>
      </w:r>
      <w:r w:rsidR="00F57F8E" w:rsidRPr="002A2C8D">
        <w:rPr>
          <w:rFonts w:ascii="Arial" w:hAnsi="Arial" w:cs="Arial"/>
          <w:sz w:val="22"/>
          <w:szCs w:val="22"/>
        </w:rPr>
        <w:t xml:space="preserve">. </w:t>
      </w:r>
      <w:r w:rsidR="001D07ED" w:rsidRPr="002A2C8D">
        <w:rPr>
          <w:rFonts w:ascii="Arial" w:hAnsi="Arial" w:cs="Arial"/>
          <w:sz w:val="22"/>
          <w:szCs w:val="22"/>
        </w:rPr>
        <w:t>J</w:t>
      </w:r>
      <w:r w:rsidR="00F57F8E" w:rsidRPr="002A2C8D">
        <w:rPr>
          <w:rFonts w:ascii="Arial" w:hAnsi="Arial" w:cs="Arial"/>
          <w:sz w:val="22"/>
          <w:szCs w:val="22"/>
        </w:rPr>
        <w:t xml:space="preserve">uż wówczas wskazywano, </w:t>
      </w:r>
      <w:r w:rsidR="00A26D20" w:rsidRPr="002A2C8D">
        <w:rPr>
          <w:rFonts w:ascii="Arial" w:hAnsi="Arial" w:cs="Arial"/>
          <w:sz w:val="22"/>
          <w:szCs w:val="22"/>
        </w:rPr>
        <w:t>że </w:t>
      </w:r>
      <w:r w:rsidR="005F13C7" w:rsidRPr="002A2C8D">
        <w:rPr>
          <w:rFonts w:ascii="Arial" w:hAnsi="Arial" w:cs="Arial"/>
          <w:sz w:val="22"/>
          <w:szCs w:val="22"/>
        </w:rPr>
        <w:t xml:space="preserve">warto rozważyć, czy w polskim projekcie </w:t>
      </w:r>
      <w:r w:rsidR="00F57F8E" w:rsidRPr="002A2C8D">
        <w:rPr>
          <w:rFonts w:ascii="Arial" w:hAnsi="Arial" w:cs="Arial"/>
          <w:sz w:val="22"/>
          <w:szCs w:val="22"/>
        </w:rPr>
        <w:t>U</w:t>
      </w:r>
      <w:r w:rsidR="005F13C7" w:rsidRPr="002A2C8D">
        <w:rPr>
          <w:rFonts w:ascii="Arial" w:hAnsi="Arial" w:cs="Arial"/>
          <w:sz w:val="22"/>
          <w:szCs w:val="22"/>
        </w:rPr>
        <w:t xml:space="preserve">stawy nie należałoby modelu </w:t>
      </w:r>
      <w:r w:rsidR="005F13C7" w:rsidRPr="002A2C8D">
        <w:rPr>
          <w:rFonts w:ascii="Arial" w:hAnsi="Arial" w:cs="Arial"/>
          <w:i/>
          <w:sz w:val="22"/>
          <w:szCs w:val="22"/>
        </w:rPr>
        <w:t>opt-in</w:t>
      </w:r>
      <w:r w:rsidR="005F13C7" w:rsidRPr="002A2C8D">
        <w:rPr>
          <w:rFonts w:ascii="Arial" w:hAnsi="Arial" w:cs="Arial"/>
          <w:sz w:val="22"/>
          <w:szCs w:val="22"/>
        </w:rPr>
        <w:t xml:space="preserve"> uzupełnić modelem o</w:t>
      </w:r>
      <w:r w:rsidR="005F13C7" w:rsidRPr="002A2C8D">
        <w:rPr>
          <w:rFonts w:ascii="Arial" w:hAnsi="Arial" w:cs="Arial"/>
          <w:i/>
          <w:sz w:val="22"/>
          <w:szCs w:val="22"/>
        </w:rPr>
        <w:t xml:space="preserve">pt-out </w:t>
      </w:r>
      <w:r w:rsidR="005F13C7" w:rsidRPr="002A2C8D">
        <w:rPr>
          <w:rFonts w:ascii="Arial" w:hAnsi="Arial" w:cs="Arial"/>
          <w:sz w:val="22"/>
          <w:szCs w:val="22"/>
        </w:rPr>
        <w:t>w postępowaniach grupowych, obejmujących niewielkie (małe) roszczenia (</w:t>
      </w:r>
      <w:r w:rsidR="00A26D20" w:rsidRPr="002A2C8D">
        <w:rPr>
          <w:rFonts w:ascii="Arial" w:hAnsi="Arial" w:cs="Arial"/>
          <w:sz w:val="22"/>
          <w:szCs w:val="22"/>
        </w:rPr>
        <w:t>gdzie </w:t>
      </w:r>
      <w:r w:rsidR="005F13C7" w:rsidRPr="002A2C8D">
        <w:rPr>
          <w:rFonts w:ascii="Arial" w:hAnsi="Arial" w:cs="Arial"/>
          <w:sz w:val="22"/>
          <w:szCs w:val="22"/>
        </w:rPr>
        <w:t xml:space="preserve">dysproporcje między kosztami postępowania a wartością roszczeń są czynnikiem odstraszającym </w:t>
      </w:r>
      <w:r w:rsidR="001D07ED" w:rsidRPr="002A2C8D">
        <w:rPr>
          <w:rFonts w:ascii="Arial" w:hAnsi="Arial" w:cs="Arial"/>
          <w:sz w:val="22"/>
          <w:szCs w:val="22"/>
        </w:rPr>
        <w:t xml:space="preserve">indywidualny proces), </w:t>
      </w:r>
      <w:r w:rsidR="005F13C7" w:rsidRPr="002A2C8D">
        <w:rPr>
          <w:rFonts w:ascii="Arial" w:hAnsi="Arial" w:cs="Arial"/>
          <w:sz w:val="22"/>
          <w:szCs w:val="22"/>
        </w:rPr>
        <w:t>wszczynanych przez niektóre podmioty publiczne (np</w:t>
      </w:r>
      <w:r w:rsidR="00A26D20" w:rsidRPr="002A2C8D">
        <w:rPr>
          <w:rFonts w:ascii="Arial" w:hAnsi="Arial" w:cs="Arial"/>
          <w:sz w:val="22"/>
          <w:szCs w:val="22"/>
        </w:rPr>
        <w:t>. </w:t>
      </w:r>
      <w:r w:rsidR="005F13C7" w:rsidRPr="002A2C8D">
        <w:rPr>
          <w:rFonts w:ascii="Arial" w:hAnsi="Arial" w:cs="Arial"/>
          <w:sz w:val="22"/>
          <w:szCs w:val="22"/>
        </w:rPr>
        <w:t xml:space="preserve">rzecznika </w:t>
      </w:r>
      <w:r w:rsidR="00F57F8E" w:rsidRPr="002A2C8D">
        <w:rPr>
          <w:rFonts w:ascii="Arial" w:hAnsi="Arial" w:cs="Arial"/>
          <w:sz w:val="22"/>
          <w:szCs w:val="22"/>
        </w:rPr>
        <w:t>konsumentów)</w:t>
      </w:r>
      <w:r w:rsidR="005F13C7" w:rsidRPr="002A2C8D">
        <w:rPr>
          <w:rFonts w:ascii="Arial" w:hAnsi="Arial" w:cs="Arial"/>
          <w:sz w:val="22"/>
          <w:szCs w:val="22"/>
          <w:vertAlign w:val="superscript"/>
        </w:rPr>
        <w:footnoteReference w:id="5"/>
      </w:r>
      <w:r w:rsidR="005F13C7" w:rsidRPr="002A2C8D">
        <w:rPr>
          <w:rFonts w:ascii="Arial" w:hAnsi="Arial" w:cs="Arial"/>
          <w:sz w:val="22"/>
          <w:szCs w:val="22"/>
        </w:rPr>
        <w:t xml:space="preserve">. </w:t>
      </w:r>
    </w:p>
    <w:p w:rsidR="005F13C7" w:rsidRPr="002A2C8D" w:rsidRDefault="001A27E8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lastRenderedPageBreak/>
        <w:t>Stanowisko</w:t>
      </w:r>
      <w:r w:rsidR="00370A52" w:rsidRPr="002A2C8D">
        <w:rPr>
          <w:rFonts w:ascii="Arial" w:hAnsi="Arial" w:cs="Arial"/>
          <w:sz w:val="22"/>
          <w:szCs w:val="22"/>
        </w:rPr>
        <w:t xml:space="preserve"> to wydaje się </w:t>
      </w:r>
      <w:r w:rsidRPr="002A2C8D">
        <w:rPr>
          <w:rFonts w:ascii="Arial" w:hAnsi="Arial" w:cs="Arial"/>
          <w:sz w:val="22"/>
          <w:szCs w:val="22"/>
        </w:rPr>
        <w:t>zasadne</w:t>
      </w:r>
      <w:r w:rsidR="00370A52" w:rsidRPr="002A2C8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F13C7" w:rsidRPr="002A2C8D">
        <w:rPr>
          <w:rFonts w:ascii="Arial" w:hAnsi="Arial" w:cs="Arial"/>
          <w:sz w:val="22"/>
          <w:szCs w:val="22"/>
        </w:rPr>
        <w:t xml:space="preserve">Warto </w:t>
      </w:r>
      <w:r w:rsidR="00370A52" w:rsidRPr="002A2C8D">
        <w:rPr>
          <w:rFonts w:ascii="Arial" w:hAnsi="Arial" w:cs="Arial"/>
          <w:sz w:val="22"/>
          <w:szCs w:val="22"/>
        </w:rPr>
        <w:t>bowiem</w:t>
      </w:r>
      <w:proofErr w:type="gramEnd"/>
      <w:r w:rsidR="00370A52" w:rsidRPr="002A2C8D">
        <w:rPr>
          <w:rFonts w:ascii="Arial" w:hAnsi="Arial" w:cs="Arial"/>
          <w:sz w:val="22"/>
          <w:szCs w:val="22"/>
        </w:rPr>
        <w:t xml:space="preserve"> </w:t>
      </w:r>
      <w:r w:rsidRPr="002A2C8D">
        <w:rPr>
          <w:rFonts w:ascii="Arial" w:hAnsi="Arial" w:cs="Arial"/>
          <w:sz w:val="22"/>
          <w:szCs w:val="22"/>
        </w:rPr>
        <w:t>wskazać</w:t>
      </w:r>
      <w:r w:rsidR="005F13C7" w:rsidRPr="002A2C8D">
        <w:rPr>
          <w:rFonts w:ascii="Arial" w:hAnsi="Arial" w:cs="Arial"/>
          <w:sz w:val="22"/>
          <w:szCs w:val="22"/>
        </w:rPr>
        <w:t xml:space="preserve">, że prawo do sądu należy </w:t>
      </w:r>
      <w:r w:rsidR="00F57F8E" w:rsidRPr="002A2C8D">
        <w:rPr>
          <w:rFonts w:ascii="Arial" w:hAnsi="Arial" w:cs="Arial"/>
          <w:sz w:val="22"/>
          <w:szCs w:val="22"/>
        </w:rPr>
        <w:t>rozumieć</w:t>
      </w:r>
      <w:r w:rsidR="005F13C7" w:rsidRPr="002A2C8D">
        <w:rPr>
          <w:rFonts w:ascii="Arial" w:hAnsi="Arial" w:cs="Arial"/>
          <w:sz w:val="22"/>
          <w:szCs w:val="22"/>
        </w:rPr>
        <w:t xml:space="preserve"> nie tylko </w:t>
      </w:r>
      <w:r w:rsidR="00F57F8E" w:rsidRPr="002A2C8D">
        <w:rPr>
          <w:rFonts w:ascii="Arial" w:hAnsi="Arial" w:cs="Arial"/>
          <w:sz w:val="22"/>
          <w:szCs w:val="22"/>
        </w:rPr>
        <w:t>jako formalne uprawnienie</w:t>
      </w:r>
      <w:r w:rsidR="005F13C7" w:rsidRPr="002A2C8D">
        <w:rPr>
          <w:rFonts w:ascii="Arial" w:hAnsi="Arial" w:cs="Arial"/>
          <w:sz w:val="22"/>
          <w:szCs w:val="22"/>
        </w:rPr>
        <w:t xml:space="preserve"> każdej osoby do wszczęcia akcji sądowej, </w:t>
      </w:r>
      <w:r w:rsidR="007341C2" w:rsidRPr="002A2C8D">
        <w:rPr>
          <w:rFonts w:ascii="Arial" w:hAnsi="Arial" w:cs="Arial"/>
          <w:sz w:val="22"/>
          <w:szCs w:val="22"/>
        </w:rPr>
        <w:t>ale także jako </w:t>
      </w:r>
      <w:r w:rsidR="005F13C7" w:rsidRPr="002A2C8D">
        <w:rPr>
          <w:rFonts w:ascii="Arial" w:hAnsi="Arial" w:cs="Arial"/>
          <w:sz w:val="22"/>
          <w:szCs w:val="22"/>
        </w:rPr>
        <w:t xml:space="preserve">zapewnienie przez państwo takich instytucji prawnych, które </w:t>
      </w:r>
      <w:r w:rsidR="007341C2" w:rsidRPr="002A2C8D">
        <w:rPr>
          <w:rFonts w:ascii="Arial" w:hAnsi="Arial" w:cs="Arial"/>
          <w:sz w:val="22"/>
          <w:szCs w:val="22"/>
        </w:rPr>
        <w:t xml:space="preserve">zagwarantują </w:t>
      </w:r>
      <w:r w:rsidR="005F13C7" w:rsidRPr="002A2C8D">
        <w:rPr>
          <w:rFonts w:ascii="Arial" w:hAnsi="Arial" w:cs="Arial"/>
          <w:b/>
          <w:sz w:val="22"/>
          <w:szCs w:val="22"/>
        </w:rPr>
        <w:t>efektywne dochodzenie praw</w:t>
      </w:r>
      <w:r w:rsidR="005F13C7" w:rsidRPr="002A2C8D">
        <w:rPr>
          <w:rFonts w:ascii="Arial" w:hAnsi="Arial" w:cs="Arial"/>
          <w:sz w:val="22"/>
          <w:szCs w:val="22"/>
          <w:vertAlign w:val="superscript"/>
        </w:rPr>
        <w:footnoteReference w:id="6"/>
      </w:r>
      <w:r w:rsidR="005F13C7" w:rsidRPr="002A2C8D">
        <w:rPr>
          <w:rFonts w:ascii="Arial" w:hAnsi="Arial" w:cs="Arial"/>
          <w:sz w:val="22"/>
          <w:szCs w:val="22"/>
        </w:rPr>
        <w:t>. W przypadku niewielkich roszczeń sięgających kil</w:t>
      </w:r>
      <w:r w:rsidR="00F57F8E" w:rsidRPr="002A2C8D">
        <w:rPr>
          <w:rFonts w:ascii="Arial" w:hAnsi="Arial" w:cs="Arial"/>
          <w:sz w:val="22"/>
          <w:szCs w:val="22"/>
        </w:rPr>
        <w:t xml:space="preserve">ku, </w:t>
      </w:r>
      <w:r w:rsidR="007341C2" w:rsidRPr="002A2C8D">
        <w:rPr>
          <w:rFonts w:ascii="Arial" w:hAnsi="Arial" w:cs="Arial"/>
          <w:sz w:val="22"/>
          <w:szCs w:val="22"/>
        </w:rPr>
        <w:t>czy </w:t>
      </w:r>
      <w:r w:rsidR="00F57F8E" w:rsidRPr="002A2C8D">
        <w:rPr>
          <w:rFonts w:ascii="Arial" w:hAnsi="Arial" w:cs="Arial"/>
          <w:sz w:val="22"/>
          <w:szCs w:val="22"/>
        </w:rPr>
        <w:t xml:space="preserve">kilkudziesięciu złotych, </w:t>
      </w:r>
      <w:r w:rsidR="005F13C7" w:rsidRPr="002A2C8D">
        <w:rPr>
          <w:rFonts w:ascii="Arial" w:hAnsi="Arial" w:cs="Arial"/>
          <w:sz w:val="22"/>
          <w:szCs w:val="22"/>
        </w:rPr>
        <w:t>pomimo formalnego prawa do sądu</w:t>
      </w:r>
      <w:r w:rsidR="00F57F8E" w:rsidRPr="002A2C8D">
        <w:rPr>
          <w:rFonts w:ascii="Arial" w:hAnsi="Arial" w:cs="Arial"/>
          <w:sz w:val="22"/>
          <w:szCs w:val="22"/>
        </w:rPr>
        <w:t xml:space="preserve">, mało prawdopodobne jest, </w:t>
      </w:r>
      <w:r w:rsidR="007341C2" w:rsidRPr="002A2C8D">
        <w:rPr>
          <w:rFonts w:ascii="Arial" w:hAnsi="Arial" w:cs="Arial"/>
          <w:sz w:val="22"/>
          <w:szCs w:val="22"/>
        </w:rPr>
        <w:t>że </w:t>
      </w:r>
      <w:r w:rsidR="00F57F8E" w:rsidRPr="002A2C8D">
        <w:rPr>
          <w:rFonts w:ascii="Arial" w:hAnsi="Arial" w:cs="Arial"/>
          <w:sz w:val="22"/>
          <w:szCs w:val="22"/>
        </w:rPr>
        <w:t>poszkodowany</w:t>
      </w:r>
      <w:r w:rsidR="005F13C7" w:rsidRPr="002A2C8D">
        <w:rPr>
          <w:rFonts w:ascii="Arial" w:hAnsi="Arial" w:cs="Arial"/>
          <w:sz w:val="22"/>
          <w:szCs w:val="22"/>
        </w:rPr>
        <w:t xml:space="preserve"> rozpocznie postępowani</w:t>
      </w:r>
      <w:r w:rsidR="00F57F8E" w:rsidRPr="002A2C8D">
        <w:rPr>
          <w:rFonts w:ascii="Arial" w:hAnsi="Arial" w:cs="Arial"/>
          <w:sz w:val="22"/>
          <w:szCs w:val="22"/>
        </w:rPr>
        <w:t>e</w:t>
      </w:r>
      <w:r w:rsidR="005F13C7" w:rsidRPr="002A2C8D">
        <w:rPr>
          <w:rFonts w:ascii="Arial" w:hAnsi="Arial" w:cs="Arial"/>
          <w:sz w:val="22"/>
          <w:szCs w:val="22"/>
        </w:rPr>
        <w:t xml:space="preserve"> sądowe. </w:t>
      </w:r>
    </w:p>
    <w:p w:rsidR="005F13C7" w:rsidRPr="002A2C8D" w:rsidRDefault="005F13C7" w:rsidP="00691099">
      <w:pPr>
        <w:spacing w:after="20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2A2C8D">
        <w:rPr>
          <w:rFonts w:ascii="Arial" w:hAnsi="Arial" w:cs="Arial"/>
          <w:b/>
          <w:sz w:val="22"/>
          <w:szCs w:val="22"/>
        </w:rPr>
        <w:t xml:space="preserve">Wprowadzenie do polskiego porządku prawnego </w:t>
      </w:r>
      <w:r w:rsidR="00370A52" w:rsidRPr="002A2C8D">
        <w:rPr>
          <w:rFonts w:ascii="Arial" w:hAnsi="Arial" w:cs="Arial"/>
          <w:b/>
          <w:sz w:val="22"/>
          <w:szCs w:val="22"/>
        </w:rPr>
        <w:t xml:space="preserve">modelu </w:t>
      </w:r>
      <w:proofErr w:type="gramStart"/>
      <w:r w:rsidR="00370A52" w:rsidRPr="002A2C8D">
        <w:rPr>
          <w:rFonts w:ascii="Arial" w:hAnsi="Arial" w:cs="Arial"/>
          <w:b/>
          <w:i/>
          <w:sz w:val="22"/>
          <w:szCs w:val="22"/>
        </w:rPr>
        <w:t>opt-out</w:t>
      </w:r>
      <w:r w:rsidR="001D07ED" w:rsidRPr="002A2C8D">
        <w:rPr>
          <w:rFonts w:ascii="Arial" w:hAnsi="Arial" w:cs="Arial"/>
          <w:b/>
          <w:sz w:val="22"/>
          <w:szCs w:val="22"/>
        </w:rPr>
        <w:t xml:space="preserve"> – </w:t>
      </w:r>
      <w:r w:rsidR="00370A52" w:rsidRPr="002A2C8D">
        <w:rPr>
          <w:rFonts w:ascii="Arial" w:hAnsi="Arial" w:cs="Arial"/>
          <w:b/>
          <w:sz w:val="22"/>
          <w:szCs w:val="22"/>
        </w:rPr>
        <w:t>jako</w:t>
      </w:r>
      <w:proofErr w:type="gramEnd"/>
      <w:r w:rsidR="00370A52" w:rsidRPr="002A2C8D">
        <w:rPr>
          <w:rFonts w:ascii="Arial" w:hAnsi="Arial" w:cs="Arial"/>
          <w:b/>
          <w:sz w:val="22"/>
          <w:szCs w:val="22"/>
        </w:rPr>
        <w:t xml:space="preserve"> </w:t>
      </w:r>
      <w:r w:rsidRPr="002A2C8D">
        <w:rPr>
          <w:rFonts w:ascii="Arial" w:hAnsi="Arial" w:cs="Arial"/>
          <w:b/>
          <w:sz w:val="22"/>
          <w:szCs w:val="22"/>
        </w:rPr>
        <w:t xml:space="preserve">alternatywnego wariantu </w:t>
      </w:r>
      <w:r w:rsidR="001D07ED" w:rsidRPr="002A2C8D">
        <w:rPr>
          <w:rFonts w:ascii="Arial" w:hAnsi="Arial" w:cs="Arial"/>
          <w:b/>
          <w:sz w:val="22"/>
          <w:szCs w:val="22"/>
        </w:rPr>
        <w:t xml:space="preserve">grupowego dochodzenia roszczeń – </w:t>
      </w:r>
      <w:r w:rsidRPr="002A2C8D">
        <w:rPr>
          <w:rFonts w:ascii="Arial" w:hAnsi="Arial" w:cs="Arial"/>
          <w:b/>
          <w:sz w:val="22"/>
          <w:szCs w:val="22"/>
        </w:rPr>
        <w:t xml:space="preserve">przyczyniłoby </w:t>
      </w:r>
      <w:r w:rsidR="007341C2" w:rsidRPr="002A2C8D">
        <w:rPr>
          <w:rFonts w:ascii="Arial" w:hAnsi="Arial" w:cs="Arial"/>
          <w:b/>
          <w:sz w:val="22"/>
          <w:szCs w:val="22"/>
        </w:rPr>
        <w:t xml:space="preserve">się </w:t>
      </w:r>
      <w:r w:rsidRPr="002A2C8D">
        <w:rPr>
          <w:rFonts w:ascii="Arial" w:hAnsi="Arial" w:cs="Arial"/>
          <w:b/>
          <w:sz w:val="22"/>
          <w:szCs w:val="22"/>
        </w:rPr>
        <w:t>zatem do zwiększenia skuteczności ochrony praw obywateli, realizowanej poprzez konstytucyjne prawo do sądu.</w:t>
      </w:r>
    </w:p>
    <w:p w:rsidR="00370A52" w:rsidRPr="002A2C8D" w:rsidRDefault="001D07ED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Należy podkreślić, </w:t>
      </w:r>
      <w:r w:rsidR="005F13C7" w:rsidRPr="002A2C8D">
        <w:rPr>
          <w:rFonts w:ascii="Arial" w:hAnsi="Arial" w:cs="Arial"/>
          <w:sz w:val="22"/>
          <w:szCs w:val="22"/>
        </w:rPr>
        <w:t>ż</w:t>
      </w:r>
      <w:r w:rsidRPr="002A2C8D">
        <w:rPr>
          <w:rFonts w:ascii="Arial" w:hAnsi="Arial" w:cs="Arial"/>
          <w:sz w:val="22"/>
          <w:szCs w:val="22"/>
        </w:rPr>
        <w:t>e</w:t>
      </w:r>
      <w:r w:rsidR="005F13C7" w:rsidRPr="002A2C8D">
        <w:rPr>
          <w:rFonts w:ascii="Arial" w:hAnsi="Arial" w:cs="Arial"/>
          <w:sz w:val="22"/>
          <w:szCs w:val="22"/>
        </w:rPr>
        <w:t xml:space="preserve"> już </w:t>
      </w:r>
      <w:r w:rsidRPr="002A2C8D">
        <w:rPr>
          <w:rFonts w:ascii="Arial" w:hAnsi="Arial" w:cs="Arial"/>
          <w:sz w:val="22"/>
          <w:szCs w:val="22"/>
        </w:rPr>
        <w:t>w 2008 r.</w:t>
      </w:r>
      <w:r w:rsidR="005F13C7" w:rsidRPr="002A2C8D">
        <w:rPr>
          <w:rFonts w:ascii="Arial" w:hAnsi="Arial" w:cs="Arial"/>
          <w:sz w:val="22"/>
          <w:szCs w:val="22"/>
        </w:rPr>
        <w:t xml:space="preserve"> Komisja Europejska</w:t>
      </w:r>
      <w:r w:rsidR="005F13C7" w:rsidRPr="002A2C8D">
        <w:rPr>
          <w:rFonts w:ascii="Arial" w:hAnsi="Arial" w:cs="Arial"/>
          <w:sz w:val="22"/>
          <w:szCs w:val="22"/>
          <w:vertAlign w:val="superscript"/>
        </w:rPr>
        <w:footnoteReference w:id="7"/>
      </w:r>
      <w:r w:rsidR="005F13C7" w:rsidRPr="002A2C8D">
        <w:rPr>
          <w:rFonts w:ascii="Arial" w:hAnsi="Arial" w:cs="Arial"/>
          <w:sz w:val="22"/>
          <w:szCs w:val="22"/>
        </w:rPr>
        <w:t xml:space="preserve"> wskazywała na istnienie praktycznych przeszkód utrudniających europejskim konsumentom skuteczne dochodzenie ich roszczeń. Przeszkody te były i </w:t>
      </w:r>
      <w:r w:rsidRPr="002A2C8D">
        <w:rPr>
          <w:rFonts w:ascii="Arial" w:hAnsi="Arial" w:cs="Arial"/>
          <w:sz w:val="22"/>
          <w:szCs w:val="22"/>
        </w:rPr>
        <w:t>nadal są</w:t>
      </w:r>
      <w:r w:rsidR="005F13C7" w:rsidRPr="002A2C8D">
        <w:rPr>
          <w:rFonts w:ascii="Arial" w:hAnsi="Arial" w:cs="Arial"/>
          <w:sz w:val="22"/>
          <w:szCs w:val="22"/>
        </w:rPr>
        <w:t xml:space="preserve"> związane </w:t>
      </w:r>
      <w:r w:rsidRPr="002A2C8D">
        <w:rPr>
          <w:rFonts w:ascii="Arial" w:hAnsi="Arial" w:cs="Arial"/>
          <w:sz w:val="22"/>
          <w:szCs w:val="22"/>
        </w:rPr>
        <w:t xml:space="preserve">głównie </w:t>
      </w:r>
      <w:r w:rsidR="005F13C7" w:rsidRPr="002A2C8D">
        <w:rPr>
          <w:rFonts w:ascii="Arial" w:hAnsi="Arial" w:cs="Arial"/>
          <w:sz w:val="22"/>
          <w:szCs w:val="22"/>
        </w:rPr>
        <w:t xml:space="preserve">z wysokimi kosztami postępowania sądowego oraz złożonymi i długotrwałymi procedurami związanymi z dochodzeniem swoich </w:t>
      </w:r>
      <w:proofErr w:type="gramStart"/>
      <w:r w:rsidR="005F13C7" w:rsidRPr="002A2C8D">
        <w:rPr>
          <w:rFonts w:ascii="Arial" w:hAnsi="Arial" w:cs="Arial"/>
          <w:sz w:val="22"/>
          <w:szCs w:val="22"/>
        </w:rPr>
        <w:t>praw</w:t>
      </w:r>
      <w:proofErr w:type="gramEnd"/>
      <w:r w:rsidR="005F13C7" w:rsidRPr="002A2C8D">
        <w:rPr>
          <w:rFonts w:ascii="Arial" w:hAnsi="Arial" w:cs="Arial"/>
          <w:sz w:val="22"/>
          <w:szCs w:val="22"/>
        </w:rPr>
        <w:t xml:space="preserve"> </w:t>
      </w:r>
      <w:r w:rsidR="007341C2" w:rsidRPr="002A2C8D">
        <w:rPr>
          <w:rFonts w:ascii="Arial" w:hAnsi="Arial" w:cs="Arial"/>
          <w:sz w:val="22"/>
          <w:szCs w:val="22"/>
        </w:rPr>
        <w:t>przed </w:t>
      </w:r>
      <w:r w:rsidR="005F13C7" w:rsidRPr="002A2C8D">
        <w:rPr>
          <w:rFonts w:ascii="Arial" w:hAnsi="Arial" w:cs="Arial"/>
          <w:sz w:val="22"/>
          <w:szCs w:val="22"/>
        </w:rPr>
        <w:t xml:space="preserve">sądem. </w:t>
      </w:r>
    </w:p>
    <w:p w:rsidR="00021E0A" w:rsidRPr="002A2C8D" w:rsidRDefault="005F13C7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Zgodnie z wynikami badań Eurobarometru obejmującymi obywateli 15 państw tzw. starej UE</w:t>
      </w:r>
      <w:r w:rsidRPr="002A2C8D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2A2C8D">
        <w:rPr>
          <w:rFonts w:ascii="Arial" w:hAnsi="Arial" w:cs="Arial"/>
          <w:sz w:val="22"/>
          <w:szCs w:val="22"/>
          <w:vertAlign w:val="superscript"/>
        </w:rPr>
        <w:t>,</w:t>
      </w:r>
      <w:r w:rsidRPr="002A2C8D">
        <w:rPr>
          <w:rFonts w:ascii="Arial" w:hAnsi="Arial" w:cs="Arial"/>
          <w:sz w:val="22"/>
          <w:szCs w:val="22"/>
        </w:rPr>
        <w:t xml:space="preserve"> </w:t>
      </w:r>
      <w:r w:rsidR="007341C2" w:rsidRPr="002A2C8D">
        <w:rPr>
          <w:rFonts w:ascii="Arial" w:hAnsi="Arial" w:cs="Arial"/>
          <w:sz w:val="22"/>
          <w:szCs w:val="22"/>
        </w:rPr>
        <w:t>co </w:t>
      </w:r>
      <w:r w:rsidRPr="002A2C8D">
        <w:rPr>
          <w:rFonts w:ascii="Arial" w:hAnsi="Arial" w:cs="Arial"/>
          <w:sz w:val="22"/>
          <w:szCs w:val="22"/>
        </w:rPr>
        <w:t>piąty konsument nie skieruje sprawy do sądu, jeżeli dotyczy ona kwoty niższej niż 1 000 euro, zaś progiem dla połowy konsumentów jest kwota 200 euro. Nie wydaje się, by zachowania polskich konsumentów zasadniczo odbiegały od teg</w:t>
      </w:r>
      <w:r w:rsidR="00370A52" w:rsidRPr="002A2C8D">
        <w:rPr>
          <w:rFonts w:ascii="Arial" w:hAnsi="Arial" w:cs="Arial"/>
          <w:sz w:val="22"/>
          <w:szCs w:val="22"/>
        </w:rPr>
        <w:t xml:space="preserve">o trendu. </w:t>
      </w:r>
      <w:r w:rsidR="00C26A62" w:rsidRPr="002A2C8D">
        <w:rPr>
          <w:rFonts w:ascii="Arial" w:hAnsi="Arial" w:cs="Arial"/>
          <w:sz w:val="22"/>
          <w:szCs w:val="22"/>
        </w:rPr>
        <w:t>Ponadto, p</w:t>
      </w:r>
      <w:r w:rsidR="00370A52" w:rsidRPr="002A2C8D">
        <w:rPr>
          <w:rFonts w:ascii="Arial" w:hAnsi="Arial" w:cs="Arial"/>
          <w:sz w:val="22"/>
          <w:szCs w:val="22"/>
        </w:rPr>
        <w:t>rzeprowadzone w 2008 r.</w:t>
      </w:r>
      <w:r w:rsidRPr="002A2C8D">
        <w:rPr>
          <w:rFonts w:ascii="Arial" w:hAnsi="Arial" w:cs="Arial"/>
          <w:sz w:val="22"/>
          <w:szCs w:val="22"/>
        </w:rPr>
        <w:t xml:space="preserve">, a więc już po rozszerzeniu UE badania wykazały, iż procedury dochodzenia roszczeń konsumenckich są tak skomplikowane i długotrwałe, że konsumenci </w:t>
      </w:r>
      <w:r w:rsidR="00021E0A" w:rsidRPr="002A2C8D">
        <w:rPr>
          <w:rFonts w:ascii="Arial" w:hAnsi="Arial" w:cs="Arial"/>
          <w:sz w:val="22"/>
          <w:szCs w:val="22"/>
        </w:rPr>
        <w:t>nie są skłoni się w nie wikłać</w:t>
      </w:r>
      <w:r w:rsidRPr="002A2C8D">
        <w:rPr>
          <w:rFonts w:ascii="Arial" w:hAnsi="Arial" w:cs="Arial"/>
          <w:sz w:val="22"/>
          <w:szCs w:val="22"/>
        </w:rPr>
        <w:t xml:space="preserve"> bez jasnego </w:t>
      </w:r>
      <w:proofErr w:type="gramStart"/>
      <w:r w:rsidRPr="002A2C8D">
        <w:rPr>
          <w:rFonts w:ascii="Arial" w:hAnsi="Arial" w:cs="Arial"/>
          <w:sz w:val="22"/>
          <w:szCs w:val="22"/>
        </w:rPr>
        <w:t>wyobrażenia kiedy</w:t>
      </w:r>
      <w:proofErr w:type="gramEnd"/>
      <w:r w:rsidRPr="002A2C8D">
        <w:rPr>
          <w:rFonts w:ascii="Arial" w:hAnsi="Arial" w:cs="Arial"/>
          <w:sz w:val="22"/>
          <w:szCs w:val="22"/>
        </w:rPr>
        <w:t xml:space="preserve">, o ile w ogóle, ich sprawa zostanie pomyślnie rozstrzygnięta. </w:t>
      </w:r>
      <w:r w:rsidR="007341C2" w:rsidRPr="002A2C8D">
        <w:rPr>
          <w:rFonts w:ascii="Arial" w:hAnsi="Arial" w:cs="Arial"/>
          <w:sz w:val="22"/>
          <w:szCs w:val="22"/>
        </w:rPr>
        <w:t>Tylko </w:t>
      </w:r>
      <w:r w:rsidRPr="002A2C8D">
        <w:rPr>
          <w:rFonts w:ascii="Arial" w:hAnsi="Arial" w:cs="Arial"/>
          <w:sz w:val="22"/>
          <w:szCs w:val="22"/>
        </w:rPr>
        <w:t>30% konsumentów było zdania, że rozwiązywanie sporów w sądach jest łatwe</w:t>
      </w:r>
      <w:r w:rsidRPr="002A2C8D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2A2C8D">
        <w:rPr>
          <w:rFonts w:ascii="Arial" w:hAnsi="Arial" w:cs="Arial"/>
          <w:sz w:val="22"/>
          <w:szCs w:val="22"/>
        </w:rPr>
        <w:t xml:space="preserve">. Stan </w:t>
      </w:r>
      <w:r w:rsidR="007341C2" w:rsidRPr="002A2C8D">
        <w:rPr>
          <w:rFonts w:ascii="Arial" w:hAnsi="Arial" w:cs="Arial"/>
          <w:sz w:val="22"/>
          <w:szCs w:val="22"/>
        </w:rPr>
        <w:t>ten do </w:t>
      </w:r>
      <w:r w:rsidRPr="002A2C8D">
        <w:rPr>
          <w:rFonts w:ascii="Arial" w:hAnsi="Arial" w:cs="Arial"/>
          <w:sz w:val="22"/>
          <w:szCs w:val="22"/>
        </w:rPr>
        <w:t xml:space="preserve">chwili obecnej nie uległ zmianie. </w:t>
      </w:r>
    </w:p>
    <w:p w:rsidR="00370A52" w:rsidRPr="002A2C8D" w:rsidRDefault="005F13C7" w:rsidP="00691099">
      <w:pPr>
        <w:spacing w:after="20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2A2C8D">
        <w:rPr>
          <w:rFonts w:ascii="Arial" w:hAnsi="Arial" w:cs="Arial"/>
          <w:b/>
          <w:sz w:val="22"/>
          <w:szCs w:val="22"/>
        </w:rPr>
        <w:t xml:space="preserve">Czynnikami zniechęcającymi do powszechnego dochodzenia przez konsumentów relatywnie niewielkich kwot nadal pozostają nadmiernie rozbudowane i skomplikowane procedury dochodzenia roszczeń, w tym także w postępowaniu grupowym. </w:t>
      </w:r>
    </w:p>
    <w:p w:rsidR="005F13C7" w:rsidRPr="002A2C8D" w:rsidRDefault="005F13C7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W odniesieniu do obecnie obowiązującego w Polsce modelu postępowania grupowego w dalszym ciągu aktualne pozostają obserwacje Komisji Europejskiej,</w:t>
      </w:r>
      <w:r w:rsidR="00C26A62" w:rsidRPr="002A2C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6A62" w:rsidRPr="002A2C8D">
        <w:rPr>
          <w:rFonts w:ascii="Arial" w:hAnsi="Arial" w:cs="Arial"/>
          <w:sz w:val="22"/>
          <w:szCs w:val="22"/>
        </w:rPr>
        <w:t>zgodnie z którymi</w:t>
      </w:r>
      <w:proofErr w:type="gramEnd"/>
      <w:r w:rsidR="00C26A62" w:rsidRPr="002A2C8D">
        <w:rPr>
          <w:rFonts w:ascii="Arial" w:hAnsi="Arial" w:cs="Arial"/>
          <w:sz w:val="22"/>
          <w:szCs w:val="22"/>
        </w:rPr>
        <w:t xml:space="preserve"> wydajności i </w:t>
      </w:r>
      <w:r w:rsidRPr="002A2C8D">
        <w:rPr>
          <w:rFonts w:ascii="Arial" w:hAnsi="Arial" w:cs="Arial"/>
          <w:sz w:val="22"/>
          <w:szCs w:val="22"/>
        </w:rPr>
        <w:t>skuteczności mechanizmów dochodzenia roszczeń zbiorowych szkodzą takie elementy jak m.in.: ich złożoność, surowe warunki wstępne dotyczące dopuszczalności, nieumiejętność właściwego rozdzielania dochodów z odszkodowania czy też stosowanie jednego mechanizmu dochodzenia roszczeń zbiorowych do wszelkich roszczeń, bez dostosowania go do wartości, potrzeb i specyfiki poszczególnych roszczeń</w:t>
      </w:r>
      <w:r w:rsidRPr="002A2C8D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2A2C8D">
        <w:rPr>
          <w:rFonts w:ascii="Arial" w:hAnsi="Arial" w:cs="Arial"/>
          <w:sz w:val="22"/>
          <w:szCs w:val="22"/>
        </w:rPr>
        <w:t>.</w:t>
      </w:r>
    </w:p>
    <w:p w:rsidR="005F13C7" w:rsidRPr="002A2C8D" w:rsidRDefault="00497705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lastRenderedPageBreak/>
        <w:t>Jako remedium, pozwalające na</w:t>
      </w:r>
      <w:r w:rsidR="005F13C7" w:rsidRPr="002A2C8D">
        <w:rPr>
          <w:rFonts w:ascii="Arial" w:hAnsi="Arial" w:cs="Arial"/>
          <w:sz w:val="22"/>
          <w:szCs w:val="22"/>
        </w:rPr>
        <w:t xml:space="preserve"> upowszechnienie skutecznego dochodzenia drobnych rosz</w:t>
      </w:r>
      <w:r w:rsidR="00C26A62" w:rsidRPr="002A2C8D">
        <w:rPr>
          <w:rFonts w:ascii="Arial" w:hAnsi="Arial" w:cs="Arial"/>
          <w:sz w:val="22"/>
          <w:szCs w:val="22"/>
        </w:rPr>
        <w:t xml:space="preserve">czeń, wskazywane jest przyjęcie – w pewnym zakresie – możliwości stosowania </w:t>
      </w:r>
      <w:r w:rsidR="005F13C7" w:rsidRPr="002A2C8D">
        <w:rPr>
          <w:rFonts w:ascii="Arial" w:hAnsi="Arial" w:cs="Arial"/>
          <w:sz w:val="22"/>
          <w:szCs w:val="22"/>
        </w:rPr>
        <w:t xml:space="preserve">modelu </w:t>
      </w:r>
      <w:proofErr w:type="gramStart"/>
      <w:r w:rsidR="005F13C7" w:rsidRPr="002A2C8D">
        <w:rPr>
          <w:rFonts w:ascii="Arial" w:hAnsi="Arial" w:cs="Arial"/>
          <w:i/>
          <w:sz w:val="22"/>
          <w:szCs w:val="22"/>
        </w:rPr>
        <w:t>opt-out</w:t>
      </w:r>
      <w:r w:rsidR="005F13C7" w:rsidRPr="002A2C8D"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691099" w:rsidRPr="002A2C8D" w:rsidRDefault="00691099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Uwagi te należy odnieść </w:t>
      </w:r>
      <w:r w:rsidR="00021E0A" w:rsidRPr="002A2C8D">
        <w:rPr>
          <w:rFonts w:ascii="Arial" w:hAnsi="Arial" w:cs="Arial"/>
          <w:sz w:val="22"/>
          <w:szCs w:val="22"/>
        </w:rPr>
        <w:t xml:space="preserve">nie tylko do roszczeń konsumentów, ale </w:t>
      </w:r>
      <w:r w:rsidRPr="002A2C8D">
        <w:rPr>
          <w:rFonts w:ascii="Arial" w:hAnsi="Arial" w:cs="Arial"/>
          <w:sz w:val="22"/>
          <w:szCs w:val="22"/>
        </w:rPr>
        <w:t xml:space="preserve">także do niewielkich roszczeń związanych z naruszeniem prawa konkurencji. Warto przy tym zaznaczyć, że zdecydowana większość przedsiębiorców w Polsce prowadzi działalność gospodarczą na podstawie wpisu </w:t>
      </w:r>
      <w:r w:rsidR="007341C2" w:rsidRPr="002A2C8D">
        <w:rPr>
          <w:rFonts w:ascii="Arial" w:hAnsi="Arial" w:cs="Arial"/>
          <w:sz w:val="22"/>
          <w:szCs w:val="22"/>
        </w:rPr>
        <w:t>do </w:t>
      </w:r>
      <w:r w:rsidRPr="002A2C8D">
        <w:rPr>
          <w:rFonts w:ascii="Arial" w:hAnsi="Arial" w:cs="Arial"/>
          <w:sz w:val="22"/>
          <w:szCs w:val="22"/>
        </w:rPr>
        <w:t>Centralnej Ewidencji i Informacji o Działalności Gospodarczej i nal</w:t>
      </w:r>
      <w:r w:rsidR="00021E0A" w:rsidRPr="002A2C8D">
        <w:rPr>
          <w:rFonts w:ascii="Arial" w:hAnsi="Arial" w:cs="Arial"/>
          <w:sz w:val="22"/>
          <w:szCs w:val="22"/>
        </w:rPr>
        <w:t>eży do sektora mikro-, małych i </w:t>
      </w:r>
      <w:r w:rsidRPr="002A2C8D">
        <w:rPr>
          <w:rFonts w:ascii="Arial" w:hAnsi="Arial" w:cs="Arial"/>
          <w:sz w:val="22"/>
          <w:szCs w:val="22"/>
        </w:rPr>
        <w:t xml:space="preserve">średnich przedsiębiorstw. Z drugiej strony, świadomość konsumentów systematycznie rośnie. Tym bardziej uzasadnione wydaje się rozważanie możliwości zwiększenia efektywności ochrony sądowej przedsiębiorców w ramach postępowa grupowego. </w:t>
      </w:r>
    </w:p>
    <w:p w:rsidR="005F13C7" w:rsidRPr="002A2C8D" w:rsidRDefault="00691099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P</w:t>
      </w:r>
      <w:r w:rsidR="005F13C7" w:rsidRPr="002A2C8D">
        <w:rPr>
          <w:rFonts w:ascii="Arial" w:hAnsi="Arial" w:cs="Arial"/>
          <w:sz w:val="22"/>
          <w:szCs w:val="22"/>
        </w:rPr>
        <w:t xml:space="preserve">rzyjęcie modelu </w:t>
      </w:r>
      <w:r w:rsidR="005F13C7" w:rsidRPr="002A2C8D">
        <w:rPr>
          <w:rFonts w:ascii="Arial" w:hAnsi="Arial" w:cs="Arial"/>
          <w:i/>
          <w:sz w:val="22"/>
          <w:szCs w:val="22"/>
        </w:rPr>
        <w:t>opt-out</w:t>
      </w:r>
      <w:r w:rsidR="005F13C7" w:rsidRPr="002A2C8D">
        <w:rPr>
          <w:rFonts w:ascii="Arial" w:hAnsi="Arial" w:cs="Arial"/>
          <w:sz w:val="22"/>
          <w:szCs w:val="22"/>
        </w:rPr>
        <w:t xml:space="preserve"> jawi </w:t>
      </w:r>
      <w:proofErr w:type="gramStart"/>
      <w:r w:rsidR="005F13C7" w:rsidRPr="002A2C8D">
        <w:rPr>
          <w:rFonts w:ascii="Arial" w:hAnsi="Arial" w:cs="Arial"/>
          <w:sz w:val="22"/>
          <w:szCs w:val="22"/>
        </w:rPr>
        <w:t xml:space="preserve">się </w:t>
      </w:r>
      <w:r w:rsidRPr="002A2C8D">
        <w:rPr>
          <w:rFonts w:ascii="Arial" w:hAnsi="Arial" w:cs="Arial"/>
          <w:sz w:val="22"/>
          <w:szCs w:val="22"/>
        </w:rPr>
        <w:t>zatem</w:t>
      </w:r>
      <w:proofErr w:type="gramEnd"/>
      <w:r w:rsidRPr="002A2C8D">
        <w:rPr>
          <w:rFonts w:ascii="Arial" w:hAnsi="Arial" w:cs="Arial"/>
          <w:sz w:val="22"/>
          <w:szCs w:val="22"/>
        </w:rPr>
        <w:t xml:space="preserve"> </w:t>
      </w:r>
      <w:r w:rsidR="005F13C7" w:rsidRPr="002A2C8D">
        <w:rPr>
          <w:rFonts w:ascii="Arial" w:hAnsi="Arial" w:cs="Arial"/>
          <w:sz w:val="22"/>
          <w:szCs w:val="22"/>
        </w:rPr>
        <w:t xml:space="preserve">nie tyle jako ograniczenie prawa jednostki do sądu, </w:t>
      </w:r>
      <w:r w:rsidR="007341C2" w:rsidRPr="002A2C8D">
        <w:rPr>
          <w:rFonts w:ascii="Arial" w:hAnsi="Arial" w:cs="Arial"/>
          <w:sz w:val="22"/>
          <w:szCs w:val="22"/>
        </w:rPr>
        <w:t>lecz </w:t>
      </w:r>
      <w:r w:rsidR="005F13C7" w:rsidRPr="002A2C8D">
        <w:rPr>
          <w:rFonts w:ascii="Arial" w:hAnsi="Arial" w:cs="Arial"/>
          <w:sz w:val="22"/>
          <w:szCs w:val="22"/>
        </w:rPr>
        <w:t xml:space="preserve">jako </w:t>
      </w:r>
      <w:r w:rsidR="00C26A62" w:rsidRPr="002A2C8D">
        <w:rPr>
          <w:rFonts w:ascii="Arial" w:hAnsi="Arial" w:cs="Arial"/>
          <w:sz w:val="22"/>
          <w:szCs w:val="22"/>
        </w:rPr>
        <w:t>sposób jego urzeczywistnienia</w:t>
      </w:r>
      <w:r w:rsidR="005F13C7" w:rsidRPr="002A2C8D">
        <w:rPr>
          <w:rFonts w:ascii="Arial" w:hAnsi="Arial" w:cs="Arial"/>
          <w:sz w:val="22"/>
          <w:szCs w:val="22"/>
        </w:rPr>
        <w:t xml:space="preserve">. W przypadku </w:t>
      </w:r>
      <w:r w:rsidR="00C26A62" w:rsidRPr="002A2C8D">
        <w:rPr>
          <w:rFonts w:ascii="Arial" w:hAnsi="Arial" w:cs="Arial"/>
          <w:sz w:val="22"/>
          <w:szCs w:val="22"/>
        </w:rPr>
        <w:t xml:space="preserve">relatywnie </w:t>
      </w:r>
      <w:r w:rsidR="005F13C7" w:rsidRPr="002A2C8D">
        <w:rPr>
          <w:rFonts w:ascii="Arial" w:hAnsi="Arial" w:cs="Arial"/>
          <w:sz w:val="22"/>
          <w:szCs w:val="22"/>
        </w:rPr>
        <w:t xml:space="preserve">drobnych roszczeń model </w:t>
      </w:r>
      <w:r w:rsidR="005F13C7" w:rsidRPr="002A2C8D">
        <w:rPr>
          <w:rFonts w:ascii="Arial" w:hAnsi="Arial" w:cs="Arial"/>
          <w:i/>
          <w:sz w:val="22"/>
          <w:szCs w:val="22"/>
        </w:rPr>
        <w:t>opt-out</w:t>
      </w:r>
      <w:r w:rsidR="005F13C7" w:rsidRPr="002A2C8D">
        <w:rPr>
          <w:rFonts w:ascii="Arial" w:hAnsi="Arial" w:cs="Arial"/>
          <w:sz w:val="22"/>
          <w:szCs w:val="22"/>
        </w:rPr>
        <w:t xml:space="preserve"> stanowiłby prawdopodobnie jedyną instytucję zapewniającą skuteczne dochodzenie na drodze sądowej naprawienia szkody wyrządzonej </w:t>
      </w:r>
      <w:r w:rsidR="00021E0A" w:rsidRPr="002A2C8D">
        <w:rPr>
          <w:rFonts w:ascii="Arial" w:hAnsi="Arial" w:cs="Arial"/>
          <w:sz w:val="22"/>
          <w:szCs w:val="22"/>
        </w:rPr>
        <w:t>osobom</w:t>
      </w:r>
      <w:r w:rsidR="006701A3">
        <w:rPr>
          <w:rFonts w:ascii="Arial" w:hAnsi="Arial" w:cs="Arial"/>
          <w:sz w:val="22"/>
          <w:szCs w:val="22"/>
        </w:rPr>
        <w:t>, których duża czę</w:t>
      </w:r>
      <w:r w:rsidR="005F13C7" w:rsidRPr="002A2C8D">
        <w:rPr>
          <w:rFonts w:ascii="Arial" w:hAnsi="Arial" w:cs="Arial"/>
          <w:sz w:val="22"/>
          <w:szCs w:val="22"/>
        </w:rPr>
        <w:t xml:space="preserve">ść z różnych przyczyn nie uczestniczy w postępowaniach opartych na modelu </w:t>
      </w:r>
      <w:r w:rsidR="005F13C7" w:rsidRPr="002A2C8D">
        <w:rPr>
          <w:rFonts w:ascii="Arial" w:hAnsi="Arial" w:cs="Arial"/>
          <w:i/>
          <w:sz w:val="22"/>
          <w:szCs w:val="22"/>
        </w:rPr>
        <w:t>opt-in</w:t>
      </w:r>
      <w:r w:rsidR="00C26A62" w:rsidRPr="002A2C8D">
        <w:rPr>
          <w:rFonts w:ascii="Arial" w:hAnsi="Arial" w:cs="Arial"/>
          <w:sz w:val="22"/>
          <w:szCs w:val="22"/>
        </w:rPr>
        <w:t>.</w:t>
      </w:r>
    </w:p>
    <w:p w:rsidR="005F13C7" w:rsidRPr="002A2C8D" w:rsidRDefault="005F13C7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Prawo do sądu w kontekście drobnych roszczeń nie powinno być </w:t>
      </w:r>
      <w:r w:rsidR="00021E0A" w:rsidRPr="002A2C8D">
        <w:rPr>
          <w:rFonts w:ascii="Arial" w:hAnsi="Arial" w:cs="Arial"/>
          <w:sz w:val="22"/>
          <w:szCs w:val="22"/>
        </w:rPr>
        <w:t xml:space="preserve">postrzegane w sposób formalny – </w:t>
      </w:r>
      <w:r w:rsidRPr="002A2C8D">
        <w:rPr>
          <w:rFonts w:ascii="Arial" w:hAnsi="Arial" w:cs="Arial"/>
          <w:sz w:val="22"/>
          <w:szCs w:val="22"/>
        </w:rPr>
        <w:t xml:space="preserve">z akcentem na uniknięcie sytuacji, w której </w:t>
      </w:r>
      <w:r w:rsidR="00691099" w:rsidRPr="002A2C8D">
        <w:rPr>
          <w:rFonts w:ascii="Arial" w:hAnsi="Arial" w:cs="Arial"/>
          <w:sz w:val="22"/>
          <w:szCs w:val="22"/>
        </w:rPr>
        <w:t>uprawnieni</w:t>
      </w:r>
      <w:r w:rsidRPr="002A2C8D">
        <w:rPr>
          <w:rFonts w:ascii="Arial" w:hAnsi="Arial" w:cs="Arial"/>
          <w:sz w:val="22"/>
          <w:szCs w:val="22"/>
        </w:rPr>
        <w:t xml:space="preserve"> byliby zwią</w:t>
      </w:r>
      <w:r w:rsidR="00021E0A" w:rsidRPr="002A2C8D">
        <w:rPr>
          <w:rFonts w:ascii="Arial" w:hAnsi="Arial" w:cs="Arial"/>
          <w:sz w:val="22"/>
          <w:szCs w:val="22"/>
        </w:rPr>
        <w:t xml:space="preserve">zani wyrokiem </w:t>
      </w:r>
      <w:r w:rsidR="007341C2" w:rsidRPr="002A2C8D">
        <w:rPr>
          <w:rFonts w:ascii="Arial" w:hAnsi="Arial" w:cs="Arial"/>
          <w:sz w:val="22"/>
          <w:szCs w:val="22"/>
        </w:rPr>
        <w:t>bez swej </w:t>
      </w:r>
      <w:r w:rsidR="00021E0A" w:rsidRPr="002A2C8D">
        <w:rPr>
          <w:rFonts w:ascii="Arial" w:hAnsi="Arial" w:cs="Arial"/>
          <w:sz w:val="22"/>
          <w:szCs w:val="22"/>
        </w:rPr>
        <w:t xml:space="preserve">wiedzy, lecz funkcjonalny – </w:t>
      </w:r>
      <w:r w:rsidRPr="002A2C8D">
        <w:rPr>
          <w:rFonts w:ascii="Arial" w:hAnsi="Arial" w:cs="Arial"/>
          <w:sz w:val="22"/>
          <w:szCs w:val="22"/>
        </w:rPr>
        <w:t xml:space="preserve">prawo do sądu realizuje się w każdy sposób zmierzający </w:t>
      </w:r>
      <w:r w:rsidR="007341C2" w:rsidRPr="002A2C8D">
        <w:rPr>
          <w:rFonts w:ascii="Arial" w:hAnsi="Arial" w:cs="Arial"/>
          <w:sz w:val="22"/>
          <w:szCs w:val="22"/>
        </w:rPr>
        <w:t>do </w:t>
      </w:r>
      <w:r w:rsidRPr="002A2C8D">
        <w:rPr>
          <w:rFonts w:ascii="Arial" w:hAnsi="Arial" w:cs="Arial"/>
          <w:sz w:val="22"/>
          <w:szCs w:val="22"/>
        </w:rPr>
        <w:t>zwiększenia skuteczności dochodz</w:t>
      </w:r>
      <w:r w:rsidR="00021E0A" w:rsidRPr="002A2C8D">
        <w:rPr>
          <w:rFonts w:ascii="Arial" w:hAnsi="Arial" w:cs="Arial"/>
          <w:sz w:val="22"/>
          <w:szCs w:val="22"/>
        </w:rPr>
        <w:t xml:space="preserve">enia przez jednostkę swych </w:t>
      </w:r>
      <w:proofErr w:type="gramStart"/>
      <w:r w:rsidR="00021E0A" w:rsidRPr="002A2C8D">
        <w:rPr>
          <w:rFonts w:ascii="Arial" w:hAnsi="Arial" w:cs="Arial"/>
          <w:sz w:val="22"/>
          <w:szCs w:val="22"/>
        </w:rPr>
        <w:t>praw</w:t>
      </w:r>
      <w:proofErr w:type="gramEnd"/>
      <w:r w:rsidRPr="002A2C8D">
        <w:rPr>
          <w:rFonts w:ascii="Arial" w:hAnsi="Arial" w:cs="Arial"/>
          <w:sz w:val="22"/>
          <w:szCs w:val="22"/>
        </w:rPr>
        <w:t xml:space="preserve">. Rozumienie prawa </w:t>
      </w:r>
      <w:r w:rsidR="007341C2" w:rsidRPr="002A2C8D">
        <w:rPr>
          <w:rFonts w:ascii="Arial" w:hAnsi="Arial" w:cs="Arial"/>
          <w:sz w:val="22"/>
          <w:szCs w:val="22"/>
        </w:rPr>
        <w:t>do </w:t>
      </w:r>
      <w:r w:rsidRPr="002A2C8D">
        <w:rPr>
          <w:rFonts w:ascii="Arial" w:hAnsi="Arial" w:cs="Arial"/>
          <w:sz w:val="22"/>
          <w:szCs w:val="22"/>
        </w:rPr>
        <w:t xml:space="preserve">sądu w kontekście tzw. </w:t>
      </w:r>
      <w:r w:rsidRPr="002A2C8D">
        <w:rPr>
          <w:rFonts w:ascii="Arial" w:hAnsi="Arial" w:cs="Arial"/>
          <w:i/>
          <w:sz w:val="22"/>
          <w:szCs w:val="22"/>
        </w:rPr>
        <w:t>small claims</w:t>
      </w:r>
      <w:r w:rsidRPr="002A2C8D">
        <w:rPr>
          <w:rFonts w:ascii="Arial" w:hAnsi="Arial" w:cs="Arial"/>
          <w:sz w:val="22"/>
          <w:szCs w:val="22"/>
        </w:rPr>
        <w:t xml:space="preserve"> nie </w:t>
      </w:r>
      <w:proofErr w:type="gramStart"/>
      <w:r w:rsidRPr="002A2C8D">
        <w:rPr>
          <w:rFonts w:ascii="Arial" w:hAnsi="Arial" w:cs="Arial"/>
          <w:sz w:val="22"/>
          <w:szCs w:val="22"/>
        </w:rPr>
        <w:t>może bowiem</w:t>
      </w:r>
      <w:proofErr w:type="gramEnd"/>
      <w:r w:rsidRPr="002A2C8D">
        <w:rPr>
          <w:rFonts w:ascii="Arial" w:hAnsi="Arial" w:cs="Arial"/>
          <w:sz w:val="22"/>
          <w:szCs w:val="22"/>
        </w:rPr>
        <w:t xml:space="preserve"> abstrahować od potwierdzonych empirycznie zachowań</w:t>
      </w:r>
      <w:r w:rsidR="00691099" w:rsidRPr="002A2C8D">
        <w:rPr>
          <w:rFonts w:ascii="Arial" w:hAnsi="Arial" w:cs="Arial"/>
          <w:sz w:val="22"/>
          <w:szCs w:val="22"/>
        </w:rPr>
        <w:t xml:space="preserve"> podmiotów</w:t>
      </w:r>
      <w:r w:rsidRPr="002A2C8D">
        <w:rPr>
          <w:rFonts w:ascii="Arial" w:hAnsi="Arial" w:cs="Arial"/>
          <w:sz w:val="22"/>
          <w:szCs w:val="22"/>
        </w:rPr>
        <w:t xml:space="preserve">, których liczna grupa nie jest w stanie dochodzić przysługujących im uprawnień indywidualnie lub nawet w modelu </w:t>
      </w:r>
      <w:r w:rsidRPr="002A2C8D">
        <w:rPr>
          <w:rFonts w:ascii="Arial" w:hAnsi="Arial" w:cs="Arial"/>
          <w:i/>
          <w:sz w:val="22"/>
          <w:szCs w:val="22"/>
        </w:rPr>
        <w:t>opt-in</w:t>
      </w:r>
      <w:r w:rsidRPr="002A2C8D">
        <w:rPr>
          <w:rFonts w:ascii="Arial" w:hAnsi="Arial" w:cs="Arial"/>
          <w:sz w:val="22"/>
          <w:szCs w:val="22"/>
        </w:rPr>
        <w:t>.</w:t>
      </w:r>
    </w:p>
    <w:p w:rsidR="005F13C7" w:rsidRPr="002A2C8D" w:rsidRDefault="005F13C7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Takie rozumienie prawa do sądu zauważalne jest w ostatnich latach w ustawodawstwie </w:t>
      </w:r>
      <w:r w:rsidR="007341C2" w:rsidRPr="002A2C8D">
        <w:rPr>
          <w:rFonts w:ascii="Arial" w:hAnsi="Arial" w:cs="Arial"/>
          <w:sz w:val="22"/>
          <w:szCs w:val="22"/>
        </w:rPr>
        <w:t>coraz </w:t>
      </w:r>
      <w:r w:rsidRPr="002A2C8D">
        <w:rPr>
          <w:rFonts w:ascii="Arial" w:hAnsi="Arial" w:cs="Arial"/>
          <w:sz w:val="22"/>
          <w:szCs w:val="22"/>
        </w:rPr>
        <w:t xml:space="preserve">większej liczby państw należących do Unii Europejskiej, które, w różnym zakresie, wprowadziły do swych porządków prawnych model </w:t>
      </w:r>
      <w:r w:rsidRPr="002A2C8D">
        <w:rPr>
          <w:rFonts w:ascii="Arial" w:hAnsi="Arial" w:cs="Arial"/>
          <w:i/>
          <w:sz w:val="22"/>
          <w:szCs w:val="22"/>
        </w:rPr>
        <w:t>opt-out</w:t>
      </w:r>
      <w:r w:rsidRPr="002A2C8D">
        <w:rPr>
          <w:rFonts w:ascii="Arial" w:hAnsi="Arial" w:cs="Arial"/>
          <w:sz w:val="22"/>
          <w:szCs w:val="22"/>
        </w:rPr>
        <w:t xml:space="preserve"> (Belgia, Dania, Hiszpania, Holandia, Niemcy, Portugalia, Wielka Bryta</w:t>
      </w:r>
      <w:r w:rsidR="00370A52" w:rsidRPr="002A2C8D">
        <w:rPr>
          <w:rFonts w:ascii="Arial" w:hAnsi="Arial" w:cs="Arial"/>
          <w:sz w:val="22"/>
          <w:szCs w:val="22"/>
        </w:rPr>
        <w:t xml:space="preserve">nia). Należy przy tym wskazać, </w:t>
      </w:r>
      <w:r w:rsidRPr="002A2C8D">
        <w:rPr>
          <w:rFonts w:ascii="Arial" w:hAnsi="Arial" w:cs="Arial"/>
          <w:sz w:val="22"/>
          <w:szCs w:val="22"/>
        </w:rPr>
        <w:t>ż</w:t>
      </w:r>
      <w:r w:rsidR="00370A52" w:rsidRPr="002A2C8D">
        <w:rPr>
          <w:rFonts w:ascii="Arial" w:hAnsi="Arial" w:cs="Arial"/>
          <w:sz w:val="22"/>
          <w:szCs w:val="22"/>
        </w:rPr>
        <w:t>e</w:t>
      </w:r>
      <w:r w:rsidRPr="002A2C8D">
        <w:rPr>
          <w:rFonts w:ascii="Arial" w:hAnsi="Arial" w:cs="Arial"/>
          <w:sz w:val="22"/>
          <w:szCs w:val="22"/>
        </w:rPr>
        <w:t xml:space="preserve"> w systemach prawnych </w:t>
      </w:r>
      <w:r w:rsidR="007341C2" w:rsidRPr="002A2C8D">
        <w:rPr>
          <w:rFonts w:ascii="Arial" w:hAnsi="Arial" w:cs="Arial"/>
          <w:sz w:val="22"/>
          <w:szCs w:val="22"/>
        </w:rPr>
        <w:t>tych </w:t>
      </w:r>
      <w:r w:rsidRPr="002A2C8D">
        <w:rPr>
          <w:rFonts w:ascii="Arial" w:hAnsi="Arial" w:cs="Arial"/>
          <w:sz w:val="22"/>
          <w:szCs w:val="22"/>
        </w:rPr>
        <w:t xml:space="preserve">państw, podobnie jak w Polsce, pojęcie prawa do sądu rekonstruowane jest z uwzględnieniem regulacji i standardów wynikających z art. 6 Europejskiej Konwencji o Ochronie </w:t>
      </w:r>
      <w:proofErr w:type="gramStart"/>
      <w:r w:rsidRPr="002A2C8D">
        <w:rPr>
          <w:rFonts w:ascii="Arial" w:hAnsi="Arial" w:cs="Arial"/>
          <w:sz w:val="22"/>
          <w:szCs w:val="22"/>
        </w:rPr>
        <w:t>Praw</w:t>
      </w:r>
      <w:proofErr w:type="gramEnd"/>
      <w:r w:rsidRPr="002A2C8D">
        <w:rPr>
          <w:rFonts w:ascii="Arial" w:hAnsi="Arial" w:cs="Arial"/>
          <w:sz w:val="22"/>
          <w:szCs w:val="22"/>
        </w:rPr>
        <w:t xml:space="preserve"> Człowieka i Podstawowych Wolności</w:t>
      </w:r>
      <w:r w:rsidR="007341C2" w:rsidRPr="002A2C8D">
        <w:rPr>
          <w:rStyle w:val="Odwoanieprzypisudolnego"/>
          <w:rFonts w:ascii="Arial" w:hAnsi="Arial"/>
          <w:sz w:val="22"/>
          <w:szCs w:val="22"/>
        </w:rPr>
        <w:footnoteReference w:id="11"/>
      </w:r>
      <w:r w:rsidRPr="002A2C8D">
        <w:rPr>
          <w:rFonts w:ascii="Arial" w:hAnsi="Arial" w:cs="Arial"/>
          <w:sz w:val="22"/>
          <w:szCs w:val="22"/>
        </w:rPr>
        <w:t>, a także art. 47 Karty Praw Podstawowych Unii Europejskiej</w:t>
      </w:r>
      <w:r w:rsidR="007341C2" w:rsidRPr="002A2C8D">
        <w:rPr>
          <w:rStyle w:val="Odwoanieprzypisudolnego"/>
          <w:rFonts w:ascii="Arial" w:hAnsi="Arial"/>
          <w:sz w:val="22"/>
          <w:szCs w:val="22"/>
        </w:rPr>
        <w:footnoteReference w:id="12"/>
      </w:r>
      <w:r w:rsidRPr="002A2C8D">
        <w:rPr>
          <w:rFonts w:ascii="Arial" w:hAnsi="Arial" w:cs="Arial"/>
          <w:sz w:val="22"/>
          <w:szCs w:val="22"/>
        </w:rPr>
        <w:t xml:space="preserve">. </w:t>
      </w:r>
      <w:r w:rsidR="007341C2" w:rsidRPr="002A2C8D">
        <w:rPr>
          <w:rFonts w:ascii="Arial" w:hAnsi="Arial" w:cs="Arial"/>
          <w:sz w:val="22"/>
          <w:szCs w:val="22"/>
        </w:rPr>
        <w:t>Także w </w:t>
      </w:r>
      <w:r w:rsidR="00021E0A" w:rsidRPr="002A2C8D">
        <w:rPr>
          <w:rFonts w:ascii="Arial" w:hAnsi="Arial" w:cs="Arial"/>
          <w:sz w:val="22"/>
          <w:szCs w:val="22"/>
        </w:rPr>
        <w:t xml:space="preserve">Polsce wprowadzenie modelu </w:t>
      </w:r>
      <w:r w:rsidR="00021E0A" w:rsidRPr="002A2C8D">
        <w:rPr>
          <w:rFonts w:ascii="Arial" w:hAnsi="Arial" w:cs="Arial"/>
          <w:i/>
          <w:sz w:val="22"/>
          <w:szCs w:val="22"/>
        </w:rPr>
        <w:t>opt-out</w:t>
      </w:r>
      <w:r w:rsidR="00021E0A" w:rsidRPr="002A2C8D">
        <w:rPr>
          <w:rFonts w:ascii="Arial" w:hAnsi="Arial" w:cs="Arial"/>
          <w:sz w:val="22"/>
          <w:szCs w:val="22"/>
        </w:rPr>
        <w:t xml:space="preserve"> może</w:t>
      </w:r>
      <w:r w:rsidRPr="002A2C8D">
        <w:rPr>
          <w:rFonts w:ascii="Arial" w:hAnsi="Arial" w:cs="Arial"/>
          <w:sz w:val="22"/>
          <w:szCs w:val="22"/>
        </w:rPr>
        <w:t xml:space="preserve"> doprowadzi</w:t>
      </w:r>
      <w:r w:rsidR="00021E0A" w:rsidRPr="002A2C8D">
        <w:rPr>
          <w:rFonts w:ascii="Arial" w:hAnsi="Arial" w:cs="Arial"/>
          <w:sz w:val="22"/>
          <w:szCs w:val="22"/>
        </w:rPr>
        <w:t>ć</w:t>
      </w:r>
      <w:r w:rsidRPr="002A2C8D">
        <w:rPr>
          <w:rFonts w:ascii="Arial" w:hAnsi="Arial" w:cs="Arial"/>
          <w:sz w:val="22"/>
          <w:szCs w:val="22"/>
        </w:rPr>
        <w:t xml:space="preserve"> do upowszechnienia chronionych nim wartości, tj. możliwości skutecznego dochodzenia przez jednostki przysługujących im </w:t>
      </w:r>
      <w:proofErr w:type="gramStart"/>
      <w:r w:rsidRPr="002A2C8D">
        <w:rPr>
          <w:rFonts w:ascii="Arial" w:hAnsi="Arial" w:cs="Arial"/>
          <w:sz w:val="22"/>
          <w:szCs w:val="22"/>
        </w:rPr>
        <w:t>praw</w:t>
      </w:r>
      <w:proofErr w:type="gramEnd"/>
      <w:r w:rsidRPr="002A2C8D">
        <w:rPr>
          <w:rFonts w:ascii="Arial" w:hAnsi="Arial" w:cs="Arial"/>
          <w:sz w:val="22"/>
          <w:szCs w:val="22"/>
        </w:rPr>
        <w:t>.</w:t>
      </w:r>
    </w:p>
    <w:p w:rsidR="001A143C" w:rsidRPr="002A2C8D" w:rsidRDefault="001A143C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 xml:space="preserve">Rozważanie wprowadzenia tego rodzaju zmian jest dodatkowo uzasadnione w świetle Zaleceń Komisji Europejskiej z 11 czerwca 2013 r. w sprawie wspólnych zasad dotyczących mechanizmów zbiorowego dochodzenia roszczeń o zaprzestanie bezprawnych praktyk oraz roszczeń odszkodowawczych w państwach członkowskich, dotyczących naruszeń praw przyznanych </w:t>
      </w:r>
      <w:r w:rsidR="007341C2" w:rsidRPr="002A2C8D">
        <w:rPr>
          <w:rFonts w:ascii="Arial" w:hAnsi="Arial" w:cs="Arial"/>
          <w:sz w:val="22"/>
          <w:szCs w:val="22"/>
        </w:rPr>
        <w:t>na </w:t>
      </w:r>
      <w:r w:rsidRPr="002A2C8D">
        <w:rPr>
          <w:rFonts w:ascii="Arial" w:hAnsi="Arial" w:cs="Arial"/>
          <w:sz w:val="22"/>
          <w:szCs w:val="22"/>
        </w:rPr>
        <w:t xml:space="preserve">mocy prawa Unii (2013/396/UE) – </w:t>
      </w:r>
      <w:proofErr w:type="gramStart"/>
      <w:r w:rsidRPr="002A2C8D">
        <w:rPr>
          <w:rFonts w:ascii="Arial" w:hAnsi="Arial" w:cs="Arial"/>
          <w:sz w:val="22"/>
          <w:szCs w:val="22"/>
        </w:rPr>
        <w:t>zgodnie z którymi</w:t>
      </w:r>
      <w:proofErr w:type="gramEnd"/>
      <w:r w:rsidRPr="002A2C8D">
        <w:rPr>
          <w:rFonts w:ascii="Arial" w:hAnsi="Arial" w:cs="Arial"/>
          <w:sz w:val="22"/>
          <w:szCs w:val="22"/>
        </w:rPr>
        <w:t xml:space="preserve"> m.in.: „Państwa członkowskie powinny zagwarantować, by postępowania w zakresie zbiorowego dochodzenia roszczeń były rzetelne, </w:t>
      </w:r>
      <w:r w:rsidRPr="002A2C8D">
        <w:rPr>
          <w:rFonts w:ascii="Arial" w:hAnsi="Arial" w:cs="Arial"/>
          <w:sz w:val="22"/>
          <w:szCs w:val="22"/>
        </w:rPr>
        <w:lastRenderedPageBreak/>
        <w:t>sprawiedliwe i prowadzone bez zbędnej zwłoki oraz aby nie pociągały one za sobą nadmiernych kosztów”</w:t>
      </w:r>
      <w:r w:rsidRPr="002A2C8D">
        <w:rPr>
          <w:rFonts w:ascii="Arial" w:hAnsi="Arial" w:cs="Arial"/>
          <w:sz w:val="22"/>
          <w:szCs w:val="22"/>
          <w:vertAlign w:val="superscript"/>
        </w:rPr>
        <w:footnoteReference w:id="13"/>
      </w:r>
      <w:r w:rsidRPr="002A2C8D">
        <w:rPr>
          <w:rFonts w:ascii="Arial" w:hAnsi="Arial" w:cs="Arial"/>
          <w:sz w:val="22"/>
          <w:szCs w:val="22"/>
        </w:rPr>
        <w:t>.</w:t>
      </w:r>
    </w:p>
    <w:p w:rsidR="00C26A62" w:rsidRPr="002A2C8D" w:rsidRDefault="00691099" w:rsidP="00691099">
      <w:pPr>
        <w:spacing w:after="200" w:line="300" w:lineRule="auto"/>
        <w:jc w:val="both"/>
        <w:rPr>
          <w:rFonts w:ascii="Arial" w:hAnsi="Arial" w:cs="Arial"/>
          <w:sz w:val="22"/>
          <w:szCs w:val="22"/>
        </w:rPr>
      </w:pPr>
      <w:r w:rsidRPr="002A2C8D">
        <w:rPr>
          <w:rFonts w:ascii="Arial" w:hAnsi="Arial" w:cs="Arial"/>
          <w:sz w:val="22"/>
          <w:szCs w:val="22"/>
        </w:rPr>
        <w:t>M</w:t>
      </w:r>
      <w:r w:rsidR="00C26A62" w:rsidRPr="002A2C8D">
        <w:rPr>
          <w:rFonts w:ascii="Arial" w:hAnsi="Arial" w:cs="Arial"/>
          <w:sz w:val="22"/>
          <w:szCs w:val="22"/>
        </w:rPr>
        <w:t>ożliwe jest zastosowanie takich ro</w:t>
      </w:r>
      <w:r w:rsidRPr="002A2C8D">
        <w:rPr>
          <w:rFonts w:ascii="Arial" w:hAnsi="Arial" w:cs="Arial"/>
          <w:sz w:val="22"/>
          <w:szCs w:val="22"/>
        </w:rPr>
        <w:t xml:space="preserve">związań, które – </w:t>
      </w:r>
      <w:r w:rsidR="00C26A62" w:rsidRPr="002A2C8D">
        <w:rPr>
          <w:rFonts w:ascii="Arial" w:hAnsi="Arial" w:cs="Arial"/>
          <w:sz w:val="22"/>
          <w:szCs w:val="22"/>
        </w:rPr>
        <w:t>z </w:t>
      </w:r>
      <w:r w:rsidRPr="002A2C8D">
        <w:rPr>
          <w:rFonts w:ascii="Arial" w:hAnsi="Arial" w:cs="Arial"/>
          <w:sz w:val="22"/>
          <w:szCs w:val="22"/>
        </w:rPr>
        <w:t xml:space="preserve">jednej strony – </w:t>
      </w:r>
      <w:r w:rsidR="00C26A62" w:rsidRPr="002A2C8D">
        <w:rPr>
          <w:rFonts w:ascii="Arial" w:hAnsi="Arial" w:cs="Arial"/>
          <w:sz w:val="22"/>
          <w:szCs w:val="22"/>
        </w:rPr>
        <w:t>zapewnią efektywność zbiorowego dochodzenia roszczeń (zwłaszcza drobnych, masowych roszczeń), zgodnie z celem Ustawy, z d</w:t>
      </w:r>
      <w:r w:rsidRPr="002A2C8D">
        <w:rPr>
          <w:rFonts w:ascii="Arial" w:hAnsi="Arial" w:cs="Arial"/>
          <w:sz w:val="22"/>
          <w:szCs w:val="22"/>
        </w:rPr>
        <w:t>rugiej zaś – będą uzupełnione o </w:t>
      </w:r>
      <w:r w:rsidR="00C26A62" w:rsidRPr="002A2C8D">
        <w:rPr>
          <w:rFonts w:ascii="Arial" w:hAnsi="Arial" w:cs="Arial"/>
          <w:sz w:val="22"/>
          <w:szCs w:val="22"/>
        </w:rPr>
        <w:t>regulacje zmniejszające ryzyko nadużyć i zapewnią odpowiednie w świetle Konstytucji RP gwarancje dotyczące prawa do sądu.</w:t>
      </w:r>
      <w:r w:rsidRPr="002A2C8D">
        <w:rPr>
          <w:rFonts w:ascii="Arial" w:hAnsi="Arial" w:cs="Arial"/>
          <w:sz w:val="22"/>
          <w:szCs w:val="22"/>
        </w:rPr>
        <w:t xml:space="preserve"> </w:t>
      </w:r>
    </w:p>
    <w:p w:rsidR="00BF4332" w:rsidRPr="002A2C8D" w:rsidRDefault="00BF4332" w:rsidP="00691099">
      <w:pPr>
        <w:pStyle w:val="00KKGTekstPoziomu"/>
        <w:spacing w:after="200"/>
        <w:ind w:left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Poniżej przedstawione zostały podstawowe zasady, na jakich mogłoby następować dochodzenie roszczeń w wariancie </w:t>
      </w:r>
      <w:r w:rsidRPr="002A2C8D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opt-out </w:t>
      </w:r>
      <w:r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polskim modelu postępowania grupowego. </w:t>
      </w:r>
      <w:r w:rsidR="008128F4"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Rozwiązania te zostały opracowane na podstawie rekomendacji przygotowanych </w:t>
      </w:r>
      <w:r w:rsidR="007341C2"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>przez </w:t>
      </w:r>
      <w:r w:rsidR="008128F4"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>Zespół Prawa Gospodarczego przy Ministrze Rozwoju</w:t>
      </w:r>
      <w:r w:rsidR="008128F4" w:rsidRPr="002A2C8D">
        <w:rPr>
          <w:rFonts w:ascii="Arial" w:hAnsi="Arial" w:cs="Arial"/>
          <w:b/>
          <w:sz w:val="22"/>
          <w:szCs w:val="22"/>
        </w:rPr>
        <w:t>, w sekcji kierowanej przez adw.</w:t>
      </w:r>
      <w:r w:rsidR="008128F4"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Rafała Kosa. </w:t>
      </w:r>
      <w:r w:rsidRPr="002A2C8D">
        <w:rPr>
          <w:rFonts w:ascii="Arial" w:hAnsi="Arial" w:cs="Arial"/>
          <w:b/>
          <w:sz w:val="22"/>
          <w:szCs w:val="22"/>
        </w:rPr>
        <w:t>Założenia te oddajemy do pre-konsultacji</w:t>
      </w:r>
      <w:r w:rsidRPr="002A2C8D">
        <w:rPr>
          <w:rStyle w:val="Odwoanieprzypisudolnego"/>
          <w:rFonts w:ascii="Arial" w:hAnsi="Arial"/>
          <w:sz w:val="22"/>
          <w:szCs w:val="22"/>
        </w:rPr>
        <w:footnoteReference w:id="14"/>
      </w:r>
      <w:r w:rsidRPr="002A2C8D">
        <w:rPr>
          <w:rFonts w:ascii="Arial" w:hAnsi="Arial" w:cs="Arial"/>
          <w:b/>
          <w:sz w:val="22"/>
          <w:szCs w:val="22"/>
        </w:rPr>
        <w:t xml:space="preserve">, licząc na uwagi i propozycje zainteresowanych środowisk, organizacji i ekspertów. </w:t>
      </w:r>
    </w:p>
    <w:p w:rsidR="0015650B" w:rsidRPr="002A2C8D" w:rsidRDefault="00BF4332" w:rsidP="00FB4504">
      <w:pPr>
        <w:pStyle w:val="AAAPktI"/>
      </w:pPr>
      <w:bookmarkStart w:id="5" w:name="_Toc455333815"/>
      <w:r w:rsidRPr="002A2C8D">
        <w:t>IV.</w:t>
      </w:r>
      <w:r w:rsidRPr="002A2C8D">
        <w:tab/>
        <w:t xml:space="preserve">Proponowane zasady wdrożenia modelu </w:t>
      </w:r>
      <w:r w:rsidRPr="002A2C8D">
        <w:rPr>
          <w:i/>
        </w:rPr>
        <w:t>opt-out</w:t>
      </w:r>
      <w:bookmarkEnd w:id="5"/>
      <w:r w:rsidRPr="002A2C8D">
        <w:t xml:space="preserve"> </w:t>
      </w:r>
    </w:p>
    <w:p w:rsidR="001A143C" w:rsidRPr="002A2C8D" w:rsidRDefault="001A143C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Proponujemy dopuszczenie możliwości zastosowania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(</w:t>
      </w:r>
      <w:r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obok zasadniczego modelu </w:t>
      </w:r>
      <w:r w:rsidRPr="002A2C8D">
        <w:rPr>
          <w:rFonts w:ascii="Arial" w:eastAsia="Times New Roman" w:hAnsi="Arial" w:cs="Arial"/>
          <w:b/>
          <w:i/>
          <w:sz w:val="22"/>
          <w:szCs w:val="22"/>
          <w:lang w:eastAsia="pl-PL"/>
        </w:rPr>
        <w:t>opt-in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), przy poniżej opisanych założeniach</w:t>
      </w:r>
      <w:r w:rsidR="00BF4332" w:rsidRPr="002A2C8D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FB4504" w:rsidRPr="002A2C8D" w:rsidRDefault="00FB4504" w:rsidP="00D6069D">
      <w:pPr>
        <w:pStyle w:val="AAAPkt1"/>
      </w:pPr>
      <w:bookmarkStart w:id="6" w:name="_Toc455333816"/>
      <w:r w:rsidRPr="002A2C8D">
        <w:t>IV.1.</w:t>
      </w:r>
      <w:r w:rsidR="00D6069D" w:rsidRPr="002A2C8D">
        <w:tab/>
      </w:r>
      <w:r w:rsidRPr="002A2C8D">
        <w:t>Zagadnienia ogólne</w:t>
      </w:r>
      <w:bookmarkEnd w:id="6"/>
    </w:p>
    <w:p w:rsidR="001A143C" w:rsidRPr="002A2C8D" w:rsidRDefault="00C26A62" w:rsidP="00D6069D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Podstawowym modelem postępowania grupowego pozostałby wariant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opt-in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7B7C26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Model </w:t>
      </w:r>
      <w:r w:rsidR="007B7C26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="007B7C26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byłby dopuszczalny jedynie w razie spełnienia dodatkowych warunków (opisanych poniżej), podlegających ocenie sądu. 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Zastosowanie modelu </w:t>
      </w:r>
      <w:r w:rsidR="001A143C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powinno być możliwe jedynie </w:t>
      </w:r>
      <w:r w:rsidR="007341C2"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>na </w:t>
      </w:r>
      <w:r w:rsidR="001A143C"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>wniosek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powoda</w:t>
      </w:r>
      <w:r w:rsidR="00497705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r w:rsidR="0015650B" w:rsidRPr="002A2C8D">
        <w:rPr>
          <w:rFonts w:ascii="Arial" w:eastAsia="Times New Roman" w:hAnsi="Arial" w:cs="Arial"/>
          <w:sz w:val="22"/>
          <w:szCs w:val="22"/>
          <w:lang w:eastAsia="pl-PL"/>
        </w:rPr>
        <w:t>nigdy z </w:t>
      </w:r>
      <w:r w:rsidR="00497705" w:rsidRPr="002A2C8D">
        <w:rPr>
          <w:rFonts w:ascii="Arial" w:eastAsia="Times New Roman" w:hAnsi="Arial" w:cs="Arial"/>
          <w:sz w:val="22"/>
          <w:szCs w:val="22"/>
          <w:lang w:eastAsia="pl-PL"/>
        </w:rPr>
        <w:t>urzędu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:rsidR="001A143C" w:rsidRPr="002A2C8D" w:rsidRDefault="001A143C" w:rsidP="00D6069D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Na reprezentanta grupy powinien zostać nałożony</w:t>
      </w:r>
      <w:r w:rsidR="00BF433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obowiązek uprawdopodobnienia,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ż</w:t>
      </w:r>
      <w:r w:rsidR="00BF4332" w:rsidRPr="002A2C8D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 zdarzenie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, z którym łączy się odpowiedzialność pozwanego (pozwanych) spowodowało powstanie tak dużej ilości roszczeń, że ich </w:t>
      </w:r>
      <w:r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łączne dochodzenie w modelu </w:t>
      </w:r>
      <w:r w:rsidRPr="002A2C8D">
        <w:rPr>
          <w:rFonts w:ascii="Arial" w:eastAsia="Times New Roman" w:hAnsi="Arial" w:cs="Arial"/>
          <w:b/>
          <w:i/>
          <w:sz w:val="22"/>
          <w:szCs w:val="22"/>
          <w:lang w:eastAsia="pl-PL"/>
        </w:rPr>
        <w:t>opt-in</w:t>
      </w:r>
      <w:r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nie byłoby efektywne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:rsidR="00BF4332" w:rsidRPr="002A2C8D" w:rsidRDefault="001A143C" w:rsidP="00D6069D">
      <w:pPr>
        <w:pStyle w:val="00KKGTekstPoziomu"/>
        <w:spacing w:after="12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Treść pozwu zawierającego wniosek o prowadzenie postępowania</w:t>
      </w:r>
      <w:r w:rsidR="00BF433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grupowego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powinna obejmować nie tylko elementy formalne, o których mowa w art. 187 </w:t>
      </w:r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>ustawy z dnia 17 listopada 1964 r. – Kodeks postępowania cywilnego</w:t>
      </w:r>
      <w:r w:rsidR="007341C2" w:rsidRPr="002A2C8D">
        <w:rPr>
          <w:rStyle w:val="Odwoanieprzypisudolnego"/>
          <w:rFonts w:ascii="Arial" w:eastAsia="Times New Roman" w:hAnsi="Arial"/>
          <w:sz w:val="22"/>
          <w:szCs w:val="22"/>
          <w:lang w:eastAsia="pl-PL"/>
        </w:rPr>
        <w:footnoteReference w:id="15"/>
      </w:r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(dalej: „</w:t>
      </w:r>
      <w:r w:rsidR="00BF4332" w:rsidRPr="002A2C8D">
        <w:rPr>
          <w:rFonts w:ascii="Arial" w:eastAsia="Times New Roman" w:hAnsi="Arial" w:cs="Arial"/>
          <w:sz w:val="22"/>
          <w:szCs w:val="22"/>
          <w:lang w:eastAsia="pl-PL"/>
        </w:rPr>
        <w:t>k.p.c.</w:t>
      </w:r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”), </w:t>
      </w:r>
      <w:proofErr w:type="gramStart"/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>tj</w:t>
      </w:r>
      <w:proofErr w:type="gramEnd"/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żądanie i opis okoliczności faktycznych je uzasadniających, lecz także: </w:t>
      </w:r>
    </w:p>
    <w:p w:rsidR="00BF4332" w:rsidRPr="002A2C8D" w:rsidRDefault="001A143C" w:rsidP="00D6069D">
      <w:pPr>
        <w:pStyle w:val="00KKGTekstPoziomu"/>
        <w:numPr>
          <w:ilvl w:val="0"/>
          <w:numId w:val="26"/>
        </w:numPr>
        <w:tabs>
          <w:tab w:val="clear" w:pos="567"/>
          <w:tab w:val="left" w:pos="426"/>
        </w:tabs>
        <w:spacing w:after="120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opis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okoliczności zdarzenia uzasadniającego odpowiedzialność pozwanego, które są wspólne dla wszystki</w:t>
      </w:r>
      <w:r w:rsidR="00BF4332" w:rsidRPr="002A2C8D">
        <w:rPr>
          <w:rFonts w:ascii="Arial" w:eastAsia="Times New Roman" w:hAnsi="Arial" w:cs="Arial"/>
          <w:sz w:val="22"/>
          <w:szCs w:val="22"/>
          <w:lang w:eastAsia="pl-PL"/>
        </w:rPr>
        <w:t>ch członków grupy,</w:t>
      </w:r>
    </w:p>
    <w:p w:rsidR="00BF4332" w:rsidRPr="002A2C8D" w:rsidRDefault="001A143C" w:rsidP="00D6069D">
      <w:pPr>
        <w:pStyle w:val="00KKGTekstPoziomu"/>
        <w:numPr>
          <w:ilvl w:val="0"/>
          <w:numId w:val="26"/>
        </w:numPr>
        <w:tabs>
          <w:tab w:val="clear" w:pos="567"/>
          <w:tab w:val="left" w:pos="426"/>
        </w:tabs>
        <w:spacing w:after="120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opis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grupy, którą reprezentować ma przedstawiciel grupy, ze wskazaniem możliwie </w:t>
      </w:r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>jak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najdokładniej oszacowanej liczby osób poszkodowanych; przy czym jeżeli grupa podzielona jest na podgrupy, informacje te należy podać dla każdej podgrupy oraz </w:t>
      </w:r>
    </w:p>
    <w:p w:rsidR="001A143C" w:rsidRPr="002A2C8D" w:rsidRDefault="001A143C" w:rsidP="00D6069D">
      <w:pPr>
        <w:pStyle w:val="00KKGTekstPoziomu"/>
        <w:numPr>
          <w:ilvl w:val="0"/>
          <w:numId w:val="26"/>
        </w:numPr>
        <w:tabs>
          <w:tab w:val="clear" w:pos="567"/>
          <w:tab w:val="left" w:pos="426"/>
        </w:tabs>
        <w:spacing w:after="200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uzasadnienie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wyboru 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modelu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936B2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out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15650B" w:rsidRPr="002A2C8D" w:rsidRDefault="0015650B" w:rsidP="00D6069D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Uprawdopodobnienie szerokiego zakresu oddziaływania zdarzenia (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praktyki) z którym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wiąże się odpowiedzialność pozwanego, tj. że spowodowało ono powstanie tak dużej ilości roszczeń, </w:t>
      </w:r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>że ich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łączne dochodzenie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opt-in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nie byłoby efektywne, powinno spoczywać </w:t>
      </w:r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>na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powodzie. Wprowadzenie takiej dodatkowej przesłanki ocennej jest konieczne</w:t>
      </w:r>
      <w:r w:rsidR="00FB450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dla rozróżnienia tych spraw, w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których rzeczywiście właściwym mechanizmem byłoby postępowanie grupowe </w:t>
      </w:r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>w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, co wymaga oceny w każdej konkretnej sprawie. Wprowadzenie obowiązku zgłaszania oraz uzasadnienia wyboru modelu </w:t>
      </w:r>
      <w:proofErr w:type="gramStart"/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jako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warunku formalnego pozwu ograniczyłoby natomiast r</w:t>
      </w:r>
      <w:r w:rsidR="00FB4504" w:rsidRPr="002A2C8D">
        <w:rPr>
          <w:rFonts w:ascii="Arial" w:eastAsia="Times New Roman" w:hAnsi="Arial" w:cs="Arial"/>
          <w:sz w:val="22"/>
          <w:szCs w:val="22"/>
          <w:lang w:eastAsia="pl-PL"/>
        </w:rPr>
        <w:t>yzyko nadużywania tego modelu w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sytuacjach, w których </w:t>
      </w:r>
      <w:r w:rsidR="007341C2" w:rsidRPr="002A2C8D">
        <w:rPr>
          <w:rFonts w:ascii="Arial" w:eastAsia="Times New Roman" w:hAnsi="Arial" w:cs="Arial"/>
          <w:sz w:val="22"/>
          <w:szCs w:val="22"/>
          <w:lang w:eastAsia="pl-PL"/>
        </w:rPr>
        <w:t>jego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zas</w:t>
      </w:r>
      <w:r w:rsidR="00C26A6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tosowanie nie byłoby </w:t>
      </w:r>
      <w:r w:rsidR="00021E0A" w:rsidRPr="002A2C8D">
        <w:rPr>
          <w:rFonts w:ascii="Arial" w:eastAsia="Times New Roman" w:hAnsi="Arial" w:cs="Arial"/>
          <w:sz w:val="22"/>
          <w:szCs w:val="22"/>
          <w:lang w:eastAsia="pl-PL"/>
        </w:rPr>
        <w:t>właściwe</w:t>
      </w:r>
      <w:r w:rsidR="00C26A62"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FB4504" w:rsidRPr="002A2C8D" w:rsidRDefault="00D6069D" w:rsidP="00D6069D">
      <w:pPr>
        <w:pStyle w:val="AAAPkt1"/>
        <w:rPr>
          <w:i/>
        </w:rPr>
      </w:pPr>
      <w:bookmarkStart w:id="7" w:name="_Toc455333817"/>
      <w:r w:rsidRPr="002A2C8D">
        <w:t>IV.2.</w:t>
      </w:r>
      <w:r w:rsidRPr="002A2C8D">
        <w:tab/>
      </w:r>
      <w:r w:rsidR="00FB4504" w:rsidRPr="002A2C8D">
        <w:t xml:space="preserve">Ograniczenie zakresu przedmiotowego zastosowania modelu </w:t>
      </w:r>
      <w:r w:rsidR="00FB4504" w:rsidRPr="002A2C8D">
        <w:rPr>
          <w:i/>
        </w:rPr>
        <w:t>opt-out</w:t>
      </w:r>
      <w:bookmarkEnd w:id="7"/>
    </w:p>
    <w:p w:rsidR="00C936B2" w:rsidRPr="002A2C8D" w:rsidRDefault="001A143C" w:rsidP="00D6069D">
      <w:pPr>
        <w:pStyle w:val="00KKGTekstPoziomu"/>
        <w:spacing w:after="12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Model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powinien być </w:t>
      </w:r>
      <w:r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>ograniczony przedmiotowo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do spraw o roszczenia wynikające z: </w:t>
      </w:r>
    </w:p>
    <w:p w:rsidR="00C936B2" w:rsidRPr="002A2C8D" w:rsidRDefault="00021E0A" w:rsidP="00D6069D">
      <w:pPr>
        <w:pStyle w:val="00KKGTekstPoziomu"/>
        <w:numPr>
          <w:ilvl w:val="0"/>
          <w:numId w:val="28"/>
        </w:numPr>
        <w:tabs>
          <w:tab w:val="clear" w:pos="567"/>
          <w:tab w:val="left" w:pos="426"/>
        </w:tabs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czynów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nieuczciwej konkurencji</w:t>
      </w:r>
      <w:r w:rsidRPr="002A2C8D">
        <w:rPr>
          <w:rStyle w:val="Odwoanieprzypisudolnego"/>
          <w:rFonts w:ascii="Arial" w:eastAsia="Times New Roman" w:hAnsi="Arial"/>
          <w:sz w:val="22"/>
          <w:szCs w:val="22"/>
          <w:lang w:eastAsia="pl-PL"/>
        </w:rPr>
        <w:footnoteReference w:id="16"/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:rsidR="00C936B2" w:rsidRPr="002A2C8D" w:rsidRDefault="001A143C" w:rsidP="00D6069D">
      <w:pPr>
        <w:pStyle w:val="00KKGTekstPoziomu"/>
        <w:numPr>
          <w:ilvl w:val="0"/>
          <w:numId w:val="28"/>
        </w:numPr>
        <w:tabs>
          <w:tab w:val="clear" w:pos="567"/>
          <w:tab w:val="left" w:pos="426"/>
        </w:tabs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stosowania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niedozwolonych postanowień wzorców umów</w:t>
      </w:r>
      <w:r w:rsidR="000E114B" w:rsidRPr="002A2C8D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936B2" w:rsidRPr="002A2C8D" w:rsidRDefault="00C936B2" w:rsidP="00D6069D">
      <w:pPr>
        <w:pStyle w:val="00KKGTekstPoziomu"/>
        <w:numPr>
          <w:ilvl w:val="0"/>
          <w:numId w:val="28"/>
        </w:numPr>
        <w:tabs>
          <w:tab w:val="clear" w:pos="567"/>
          <w:tab w:val="left" w:pos="426"/>
        </w:tabs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praktyk</w:t>
      </w:r>
      <w:proofErr w:type="gramEnd"/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naruszających zbiorowe interesy konsumentów, </w:t>
      </w:r>
    </w:p>
    <w:p w:rsidR="00C936B2" w:rsidRPr="002A2C8D" w:rsidRDefault="001A143C" w:rsidP="00D6069D">
      <w:pPr>
        <w:pStyle w:val="00KKGTekstPoziomu"/>
        <w:numPr>
          <w:ilvl w:val="0"/>
          <w:numId w:val="28"/>
        </w:numPr>
        <w:tabs>
          <w:tab w:val="clear" w:pos="567"/>
          <w:tab w:val="left" w:pos="426"/>
        </w:tabs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prak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tyk</w:t>
      </w:r>
      <w:proofErr w:type="gramEnd"/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ograniczających konkurencję</w:t>
      </w:r>
      <w:r w:rsidR="000E114B" w:rsidRPr="002A2C8D">
        <w:rPr>
          <w:rStyle w:val="Odwoanieprzypisudolnego"/>
          <w:rFonts w:ascii="Arial" w:eastAsia="Times New Roman" w:hAnsi="Arial"/>
          <w:sz w:val="22"/>
          <w:szCs w:val="22"/>
          <w:lang w:eastAsia="pl-PL"/>
        </w:rPr>
        <w:footnoteReference w:id="17"/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</w:p>
    <w:p w:rsidR="00C936B2" w:rsidRPr="002A2C8D" w:rsidRDefault="001A143C" w:rsidP="00D6069D">
      <w:pPr>
        <w:pStyle w:val="00KKGTekstPoziomu"/>
        <w:numPr>
          <w:ilvl w:val="0"/>
          <w:numId w:val="28"/>
        </w:numPr>
        <w:tabs>
          <w:tab w:val="clear" w:pos="567"/>
          <w:tab w:val="left" w:pos="426"/>
        </w:tabs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odpowiedzialności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za produkt niebezpieczny</w:t>
      </w:r>
      <w:r w:rsidR="000E114B" w:rsidRPr="002A2C8D">
        <w:rPr>
          <w:rStyle w:val="Odwoanieprzypisudolnego"/>
          <w:rFonts w:ascii="Arial" w:eastAsia="Times New Roman" w:hAnsi="Arial"/>
          <w:sz w:val="22"/>
          <w:szCs w:val="22"/>
          <w:lang w:eastAsia="pl-PL"/>
        </w:rPr>
        <w:footnoteReference w:id="18"/>
      </w:r>
      <w:r w:rsidR="00D6069D" w:rsidRPr="002A2C8D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936B2" w:rsidRPr="002A2C8D" w:rsidRDefault="001A143C" w:rsidP="00D6069D">
      <w:pPr>
        <w:pStyle w:val="00KKGTekstPoziomu"/>
        <w:numPr>
          <w:ilvl w:val="0"/>
          <w:numId w:val="28"/>
        </w:numPr>
        <w:tabs>
          <w:tab w:val="clear" w:pos="567"/>
          <w:tab w:val="left" w:pos="426"/>
        </w:tabs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ieuczciwych</w:t>
      </w:r>
      <w:proofErr w:type="gramEnd"/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praktyk rynkowych</w:t>
      </w:r>
      <w:r w:rsidR="000E114B" w:rsidRPr="002A2C8D">
        <w:rPr>
          <w:rStyle w:val="Odwoanieprzypisudolnego"/>
          <w:rFonts w:ascii="Arial" w:eastAsia="Times New Roman" w:hAnsi="Arial"/>
          <w:sz w:val="22"/>
          <w:szCs w:val="22"/>
          <w:lang w:eastAsia="pl-PL"/>
        </w:rPr>
        <w:footnoteReference w:id="19"/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:rsidR="00C936B2" w:rsidRPr="002A2C8D" w:rsidRDefault="001A143C" w:rsidP="00D6069D">
      <w:pPr>
        <w:pStyle w:val="00KKGTekstPoziomu"/>
        <w:numPr>
          <w:ilvl w:val="0"/>
          <w:numId w:val="28"/>
        </w:numPr>
        <w:tabs>
          <w:tab w:val="clear" w:pos="567"/>
          <w:tab w:val="left" w:pos="426"/>
        </w:tabs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naruszenia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innych praw konsumentów,</w:t>
      </w:r>
    </w:p>
    <w:p w:rsidR="001A143C" w:rsidRPr="002A2C8D" w:rsidRDefault="001A143C" w:rsidP="00D6069D">
      <w:pPr>
        <w:pStyle w:val="00KKGTekstPoziomu"/>
        <w:numPr>
          <w:ilvl w:val="0"/>
          <w:numId w:val="28"/>
        </w:numPr>
        <w:tabs>
          <w:tab w:val="clear" w:pos="567"/>
          <w:tab w:val="left" w:pos="426"/>
        </w:tabs>
        <w:spacing w:after="200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udostępnienia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do publicznej wiadomości nierzetelnej, nieprawdziwej lub niekompletnej informacji lub przemilczenie informacji, informacji, kt</w:t>
      </w:r>
      <w:r w:rsidR="00D6069D" w:rsidRPr="002A2C8D">
        <w:rPr>
          <w:rFonts w:ascii="Arial" w:eastAsia="Times New Roman" w:hAnsi="Arial" w:cs="Arial"/>
          <w:sz w:val="22"/>
          <w:szCs w:val="22"/>
          <w:lang w:eastAsia="pl-PL"/>
        </w:rPr>
        <w:t>órych obowiązek zamieszczenia w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prospekcie emisyjnym, memorandum informacyjnym oraz innych dokumentach sporządzanych i udostępnianych powstaje w związku w związku z ofertą publiczną, subskrypcją lub sprzedażą na podstawie tej oferty lub ubieganiem się o dopuszczenie papierów wartościowych do obrotu na rynku regulowanym</w:t>
      </w:r>
      <w:r w:rsidR="00497705" w:rsidRPr="002A2C8D">
        <w:rPr>
          <w:rStyle w:val="Odwoanieprzypisudolnego"/>
          <w:rFonts w:ascii="Arial" w:eastAsia="Times New Roman" w:hAnsi="Arial"/>
          <w:sz w:val="22"/>
          <w:szCs w:val="22"/>
          <w:lang w:eastAsia="pl-PL"/>
        </w:rPr>
        <w:footnoteReference w:id="20"/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497705" w:rsidRPr="002A2C8D" w:rsidRDefault="0015650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Sprawami, w których mechanizm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mógłby znaleźć zastosowanie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są przede wszystkim sprawy o roszczenia o ochronę konsumentów, w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przypadku których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jednego rodzaju praktyka naruszyciela (najczęściej stosowanie klauzul abuzywnych) powoduje często szkodę w majątku bardzo dużego kręgu osób. Omawiany model mógłby również m</w:t>
      </w:r>
      <w:r w:rsidR="00FB4504" w:rsidRPr="002A2C8D">
        <w:rPr>
          <w:rFonts w:ascii="Arial" w:eastAsia="Times New Roman" w:hAnsi="Arial" w:cs="Arial"/>
          <w:sz w:val="22"/>
          <w:szCs w:val="22"/>
          <w:lang w:eastAsia="pl-PL"/>
        </w:rPr>
        <w:t>ieć duże praktyczne znaczenie w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sprawach roszczeń wynikających z naruszenia prawa konkurencji (np. z nadużywania pozycji dominującej, niedozwolonych porozumień ograniczających konkurencję etc.). </w:t>
      </w:r>
    </w:p>
    <w:p w:rsidR="0015650B" w:rsidRPr="002A2C8D" w:rsidRDefault="0015650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Podobne do proponowanego ograniczenie zakresu przedmiotowego zastosowania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przede wszystkim do roszczeń z zakresu prawa konkurencji lub ochrony konsumenta występuje także w innych systemach prawnych, w których możliwe jest dochodzenie roszczeń w trybie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(Belgia, Hiszpania, Wielka Brytania). Ograniczenie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d</w:t>
      </w:r>
      <w:r w:rsidR="00497705" w:rsidRPr="002A2C8D">
        <w:rPr>
          <w:rFonts w:ascii="Arial" w:eastAsia="Times New Roman" w:hAnsi="Arial" w:cs="Arial"/>
          <w:sz w:val="22"/>
          <w:szCs w:val="22"/>
          <w:lang w:eastAsia="pl-PL"/>
        </w:rPr>
        <w:t>o sporów związanych z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naruszeniem prawa rynku kapitałowego występuje z kolei w prawie niemieckim.</w:t>
      </w:r>
    </w:p>
    <w:p w:rsidR="00FB4504" w:rsidRPr="002A2C8D" w:rsidRDefault="00D6069D" w:rsidP="00D6069D">
      <w:pPr>
        <w:pStyle w:val="AAAPkt1"/>
      </w:pPr>
      <w:bookmarkStart w:id="8" w:name="_Toc455333818"/>
      <w:r w:rsidRPr="002A2C8D">
        <w:t>IV.3.</w:t>
      </w:r>
      <w:r w:rsidRPr="002A2C8D">
        <w:tab/>
      </w:r>
      <w:r w:rsidR="00FB4504" w:rsidRPr="002A2C8D">
        <w:t>Kryterium drobnych roszczeń</w:t>
      </w:r>
      <w:bookmarkEnd w:id="8"/>
    </w:p>
    <w:p w:rsidR="00FD46AA" w:rsidRPr="002A2C8D" w:rsidRDefault="001A143C" w:rsidP="002A2C8D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Wysokość indywidulanych roszczeń dochodzonych w modelu opt-out powinna zostać ograniczona do</w:t>
      </w:r>
      <w:r w:rsidR="002A2C8D">
        <w:rPr>
          <w:rFonts w:ascii="Arial" w:eastAsia="Times New Roman" w:hAnsi="Arial" w:cs="Arial"/>
          <w:sz w:val="22"/>
          <w:szCs w:val="22"/>
          <w:lang w:eastAsia="pl-PL"/>
        </w:rPr>
        <w:t xml:space="preserve"> określonej ustawowo kwoty. </w:t>
      </w:r>
      <w:r w:rsidR="002A2C8D" w:rsidRPr="00843F1B">
        <w:rPr>
          <w:rFonts w:ascii="Arial" w:eastAsia="Times New Roman" w:hAnsi="Arial" w:cs="Arial"/>
          <w:sz w:val="22"/>
          <w:szCs w:val="22"/>
          <w:lang w:eastAsia="pl-PL"/>
        </w:rPr>
        <w:t>Proponuje się, by była to kwota</w:t>
      </w:r>
      <w:r w:rsidR="00497705" w:rsidRPr="00843F1B">
        <w:rPr>
          <w:rFonts w:ascii="Arial" w:eastAsia="Times New Roman" w:hAnsi="Arial" w:cs="Arial"/>
          <w:sz w:val="22"/>
          <w:szCs w:val="22"/>
          <w:lang w:eastAsia="pl-PL"/>
        </w:rPr>
        <w:t xml:space="preserve"> nie</w:t>
      </w:r>
      <w:r w:rsidRPr="00843F1B">
        <w:rPr>
          <w:rFonts w:ascii="Arial" w:eastAsia="Times New Roman" w:hAnsi="Arial" w:cs="Arial"/>
          <w:sz w:val="22"/>
          <w:szCs w:val="22"/>
          <w:lang w:eastAsia="pl-PL"/>
        </w:rPr>
        <w:t>przekraczając</w:t>
      </w:r>
      <w:r w:rsidR="002A2C8D" w:rsidRPr="00843F1B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843F1B">
        <w:rPr>
          <w:rFonts w:ascii="Arial" w:eastAsia="Times New Roman" w:hAnsi="Arial" w:cs="Arial"/>
          <w:sz w:val="22"/>
          <w:szCs w:val="22"/>
          <w:lang w:eastAsia="pl-PL"/>
        </w:rPr>
        <w:t xml:space="preserve"> równowartości </w:t>
      </w:r>
      <w:r w:rsidR="00C936B2" w:rsidRPr="00843F1B">
        <w:rPr>
          <w:rFonts w:ascii="Arial" w:eastAsia="Times New Roman" w:hAnsi="Arial" w:cs="Arial"/>
          <w:sz w:val="22"/>
          <w:szCs w:val="22"/>
          <w:lang w:eastAsia="pl-PL"/>
        </w:rPr>
        <w:t>200</w:t>
      </w:r>
      <w:r w:rsidRPr="00843F1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936B2" w:rsidRPr="00843F1B">
        <w:rPr>
          <w:rFonts w:ascii="Arial" w:eastAsia="Times New Roman" w:hAnsi="Arial" w:cs="Arial"/>
          <w:sz w:val="22"/>
          <w:szCs w:val="22"/>
          <w:lang w:eastAsia="pl-PL"/>
        </w:rPr>
        <w:t>euro w przypadku roszczeń konsumentów oraz 500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euro w przypadku roszczeń przysługujących przedsiębiorcom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D46AA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Przeliczenie równowartości ww. kwot na złote </w:t>
      </w:r>
      <w:r w:rsidR="002A2C8D">
        <w:rPr>
          <w:rFonts w:ascii="Arial" w:eastAsia="Times New Roman" w:hAnsi="Arial" w:cs="Arial"/>
          <w:sz w:val="22"/>
          <w:szCs w:val="22"/>
          <w:lang w:eastAsia="pl-PL"/>
        </w:rPr>
        <w:t>mogłoby następować</w:t>
      </w:r>
      <w:r w:rsidR="00FD46AA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według średniego kursu euro ogłoszonego przez Narodowy Bank Polski na dzień wniesienia pozwu. </w:t>
      </w:r>
    </w:p>
    <w:p w:rsidR="0015650B" w:rsidRPr="002A2C8D" w:rsidRDefault="0015650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Przyjęcie na poziomie ustawowym maksymalnej wysokości roszczenia, którego członek grupy może domagać się w postępowaniu prowadzonym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stanowiłoby mechanizm zwiększający skuteczność realizacji prawa jednostek do sądu. To właśnie w kontekście dochodzenia drobnych roszczeń model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jest najbardziej efektywną formą postępowania grupowego. Zgodnie z wynikami badań zawartymi w przygotowanej przez Komisję Europejską Zielonej Księdze w sprawie dochodzenia zbiorowych roszczeń konsumentów, istnieją przeszkody, które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de facto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utrudniają europejskim konsumentom skuteczne dochodzenie ich roszczeń. 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Są to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przede wszystkim wysokie koszty postępowania sądowego oraz złożone i długotrwałe procedury. 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Jak wskazano już wyżej, c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o piąty europejski konsument nie skieruje sprawy do sądu, jeżeli dotyczy ona kwoty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niższej </w:t>
      </w:r>
      <w:proofErr w:type="gramStart"/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niż 1.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000 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euro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Progiem dla połowy konsumentów jest kwota 200 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euro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Ze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względu na wysokie koszty oraz ryzyko związane z postępowaniem opłacanie 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przez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konsumenta lub drobnego przedsiębiorcę mogących przekraczać wysokość odszkodowania kosztów sądowych, wynagrodzeń prawników i biegłych nie jest rozsądne z ekonomicznego punktu widzenia</w:t>
      </w:r>
      <w:r w:rsidRPr="002A2C8D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footnoteReference w:id="21"/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Ograniczenie wysokości roszczenia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doprowadziłoby zatem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do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naprawi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enia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szk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ó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d, których kompensacji w innym trybie obywatele nigdy by nie dochodzili. </w:t>
      </w:r>
    </w:p>
    <w:p w:rsidR="0015650B" w:rsidRPr="002A2C8D" w:rsidRDefault="0015650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Problematyczne jest natomiast precyzyjne wyznaczenie wysokości indywidualnego roszczenia podlegającego zaspokojeniu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Zgodnie z art. 2 </w:t>
      </w:r>
      <w:r w:rsidR="00E94AE7" w:rsidRPr="002A2C8D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ozporządzenia (WE) nr 861/2007 Parlamentu Europejskiego i Rady z dnia 11 lipca 2007 r. ustanawiającego europejskie postępowanie w sprawie drobnych roszczeń</w:t>
      </w:r>
      <w:r w:rsidRPr="002A2C8D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footnoteReference w:id="22"/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, za drobne roszczenie należy uznać roszczenie nieprzekraczające 2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000 </w:t>
      </w:r>
      <w:proofErr w:type="gramStart"/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euro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Trzeba jednak wskazać,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ż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 polskich realiach społeczno-gospodarczych kwota ta wydaje si</w:t>
      </w:r>
      <w:r w:rsidR="00D6069D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ę być zbyt wysoka. Wydaje się,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ż</w:t>
      </w:r>
      <w:r w:rsidR="00D6069D" w:rsidRPr="002A2C8D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model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powinien być stosowany do dochodzenia roszczeń 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konsumentów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wynoszących maksymalnie 200-300 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euro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Podobny próg przyjęto zresztą w dużo zamożniejszej niż Polska Danii (2000 koron – około 270 e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uro). Trzeba założyć, że dla przedsiębiorców kwota ta powinna być odpowiednio wyższa – proponuje się przyjęcie progu 500 euro. </w:t>
      </w:r>
    </w:p>
    <w:p w:rsidR="002A2C8D" w:rsidRDefault="002A2C8D" w:rsidP="00D6069D">
      <w:pPr>
        <w:pStyle w:val="AAAPkt1"/>
      </w:pPr>
      <w:bookmarkStart w:id="9" w:name="_Toc455333819"/>
      <w:r>
        <w:br w:type="page"/>
      </w:r>
    </w:p>
    <w:p w:rsidR="00FB4504" w:rsidRPr="002A2C8D" w:rsidRDefault="00D6069D" w:rsidP="00D6069D">
      <w:pPr>
        <w:pStyle w:val="AAAPkt1"/>
      </w:pPr>
      <w:r w:rsidRPr="002A2C8D">
        <w:lastRenderedPageBreak/>
        <w:t>IV.4.</w:t>
      </w:r>
      <w:r w:rsidRPr="002A2C8D">
        <w:tab/>
      </w:r>
      <w:r w:rsidR="00FB4504" w:rsidRPr="002A2C8D">
        <w:t>Miejsce zamieszkania członków grupy</w:t>
      </w:r>
      <w:bookmarkEnd w:id="9"/>
    </w:p>
    <w:p w:rsidR="0015650B" w:rsidRPr="002A2C8D" w:rsidRDefault="001A143C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W skład grupy dochodzącej roszczeń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powinny wchodzić jedynie podmioty mające siedzibę lub stałe miejsce zamieszkania w Polsce.</w:t>
      </w:r>
    </w:p>
    <w:p w:rsidR="0015650B" w:rsidRPr="002A2C8D" w:rsidRDefault="0015650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Wprowadzenie obowiązku, by członkami grupy mogły być jedynie podmioty mające miejsce zamieszkania lub siedzibę na terytorium RP służyłoby zmniejszeniu ryz</w:t>
      </w:r>
      <w:r w:rsidR="00C26A6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yka nadużywania modelu </w:t>
      </w:r>
      <w:r w:rsidR="00C26A62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="00C26A62"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FB4504" w:rsidRPr="002A2C8D" w:rsidRDefault="00FB4504" w:rsidP="00D6069D">
      <w:pPr>
        <w:pStyle w:val="AAAPkt1"/>
      </w:pPr>
      <w:bookmarkStart w:id="10" w:name="_Toc455333820"/>
      <w:r w:rsidRPr="002A2C8D">
        <w:t>I</w:t>
      </w:r>
      <w:r w:rsidR="00D6069D" w:rsidRPr="002A2C8D">
        <w:t>V.5.</w:t>
      </w:r>
      <w:r w:rsidR="00D6069D" w:rsidRPr="002A2C8D">
        <w:tab/>
      </w:r>
      <w:r w:rsidRPr="002A2C8D">
        <w:t>Reprezentacja grupy</w:t>
      </w:r>
      <w:bookmarkEnd w:id="10"/>
    </w:p>
    <w:p w:rsidR="001A143C" w:rsidRPr="002A2C8D" w:rsidRDefault="001A143C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W odniesieniu do grupy dochodzącej roszczeń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, której członkami są konsumenci lub przedsiębiorcy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jej </w:t>
      </w:r>
      <w:r w:rsidRPr="002A2C8D">
        <w:rPr>
          <w:rFonts w:ascii="Arial" w:eastAsia="Times New Roman" w:hAnsi="Arial" w:cs="Arial"/>
          <w:b/>
          <w:sz w:val="22"/>
          <w:szCs w:val="22"/>
          <w:lang w:eastAsia="pl-PL"/>
        </w:rPr>
        <w:t>reprezentantem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mógłby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być miejski/powiatowy rzecznik konsumentów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ewentualnie 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>Rzecznik Finansowy,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Rzecznik </w:t>
      </w:r>
      <w:proofErr w:type="gramStart"/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Praw</w:t>
      </w:r>
      <w:proofErr w:type="gramEnd"/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Obywatelskich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albo krajowa organizacja, 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które</w:t>
      </w:r>
      <w:r w:rsidR="006F5EBA">
        <w:rPr>
          <w:rFonts w:ascii="Arial" w:eastAsia="Times New Roman" w:hAnsi="Arial" w:cs="Arial"/>
          <w:sz w:val="22"/>
          <w:szCs w:val="22"/>
          <w:lang w:eastAsia="pl-PL"/>
        </w:rPr>
        <w:t>j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celem statutowym jest ochrona interesów przedsiębiorców.</w:t>
      </w:r>
    </w:p>
    <w:p w:rsidR="001A143C" w:rsidRPr="002A2C8D" w:rsidRDefault="00793BC4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Ponadto, </w:t>
      </w:r>
      <w:r w:rsidR="0086287E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proponuje się, by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eprezentantem </w:t>
      </w:r>
      <w:r w:rsidR="0086287E" w:rsidRPr="002A2C8D">
        <w:rPr>
          <w:rFonts w:ascii="Arial" w:eastAsia="Times New Roman" w:hAnsi="Arial" w:cs="Arial"/>
          <w:sz w:val="22"/>
          <w:szCs w:val="22"/>
          <w:lang w:eastAsia="pl-PL"/>
        </w:rPr>
        <w:t>mógł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być 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także członek grupy, który – w ocenie sądu – dawałby rękojmię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należytego reprezentowania grupy. Sąd powinien 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przy tym 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>posiadać kompetencję do zmiany reprezentanta grupy, jeśli utraciłby on rękojmi</w:t>
      </w:r>
      <w:r w:rsidR="006F5EBA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należytego reprezentowania grupy.</w:t>
      </w:r>
    </w:p>
    <w:p w:rsidR="0015650B" w:rsidRPr="002A2C8D" w:rsidRDefault="0015650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Powierzenie funkcji reprezentanta grupy rzecznikowi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praw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kon</w:t>
      </w:r>
      <w:r w:rsidR="00D6069D" w:rsidRPr="002A2C8D">
        <w:rPr>
          <w:rFonts w:ascii="Arial" w:eastAsia="Times New Roman" w:hAnsi="Arial" w:cs="Arial"/>
          <w:sz w:val="22"/>
          <w:szCs w:val="22"/>
          <w:lang w:eastAsia="pl-PL"/>
        </w:rPr>
        <w:t>sumentów (w sprawach roszczeń o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ochronę konsumentów) albo organizacji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o zasięgu krajowym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, której celem statutowym jest ochrona interesów przedsiębiorców (w sprawach o roszczenia wynikające z naruszenia prawa konkurencji) sprzyjałoby upowszechnieniu realizacji prawa obywateli do sądu.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Prowadziłoby bowiem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do wszczęcia postępowań, w które zdecydowana większość działający</w:t>
      </w:r>
      <w:r w:rsidR="006F5EBA">
        <w:rPr>
          <w:rFonts w:ascii="Arial" w:eastAsia="Times New Roman" w:hAnsi="Arial" w:cs="Arial"/>
          <w:sz w:val="22"/>
          <w:szCs w:val="22"/>
          <w:lang w:eastAsia="pl-PL"/>
        </w:rPr>
        <w:t>ch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indywidualnie konsumentów nie chciałaby się angażować. Z drugiej strony, </w:t>
      </w:r>
      <w:r w:rsidR="00793BC4" w:rsidRPr="002A2C8D">
        <w:rPr>
          <w:rFonts w:ascii="Arial" w:eastAsia="Times New Roman" w:hAnsi="Arial" w:cs="Arial"/>
          <w:sz w:val="22"/>
          <w:szCs w:val="22"/>
          <w:lang w:eastAsia="pl-PL"/>
        </w:rPr>
        <w:t>proponuje się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ograniczyć krąg organizacji, które mogłyby dochodzić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roszczeń na rzecz przedsiębiorców 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do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organi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>zacji o zasięgu ogólnokrajowym</w:t>
      </w:r>
      <w:r w:rsidR="00920E22" w:rsidRPr="002A2C8D">
        <w:rPr>
          <w:rStyle w:val="Odwoanieprzypisudolnego"/>
          <w:rFonts w:ascii="Arial" w:eastAsia="Times New Roman" w:hAnsi="Arial"/>
          <w:sz w:val="22"/>
          <w:szCs w:val="22"/>
          <w:lang w:eastAsia="pl-PL"/>
        </w:rPr>
        <w:footnoteReference w:id="23"/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Dopuszczenie każdej tego rodzaju organizacji, 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nawet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powołanej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ad hoc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, o niewielkim zasięgu działania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groziłoby bowiem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nadużywaniem mechanizmu motywowanym osiągnięciem zysku przez taką organizację. Z 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tego samego powodu </w:t>
      </w:r>
      <w:r w:rsidR="002259BD" w:rsidRPr="002A2C8D">
        <w:rPr>
          <w:rFonts w:ascii="Arial" w:eastAsia="Times New Roman" w:hAnsi="Arial" w:cs="Arial"/>
          <w:sz w:val="22"/>
          <w:szCs w:val="22"/>
          <w:lang w:eastAsia="pl-PL"/>
        </w:rPr>
        <w:t>w 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>sprawach o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roszczenia o ochronę konsumentów zasadne byłoby umożliwienie reprezentowania poszkodowanych tylko przez organ publiczny, jakim jest powiatowy/mie</w:t>
      </w:r>
      <w:r w:rsidR="00C26A6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jski rzecznik </w:t>
      </w:r>
      <w:proofErr w:type="gramStart"/>
      <w:r w:rsidR="00C26A62" w:rsidRPr="002A2C8D">
        <w:rPr>
          <w:rFonts w:ascii="Arial" w:eastAsia="Times New Roman" w:hAnsi="Arial" w:cs="Arial"/>
          <w:sz w:val="22"/>
          <w:szCs w:val="22"/>
          <w:lang w:eastAsia="pl-PL"/>
        </w:rPr>
        <w:t>praw</w:t>
      </w:r>
      <w:proofErr w:type="gramEnd"/>
      <w:r w:rsidR="00C26A6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konsumentów.</w:t>
      </w:r>
    </w:p>
    <w:p w:rsidR="00FB4504" w:rsidRPr="002A2C8D" w:rsidRDefault="00D6069D" w:rsidP="00D6069D">
      <w:pPr>
        <w:pStyle w:val="AAAPkt1"/>
      </w:pPr>
      <w:bookmarkStart w:id="11" w:name="_Toc455333821"/>
      <w:r w:rsidRPr="002A2C8D">
        <w:t>IV.6.</w:t>
      </w:r>
      <w:r w:rsidRPr="002A2C8D">
        <w:tab/>
      </w:r>
      <w:r w:rsidR="00FB4504" w:rsidRPr="002A2C8D">
        <w:t>Mediacja</w:t>
      </w:r>
      <w:bookmarkEnd w:id="11"/>
    </w:p>
    <w:p w:rsidR="001A143C" w:rsidRPr="002A2C8D" w:rsidRDefault="001A143C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W postępowaniu grupowym prowadzonym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="00C936B2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,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po fazie certyfikacji</w:t>
      </w:r>
      <w:r w:rsidR="00C936B2" w:rsidRPr="002A2C8D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strony 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>mogłyby być poddawane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obligatoryjnej mediacji w celu ewentualnego polubownego zakończenia sporu. </w:t>
      </w:r>
    </w:p>
    <w:p w:rsidR="00F80DA7" w:rsidRPr="002A2C8D" w:rsidRDefault="00F80DA7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Wprowadzenie obowiązku poddania się mediacji nie stanowi naruszenia zasady dobrowolności mediacji, przez którą rozumie się uprawnienie stron do samodzielnej (według swego wyboru) organizacji postępowania mediacyjnego oraz zakończenia go w dowolnym terminie. </w:t>
      </w:r>
      <w:r w:rsidR="00AE5AD8" w:rsidRPr="002A2C8D">
        <w:rPr>
          <w:rFonts w:ascii="Arial" w:eastAsia="Times New Roman" w:hAnsi="Arial" w:cs="Arial"/>
          <w:sz w:val="22"/>
          <w:szCs w:val="22"/>
          <w:lang w:eastAsia="pl-PL"/>
        </w:rPr>
        <w:t>Także prawo unijne nie kwestionuje możliwości ustanawiania obligatoryjności mediacji w wybranych sprawach</w:t>
      </w:r>
      <w:r w:rsidR="00AE5AD8" w:rsidRPr="002A2C8D">
        <w:rPr>
          <w:rStyle w:val="Odwoanieprzypisudolnego"/>
          <w:rFonts w:ascii="Arial" w:eastAsia="Times New Roman" w:hAnsi="Arial"/>
          <w:sz w:val="22"/>
          <w:szCs w:val="22"/>
          <w:lang w:eastAsia="pl-PL"/>
        </w:rPr>
        <w:footnoteReference w:id="24"/>
      </w:r>
      <w:r w:rsidR="002A2C8D"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FB4504" w:rsidRPr="002A2C8D" w:rsidRDefault="0015650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Nałożenie na strony obowiązku mediacji po zakończonej fazie certyfikacji doprowadziłoby </w:t>
      </w:r>
      <w:r w:rsidR="009115E7" w:rsidRPr="002A2C8D">
        <w:rPr>
          <w:rFonts w:ascii="Arial" w:eastAsia="Times New Roman" w:hAnsi="Arial" w:cs="Arial"/>
          <w:sz w:val="22"/>
          <w:szCs w:val="22"/>
          <w:lang w:eastAsia="pl-PL"/>
        </w:rPr>
        <w:t>do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zwiększenia skuteczności grupowego dochodzenia roszczeń poprzez jego szybsze zako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ńczenie w sposób konsensualny –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akceptowalny dla obu stron.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Warto zauważyć, </w:t>
      </w:r>
      <w:r w:rsidR="009115E7" w:rsidRPr="002A2C8D">
        <w:rPr>
          <w:rFonts w:ascii="Arial" w:eastAsia="Times New Roman" w:hAnsi="Arial" w:cs="Arial"/>
          <w:sz w:val="22"/>
          <w:szCs w:val="22"/>
          <w:lang w:eastAsia="pl-PL"/>
        </w:rPr>
        <w:t>że 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bowiązek prowadzenia negocjacji został wprowadzony do prawa belgijskiego i holenderskiego.</w:t>
      </w:r>
    </w:p>
    <w:p w:rsidR="00FB4504" w:rsidRPr="002A2C8D" w:rsidRDefault="00FB4504" w:rsidP="00D6069D">
      <w:pPr>
        <w:pStyle w:val="AAAPkt1"/>
      </w:pPr>
      <w:bookmarkStart w:id="12" w:name="_Toc455333822"/>
      <w:r w:rsidRPr="002A2C8D">
        <w:t>IV.</w:t>
      </w:r>
      <w:r w:rsidR="00D6069D" w:rsidRPr="002A2C8D">
        <w:t>7.</w:t>
      </w:r>
      <w:r w:rsidR="00D6069D" w:rsidRPr="002A2C8D">
        <w:tab/>
      </w:r>
      <w:r w:rsidRPr="002A2C8D">
        <w:t>Sąd właściwy</w:t>
      </w:r>
      <w:bookmarkEnd w:id="12"/>
    </w:p>
    <w:p w:rsidR="0015650B" w:rsidRPr="002A2C8D" w:rsidRDefault="00282144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Proponuje się, aby p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ostępowania grupowe w modelu </w:t>
      </w:r>
      <w:r w:rsidR="001A143C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były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prowadzone przez jeden wyspecjalizowany sąd.</w:t>
      </w:r>
    </w:p>
    <w:p w:rsidR="0015650B" w:rsidRPr="002A2C8D" w:rsidRDefault="007B4CA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Rozwiązanie takie służyłoby z</w:t>
      </w:r>
      <w:r w:rsidR="0015650B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większeniu skuteczności prowadzenia postępowań grupowych </w:t>
      </w:r>
      <w:r w:rsidR="009115E7" w:rsidRPr="002A2C8D">
        <w:rPr>
          <w:rFonts w:ascii="Arial" w:eastAsia="Times New Roman" w:hAnsi="Arial" w:cs="Arial"/>
          <w:sz w:val="22"/>
          <w:szCs w:val="22"/>
          <w:lang w:eastAsia="pl-PL"/>
        </w:rPr>
        <w:t>przy </w:t>
      </w:r>
      <w:r w:rsidR="0015650B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jednoczesnej minimalizacji ryzyka nadużywania modelu </w:t>
      </w:r>
      <w:r w:rsidR="0015650B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15650B" w:rsidRPr="002A2C8D">
        <w:rPr>
          <w:rFonts w:ascii="Arial" w:eastAsia="Times New Roman" w:hAnsi="Arial" w:cs="Arial"/>
          <w:sz w:val="22"/>
          <w:szCs w:val="22"/>
          <w:lang w:eastAsia="pl-PL"/>
        </w:rPr>
        <w:t>Podobne rozwiązanie przyjęto już w prawie polskim w odniesieniu do Sądu Ochrony Konkurencji i Konsumentów. Powierzenie rozpatrywania tego typu sporów wybranemu sądowi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wywołałoby „efekt specjalizacji”</w:t>
      </w:r>
      <w:r w:rsidR="0015650B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oraz </w:t>
      </w:r>
      <w:r w:rsidR="0015650B" w:rsidRPr="002A2C8D">
        <w:rPr>
          <w:rFonts w:ascii="Arial" w:eastAsia="Times New Roman" w:hAnsi="Arial" w:cs="Arial"/>
          <w:sz w:val="22"/>
          <w:szCs w:val="22"/>
          <w:lang w:eastAsia="pl-PL"/>
        </w:rPr>
        <w:t>doprowad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ziłoby do wzrostu stabilności i </w:t>
      </w:r>
      <w:r w:rsidR="0015650B" w:rsidRPr="002A2C8D">
        <w:rPr>
          <w:rFonts w:ascii="Arial" w:eastAsia="Times New Roman" w:hAnsi="Arial" w:cs="Arial"/>
          <w:sz w:val="22"/>
          <w:szCs w:val="22"/>
          <w:lang w:eastAsia="pl-PL"/>
        </w:rPr>
        <w:t>przewidywalności orzecznictwa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FB4504" w:rsidRPr="002A2C8D" w:rsidRDefault="00FB4504" w:rsidP="00D6069D">
      <w:pPr>
        <w:pStyle w:val="AAAPkt1"/>
      </w:pPr>
      <w:bookmarkStart w:id="13" w:name="_Toc455333823"/>
      <w:r w:rsidRPr="002A2C8D">
        <w:t>IV.8</w:t>
      </w:r>
      <w:r w:rsidR="00D6069D" w:rsidRPr="002A2C8D">
        <w:t>.</w:t>
      </w:r>
      <w:r w:rsidR="00D6069D" w:rsidRPr="002A2C8D">
        <w:tab/>
      </w:r>
      <w:r w:rsidRPr="002A2C8D">
        <w:t>Procedura notyfikacji</w:t>
      </w:r>
      <w:bookmarkEnd w:id="13"/>
    </w:p>
    <w:p w:rsidR="00282144" w:rsidRPr="002A2C8D" w:rsidRDefault="001A143C" w:rsidP="00D6069D">
      <w:pPr>
        <w:pStyle w:val="00KKGTekstPoziomu"/>
        <w:spacing w:after="12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W postępowaniu grupowym prowadzonym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="00920E22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rozszerzeniu – w stosunku do modelu </w:t>
      </w:r>
      <w:r w:rsidR="00920E22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opt-in –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powinna ul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ec procedura notyfikacji, czyli zawiadamiania członków grupy o toczącym się postępowaniu grupowym. Jest ona szczególnie ważna w modelu </w:t>
      </w:r>
      <w:r w:rsidR="00282144"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, w którym brak oświadczenia o „wystąpieniu z grupy” we właściwym terminie skutkuje objęciem danej osoby wydanego w postępowaniu grupowym wyroku. </w:t>
      </w:r>
    </w:p>
    <w:p w:rsidR="00C936B2" w:rsidRPr="002A2C8D" w:rsidRDefault="00926DD3" w:rsidP="00D6069D">
      <w:pPr>
        <w:pStyle w:val="00KKGTekstPoziomu"/>
        <w:spacing w:after="12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ależy 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>zatem</w:t>
      </w:r>
      <w:proofErr w:type="gramEnd"/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przewidzieć</w:t>
      </w:r>
      <w:r w:rsidR="001A143C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:rsidR="00C936B2" w:rsidRPr="002A2C8D" w:rsidRDefault="001A143C" w:rsidP="00D6069D">
      <w:pPr>
        <w:pStyle w:val="00KKGTekstPoziomu"/>
        <w:numPr>
          <w:ilvl w:val="0"/>
          <w:numId w:val="27"/>
        </w:numPr>
        <w:tabs>
          <w:tab w:val="clear" w:pos="567"/>
          <w:tab w:val="left" w:pos="426"/>
        </w:tabs>
        <w:spacing w:after="120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obowiązek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wskazania przez powoda i pozwanego wszystkich znanych im potencjalnych członków „grupy”, którzy byliby następnie zawiadomieni indywidualnie o postępowaniu, oraz </w:t>
      </w:r>
    </w:p>
    <w:p w:rsidR="001A143C" w:rsidRPr="002A2C8D" w:rsidRDefault="001A143C" w:rsidP="00FB4504">
      <w:pPr>
        <w:pStyle w:val="00KKGTekstPoziomu"/>
        <w:numPr>
          <w:ilvl w:val="0"/>
          <w:numId w:val="27"/>
        </w:numPr>
        <w:tabs>
          <w:tab w:val="clear" w:pos="567"/>
          <w:tab w:val="left" w:pos="426"/>
        </w:tabs>
        <w:spacing w:after="200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obowiązek dokonania publikacji ogłoszenia o wszczęciu postępowania grupowego w Biuletynie Informacji Publicznej Sądu, przed któr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ym toczy się postępowanie lub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na innej stronie internetowej wskazanej przez powoda, właściwej stosownie do okoliczności konkretnej sprawy, a ewentualnie również na stronie internetowej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pozwanego (jako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>„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naturalnym</w:t>
      </w:r>
      <w:r w:rsidR="00282144" w:rsidRPr="002A2C8D">
        <w:rPr>
          <w:rFonts w:ascii="Arial" w:eastAsia="Times New Roman" w:hAnsi="Arial" w:cs="Arial"/>
          <w:sz w:val="22"/>
          <w:szCs w:val="22"/>
          <w:lang w:eastAsia="pl-PL"/>
        </w:rPr>
        <w:t>”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kanale komunikacji pozwanego z potencjalnie poszkodowanymi).</w:t>
      </w:r>
    </w:p>
    <w:p w:rsidR="00282144" w:rsidRPr="002A2C8D" w:rsidRDefault="00282144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Rozwiązaniem zwiększającym efektywność notyfikacji byłoby także utworzenie centralnego wykazu toczących się postępowań grupowych (np. w BIP Ministerstwa Sprawiedliwości), w którym znajdowałyby się informacje m.in. o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modelu w jakim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toczy się postępowanie grupowe, a w przypadku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– o terminie, w jakim każda osoba spełniająca wskazane kryteria członka grupy może z niej wystąpić składając stosowne oświadczenie.</w:t>
      </w:r>
    </w:p>
    <w:p w:rsidR="0015650B" w:rsidRPr="002A2C8D" w:rsidRDefault="0015650B" w:rsidP="00691099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Propozycje zmian dotyczących procedury notyfikacji o wszczęciu postępowania w przypadku procesu toczącego się w trybie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zmierzają do zwiększenia prawdopodobieństwa dowiedzenia się przez osoby poszkodowane o toczącym się postępowaniu grupowym. </w:t>
      </w:r>
      <w:r w:rsidR="009115E7" w:rsidRPr="002A2C8D">
        <w:rPr>
          <w:rFonts w:ascii="Arial" w:eastAsia="Times New Roman" w:hAnsi="Arial" w:cs="Arial"/>
          <w:sz w:val="22"/>
          <w:szCs w:val="22"/>
          <w:lang w:eastAsia="pl-PL"/>
        </w:rPr>
        <w:t>W ten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sposób zabezpieczona zostałaby realizacja prawa jednostek do sądu – postulowane zmiany umożliwiłyby </w:t>
      </w:r>
      <w:r w:rsidR="003307E3" w:rsidRPr="002A2C8D">
        <w:rPr>
          <w:rFonts w:ascii="Arial" w:eastAsia="Times New Roman" w:hAnsi="Arial" w:cs="Arial"/>
          <w:sz w:val="22"/>
          <w:szCs w:val="22"/>
          <w:lang w:eastAsia="pl-PL"/>
        </w:rPr>
        <w:t>wystąpienie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z grupy tym podmiotom, które byłyby zainteresowane indywidualnym dochodzeniem swoich roszczeń.</w:t>
      </w:r>
    </w:p>
    <w:p w:rsidR="00FB4504" w:rsidRPr="002A2C8D" w:rsidRDefault="00FB4504" w:rsidP="00D6069D">
      <w:pPr>
        <w:pStyle w:val="AAAPkt1"/>
      </w:pPr>
      <w:bookmarkStart w:id="14" w:name="_Toc455333824"/>
      <w:r w:rsidRPr="002A2C8D">
        <w:t>IV.</w:t>
      </w:r>
      <w:r w:rsidR="00D6069D" w:rsidRPr="002A2C8D">
        <w:t>9.</w:t>
      </w:r>
      <w:r w:rsidR="00D6069D" w:rsidRPr="002A2C8D">
        <w:tab/>
      </w:r>
      <w:r w:rsidRPr="002A2C8D">
        <w:t>Procedura dystrybucji zasądzanych środków</w:t>
      </w:r>
      <w:bookmarkEnd w:id="14"/>
    </w:p>
    <w:p w:rsidR="001A143C" w:rsidRPr="002A2C8D" w:rsidRDefault="001A143C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System </w:t>
      </w:r>
      <w:proofErr w:type="gramStart"/>
      <w:r w:rsidRPr="002A2C8D">
        <w:rPr>
          <w:rFonts w:ascii="Arial" w:eastAsia="Times New Roman" w:hAnsi="Arial" w:cs="Arial"/>
          <w:sz w:val="22"/>
          <w:szCs w:val="22"/>
          <w:lang w:eastAsia="pl-PL"/>
        </w:rPr>
        <w:t>dystrybucji  środków</w:t>
      </w:r>
      <w:proofErr w:type="gramEnd"/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zasądzonych na rzecz członków grupy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powinien być dokonywany przez podmiot wykonujący zawód zaufania </w:t>
      </w:r>
      <w:r w:rsidR="00FB450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publicznego, wyspecjalizowany </w:t>
      </w:r>
      <w:r w:rsidR="00FB4504" w:rsidRPr="002A2C8D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powierniczym zarządzaniu masą majątkowa na rzecz wierzycieli (np. nadzorca</w:t>
      </w:r>
      <w:r w:rsidR="00FB4504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, zarządca, syndyk) – 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działający w każdym wariancie pod nadzorem sądu.</w:t>
      </w:r>
    </w:p>
    <w:p w:rsidR="001A143C" w:rsidRPr="002A2C8D" w:rsidRDefault="0015650B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Powierzenie dystrybucji środków zas</w:t>
      </w:r>
      <w:r w:rsidR="006F5EBA">
        <w:rPr>
          <w:rFonts w:ascii="Arial" w:eastAsia="Times New Roman" w:hAnsi="Arial" w:cs="Arial"/>
          <w:sz w:val="22"/>
          <w:szCs w:val="22"/>
          <w:lang w:eastAsia="pl-PL"/>
        </w:rPr>
        <w:t>ą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dzonych na rzecz członków grupy podmiotowi wykonującemu zawód zaufania publicznego, wyspecjalizowanemu w powierniczym zarządzaniu masą majątkową na rzecz wierzycieli (np. nadzorcy, zarządcy, syndykowi, kuratorowi) służyłoby zwiększeniu efektywności i rzetelności postępowania grupowego w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, przekładając się na wzrost popularności tej formy dochodzenia roszczeń wśród konsumentów i drobnych przedsiębiorców. Podobna instytucja (tzw. „</w:t>
      </w:r>
      <w:r w:rsidR="008128F4" w:rsidRPr="002A2C8D">
        <w:rPr>
          <w:rFonts w:ascii="Arial" w:eastAsia="Times New Roman" w:hAnsi="Arial" w:cs="Arial"/>
          <w:sz w:val="22"/>
          <w:szCs w:val="22"/>
          <w:lang w:eastAsia="pl-PL"/>
        </w:rPr>
        <w:t>l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ikwidator”) funkcjonu</w:t>
      </w:r>
      <w:r w:rsidR="008128F4" w:rsidRPr="002A2C8D">
        <w:rPr>
          <w:rFonts w:ascii="Arial" w:eastAsia="Times New Roman" w:hAnsi="Arial" w:cs="Arial"/>
          <w:sz w:val="22"/>
          <w:szCs w:val="22"/>
          <w:lang w:eastAsia="pl-PL"/>
        </w:rPr>
        <w:t>je w prawie belgijskim.</w:t>
      </w:r>
    </w:p>
    <w:p w:rsidR="008128F4" w:rsidRPr="002A2C8D" w:rsidRDefault="008128F4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>Jeśli po zaspokojeniu wszystkich zgłoszonych likwidatorowi roszczeń, pozostałaby część zasądzonych od pozwanego środków, proponuje się, by nadwyżka ta przeznaczana była na cel społeczny (np. zaproponowany</w:t>
      </w:r>
      <w:r w:rsidR="00976CA3">
        <w:rPr>
          <w:rFonts w:ascii="Arial" w:eastAsia="Times New Roman" w:hAnsi="Arial" w:cs="Arial"/>
          <w:sz w:val="22"/>
          <w:szCs w:val="22"/>
          <w:lang w:eastAsia="pl-PL"/>
        </w:rPr>
        <w:t xml:space="preserve"> przez powoda, po zatwierdzeniu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przez sąd).</w:t>
      </w:r>
    </w:p>
    <w:p w:rsidR="00FB4504" w:rsidRPr="002A2C8D" w:rsidRDefault="00D6069D" w:rsidP="00D6069D">
      <w:pPr>
        <w:pStyle w:val="AAAPkt1"/>
      </w:pPr>
      <w:bookmarkStart w:id="15" w:name="_Toc455333825"/>
      <w:r w:rsidRPr="002A2C8D">
        <w:t>IV.10.</w:t>
      </w:r>
      <w:r w:rsidRPr="002A2C8D">
        <w:tab/>
      </w:r>
      <w:r w:rsidR="00FB4504" w:rsidRPr="002A2C8D">
        <w:t>Podsumowanie</w:t>
      </w:r>
      <w:bookmarkEnd w:id="15"/>
    </w:p>
    <w:p w:rsidR="007B4CAB" w:rsidRPr="002A2C8D" w:rsidRDefault="001A143C" w:rsidP="00FB4504">
      <w:pPr>
        <w:pStyle w:val="rdtytu"/>
        <w:spacing w:before="0" w:after="200"/>
        <w:ind w:left="0"/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>Wprowadzenie powyższych zmian legislacyjnych wymagałoby szeroko zakrojonych zmian w</w:t>
      </w:r>
      <w:r w:rsidR="009115E7"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> </w:t>
      </w:r>
      <w:r w:rsidR="0015650B"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>Ustawie</w:t>
      </w:r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 xml:space="preserve"> – wyróżnienia przepisów wspólnych dla obu modeli oraz przepisów szczegółowych odnoszących się tylko do modelu </w:t>
      </w:r>
      <w:r w:rsidRPr="002A2C8D">
        <w:rPr>
          <w:rFonts w:ascii="Arial" w:eastAsia="Times New Roman" w:hAnsi="Arial" w:cs="Arial"/>
          <w:b w:val="0"/>
          <w:sz w:val="22"/>
          <w:szCs w:val="22"/>
          <w:lang w:eastAsia="pl-PL"/>
        </w:rPr>
        <w:t>opt-in</w:t>
      </w:r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 xml:space="preserve"> albo modelu </w:t>
      </w:r>
      <w:r w:rsidRPr="002A2C8D">
        <w:rPr>
          <w:rFonts w:ascii="Arial" w:eastAsia="Times New Roman" w:hAnsi="Arial" w:cs="Arial"/>
          <w:b w:val="0"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 xml:space="preserve">. </w:t>
      </w:r>
      <w:r w:rsidR="0015650B"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>Opisane założenia</w:t>
      </w:r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 xml:space="preserve"> </w:t>
      </w:r>
      <w:proofErr w:type="gramStart"/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>stanowią zatem</w:t>
      </w:r>
      <w:proofErr w:type="gramEnd"/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 xml:space="preserve"> punkt wyjścia do dyskusji, której finalnym etapem powinno być przygotowanie </w:t>
      </w:r>
      <w:r w:rsidR="009115E7"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 xml:space="preserve">projektu zmian </w:t>
      </w:r>
      <w:r w:rsidR="0015650B"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>Ustawy</w:t>
      </w:r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>.</w:t>
      </w:r>
    </w:p>
    <w:p w:rsidR="0015650B" w:rsidRPr="002A2C8D" w:rsidRDefault="0015650B" w:rsidP="00FB4504">
      <w:pPr>
        <w:pStyle w:val="rdtytu"/>
        <w:spacing w:before="0" w:after="200"/>
        <w:ind w:left="0"/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 xml:space="preserve">Zaproponowane niżej rozwiązania funkcjonują w innych systemach prawnych państw należących do Unii Europejskiej, które przyjęły model </w:t>
      </w:r>
      <w:r w:rsidRPr="002A2C8D">
        <w:rPr>
          <w:rFonts w:ascii="Arial" w:eastAsia="Times New Roman" w:hAnsi="Arial" w:cs="Arial"/>
          <w:b w:val="0"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b w:val="0"/>
          <w:i w:val="0"/>
          <w:sz w:val="22"/>
          <w:szCs w:val="22"/>
          <w:lang w:eastAsia="pl-PL"/>
        </w:rPr>
        <w:t>. Ich zastosowanie dorowadziłoby do zwiększenia skuteczności mechanizmu zbiorowego dochodzenia drobnych roszczeń, przy jednoczesnej eliminacji ryzyka naruszenia prawa jednostek do sądu.</w:t>
      </w:r>
    </w:p>
    <w:p w:rsidR="00225FC2" w:rsidRPr="002A2C8D" w:rsidRDefault="001A143C" w:rsidP="00FB4504">
      <w:pPr>
        <w:pStyle w:val="00KKGTekstPoziomu"/>
        <w:spacing w:after="200"/>
        <w:ind w:left="0"/>
        <w:rPr>
          <w:rFonts w:ascii="Arial" w:eastAsia="Times New Roman" w:hAnsi="Arial" w:cs="Arial"/>
          <w:sz w:val="22"/>
          <w:szCs w:val="22"/>
          <w:lang w:eastAsia="pl-PL"/>
        </w:rPr>
      </w:pP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Dopuszczenie modelu </w:t>
      </w:r>
      <w:r w:rsidRPr="002A2C8D">
        <w:rPr>
          <w:rFonts w:ascii="Arial" w:eastAsia="Times New Roman" w:hAnsi="Arial" w:cs="Arial"/>
          <w:i/>
          <w:sz w:val="22"/>
          <w:szCs w:val="22"/>
          <w:lang w:eastAsia="pl-PL"/>
        </w:rPr>
        <w:t>opt-out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zgodnie z powyższymi założeniami pozwoliłoby rozszerzyć zakres zastosowania </w:t>
      </w:r>
      <w:r w:rsidR="001E7E39" w:rsidRPr="002A2C8D">
        <w:rPr>
          <w:rFonts w:ascii="Arial" w:eastAsia="Times New Roman" w:hAnsi="Arial" w:cs="Arial"/>
          <w:sz w:val="22"/>
          <w:szCs w:val="22"/>
          <w:lang w:eastAsia="pl-PL"/>
        </w:rPr>
        <w:t>Ustawy</w:t>
      </w:r>
      <w:r w:rsidR="003307E3"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w praktyce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 xml:space="preserve"> i jednocześnie – mogłoby odnieść skutek prewencyjny, zniechęcając do stosowania praktyk, wyrządzających szkodę o globalnie dużej wysokości, </w:t>
      </w:r>
      <w:r w:rsidR="009115E7" w:rsidRPr="002A2C8D">
        <w:rPr>
          <w:rFonts w:ascii="Arial" w:eastAsia="Times New Roman" w:hAnsi="Arial" w:cs="Arial"/>
          <w:sz w:val="22"/>
          <w:szCs w:val="22"/>
          <w:lang w:eastAsia="pl-PL"/>
        </w:rPr>
        <w:t>choć </w:t>
      </w:r>
      <w:r w:rsidRPr="002A2C8D">
        <w:rPr>
          <w:rFonts w:ascii="Arial" w:eastAsia="Times New Roman" w:hAnsi="Arial" w:cs="Arial"/>
          <w:sz w:val="22"/>
          <w:szCs w:val="22"/>
          <w:lang w:eastAsia="pl-PL"/>
        </w:rPr>
        <w:t>stosunkowo niewielkiej w odniesieniu do poszczególnych osób poszkodowanych</w:t>
      </w:r>
      <w:r w:rsidR="00FB4504" w:rsidRPr="002A2C8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2A2C8D" w:rsidRDefault="002A2C8D" w:rsidP="00D6069D">
      <w:pPr>
        <w:pStyle w:val="AAAPktI"/>
      </w:pPr>
      <w:bookmarkStart w:id="16" w:name="_Toc455333826"/>
      <w:r>
        <w:br w:type="page"/>
      </w:r>
    </w:p>
    <w:p w:rsidR="00FB4504" w:rsidRPr="002A2C8D" w:rsidRDefault="00D6069D" w:rsidP="00D6069D">
      <w:pPr>
        <w:pStyle w:val="AAAPktI"/>
      </w:pPr>
      <w:r w:rsidRPr="002A2C8D">
        <w:lastRenderedPageBreak/>
        <w:t>V</w:t>
      </w:r>
      <w:r w:rsidR="00FB4504" w:rsidRPr="002A2C8D">
        <w:t>.</w:t>
      </w:r>
      <w:r w:rsidR="00FB4504" w:rsidRPr="002A2C8D">
        <w:tab/>
        <w:t>Pytania do dyskusji</w:t>
      </w:r>
      <w:bookmarkEnd w:id="16"/>
    </w:p>
    <w:tbl>
      <w:tblPr>
        <w:tblStyle w:val="Tabela-Siatka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shd w:val="clear" w:color="auto" w:fill="F3F7FB"/>
        <w:tblLook w:val="04A0" w:firstRow="1" w:lastRow="0" w:firstColumn="1" w:lastColumn="0" w:noHBand="0" w:noVBand="1"/>
      </w:tblPr>
      <w:tblGrid>
        <w:gridCol w:w="9747"/>
      </w:tblGrid>
      <w:tr w:rsidR="00A80F9E" w:rsidRPr="00B966A6" w:rsidTr="00B24379">
        <w:tc>
          <w:tcPr>
            <w:tcW w:w="9747" w:type="dxa"/>
            <w:shd w:val="clear" w:color="auto" w:fill="F3F7FB"/>
          </w:tcPr>
          <w:p w:rsidR="00A80F9E" w:rsidRPr="002A2C8D" w:rsidRDefault="00920E22" w:rsidP="003307E3">
            <w:pPr>
              <w:pStyle w:val="AAATekst"/>
              <w:rPr>
                <w:b/>
                <w:color w:val="244061" w:themeColor="accent1" w:themeShade="80"/>
                <w:sz w:val="22"/>
                <w:szCs w:val="22"/>
              </w:rPr>
            </w:pPr>
            <w:bookmarkStart w:id="17" w:name="_Toc404954538"/>
            <w:bookmarkStart w:id="18" w:name="_Toc404958809"/>
            <w:bookmarkStart w:id="19" w:name="_Toc404954539"/>
            <w:bookmarkStart w:id="20" w:name="_Toc404958810"/>
            <w:bookmarkStart w:id="21" w:name="_Toc404954544"/>
            <w:bookmarkStart w:id="22" w:name="_Toc404958815"/>
            <w:bookmarkStart w:id="23" w:name="_Toc404954546"/>
            <w:bookmarkStart w:id="24" w:name="_Toc404958817"/>
            <w:bookmarkStart w:id="25" w:name="_Toc404954560"/>
            <w:bookmarkStart w:id="26" w:name="_Toc404958831"/>
            <w:bookmarkStart w:id="27" w:name="_Toc404954582"/>
            <w:bookmarkStart w:id="28" w:name="_Toc404958853"/>
            <w:bookmarkStart w:id="29" w:name="_Toc404954584"/>
            <w:bookmarkStart w:id="30" w:name="_Toc404958855"/>
            <w:bookmarkStart w:id="31" w:name="_Toc404954587"/>
            <w:bookmarkStart w:id="32" w:name="_Toc404958858"/>
            <w:bookmarkStart w:id="33" w:name="_Toc404954592"/>
            <w:bookmarkStart w:id="34" w:name="_Toc404958863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2A2C8D">
              <w:rPr>
                <w:b/>
                <w:color w:val="244061" w:themeColor="accent1" w:themeShade="80"/>
                <w:sz w:val="22"/>
                <w:szCs w:val="22"/>
              </w:rPr>
              <w:t>Pytania</w:t>
            </w:r>
            <w:r w:rsidR="00A80F9E" w:rsidRPr="002A2C8D">
              <w:rPr>
                <w:b/>
                <w:color w:val="244061" w:themeColor="accent1" w:themeShade="80"/>
                <w:sz w:val="22"/>
                <w:szCs w:val="22"/>
              </w:rPr>
              <w:t>:</w:t>
            </w:r>
          </w:p>
          <w:p w:rsidR="00920E22" w:rsidRPr="002A2C8D" w:rsidRDefault="00920E22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1.</w:t>
            </w:r>
            <w:r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W jakich sprawach powinien być dopuszczalny model </w:t>
            </w:r>
            <w:r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? W szczególności, </w:t>
            </w:r>
            <w:r w:rsidR="009115E7" w:rsidRPr="002A2C8D">
              <w:rPr>
                <w:bCs/>
                <w:color w:val="244061" w:themeColor="accent1" w:themeShade="80"/>
                <w:sz w:val="22"/>
                <w:szCs w:val="22"/>
              </w:rPr>
              <w:t>czy </w:t>
            </w:r>
            <w:r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zastosowanie modelu </w:t>
            </w:r>
            <w:r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powinno być możliwe tylko w sprawach konsumenckich, </w:t>
            </w:r>
            <w:r w:rsidR="009115E7" w:rsidRPr="002A2C8D">
              <w:rPr>
                <w:bCs/>
                <w:color w:val="244061" w:themeColor="accent1" w:themeShade="80"/>
                <w:sz w:val="22"/>
                <w:szCs w:val="22"/>
              </w:rPr>
              <w:t>czy </w:t>
            </w:r>
            <w:r w:rsidRPr="002A2C8D">
              <w:rPr>
                <w:bCs/>
                <w:color w:val="244061" w:themeColor="accent1" w:themeShade="80"/>
                <w:sz w:val="22"/>
                <w:szCs w:val="22"/>
              </w:rPr>
              <w:t>również w sprawach wynikających z naruszenia reguł konkurencji?</w:t>
            </w:r>
          </w:p>
          <w:p w:rsidR="00E94AE7" w:rsidRPr="002A2C8D" w:rsidRDefault="00920E22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2.</w:t>
            </w:r>
            <w:r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E94AE7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Czy należałoby wprowadzić dodatkowe ograniczenie zastosowania modelu </w:t>
            </w:r>
            <w:r w:rsidR="00E94AE7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="00E94AE7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jedynie do dochodzenia ustalenia odpowiedzialności (art. 2 ust. 3 Ustawy)? Wówczas każda osoba, która spełnia</w:t>
            </w:r>
            <w:r w:rsidR="002A2C8D">
              <w:rPr>
                <w:bCs/>
                <w:color w:val="244061" w:themeColor="accent1" w:themeShade="80"/>
                <w:sz w:val="22"/>
                <w:szCs w:val="22"/>
              </w:rPr>
              <w:t>łaby</w:t>
            </w:r>
            <w:r w:rsidR="00E94AE7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kryteria grupy, po wydaniu wyroku ustalającego odpowiedzialność w trybie </w:t>
            </w:r>
            <w:r w:rsidR="00E94AE7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="00E94AE7" w:rsidRPr="002A2C8D">
              <w:rPr>
                <w:bCs/>
                <w:color w:val="244061" w:themeColor="accent1" w:themeShade="80"/>
                <w:sz w:val="22"/>
                <w:szCs w:val="22"/>
              </w:rPr>
              <w:t>, mogłaby indywidualnie dochodzić zapłaty (np. odszkodowania).</w:t>
            </w:r>
          </w:p>
          <w:p w:rsidR="008128F4" w:rsidRPr="002A2C8D" w:rsidRDefault="00E94AE7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3. </w:t>
            </w:r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Czy zasadne jest uzależnienie możliwości rozpoznania sprawy w modelu </w:t>
            </w:r>
            <w:r w:rsidR="008128F4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od przesłanki efektywności, tj. od tego, że model </w:t>
            </w:r>
            <w:r w:rsidR="008128F4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opt-in</w:t>
            </w:r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w dany</w:t>
            </w:r>
            <w:r w:rsidR="0086287E" w:rsidRPr="002A2C8D">
              <w:rPr>
                <w:bCs/>
                <w:color w:val="244061" w:themeColor="accent1" w:themeShade="80"/>
                <w:sz w:val="22"/>
                <w:szCs w:val="22"/>
              </w:rPr>
              <w:t>ch okolicznościach nie zapewnił</w:t>
            </w:r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>by efektywnej ochrony sądowej?</w:t>
            </w:r>
          </w:p>
          <w:p w:rsidR="00926DD3" w:rsidRPr="002A2C8D" w:rsidRDefault="00E94AE7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4</w:t>
            </w:r>
            <w:r w:rsidR="00926DD3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. 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Jaki próg kwotowy roszczeń, których dochodzenie byłoby możliwe w modelu </w:t>
            </w:r>
            <w:r w:rsidR="00926DD3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należy przewidzieć?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Czy próg ten powinien być odmienny dla roszczeń konsumenckich i roszczeń przedsiębiorców?</w:t>
            </w:r>
          </w:p>
          <w:p w:rsidR="003307E3" w:rsidRPr="002A2C8D" w:rsidRDefault="00E94AE7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5</w:t>
            </w:r>
            <w:r w:rsidR="00920E22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  <w:r w:rsidR="00920E22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>Czy reprezentantem grupy w postępowaniu grupowym powinien być tylko organ publiczny (np</w:t>
            </w:r>
            <w:r w:rsidR="009115E7" w:rsidRPr="002A2C8D">
              <w:rPr>
                <w:bCs/>
                <w:color w:val="244061" w:themeColor="accent1" w:themeShade="80"/>
                <w:sz w:val="22"/>
                <w:szCs w:val="22"/>
              </w:rPr>
              <w:t>. 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rzecznicy </w:t>
            </w:r>
            <w:proofErr w:type="gramStart"/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>praw</w:t>
            </w:r>
            <w:proofErr w:type="gramEnd"/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konsumentów, Rzecznik Finansowy, Rzecznik Praw Obywatelskich), </w:t>
            </w:r>
            <w:r w:rsidR="009115E7" w:rsidRPr="002A2C8D">
              <w:rPr>
                <w:bCs/>
                <w:color w:val="244061" w:themeColor="accent1" w:themeShade="80"/>
                <w:sz w:val="22"/>
                <w:szCs w:val="22"/>
              </w:rPr>
              <w:t>czy 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należy dopuścić możliwość pełnienia tej funkcji przez inne organizacje gospodarcze </w:t>
            </w:r>
            <w:r w:rsidR="009115E7" w:rsidRPr="002A2C8D">
              <w:rPr>
                <w:bCs/>
                <w:color w:val="244061" w:themeColor="accent1" w:themeShade="80"/>
                <w:sz w:val="22"/>
                <w:szCs w:val="22"/>
              </w:rPr>
              <w:t>lub 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społeczne? </w:t>
            </w:r>
          </w:p>
          <w:p w:rsidR="008128F4" w:rsidRPr="002A2C8D" w:rsidRDefault="00E94AE7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6</w:t>
            </w:r>
            <w:r w:rsidR="003307E3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Czy należy dopuścić możliwość pełnienia funkcji reprezentanta grupy przez członka grupy, który zostanie zaakceptowany przez </w:t>
            </w:r>
            <w:proofErr w:type="gramStart"/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>sąd jako</w:t>
            </w:r>
            <w:proofErr w:type="gramEnd"/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osoba dająca rękojmię prawidłowego wykonywania tej funkcji?  </w:t>
            </w:r>
          </w:p>
          <w:p w:rsidR="00920E22" w:rsidRPr="002A2C8D" w:rsidRDefault="00E94AE7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7</w:t>
            </w:r>
            <w:r w:rsidR="00926DD3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. </w:t>
            </w:r>
            <w:r w:rsidR="00920E22" w:rsidRPr="002A2C8D">
              <w:rPr>
                <w:bCs/>
                <w:color w:val="244061" w:themeColor="accent1" w:themeShade="80"/>
                <w:sz w:val="22"/>
                <w:szCs w:val="22"/>
              </w:rPr>
              <w:t>Czy postępowania grupowe powinny być prowadzone przez jeden w skali kraju, wyspecjalizowany sąd?</w:t>
            </w:r>
          </w:p>
          <w:p w:rsidR="00920E22" w:rsidRPr="002A2C8D" w:rsidRDefault="00E94AE7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8</w:t>
            </w:r>
            <w:r w:rsidR="00926DD3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. </w:t>
            </w:r>
            <w:r w:rsidR="00920E22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Czy zasadne jest wprowadzenie obowiązkowej procedury mediacyjnej w postępowaniu grupowym w modelu </w:t>
            </w:r>
            <w:r w:rsidR="00920E22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="00920E22" w:rsidRPr="002A2C8D">
              <w:rPr>
                <w:bCs/>
                <w:color w:val="244061" w:themeColor="accent1" w:themeShade="80"/>
                <w:sz w:val="22"/>
                <w:szCs w:val="22"/>
              </w:rPr>
              <w:t>?</w:t>
            </w:r>
          </w:p>
          <w:p w:rsidR="00926DD3" w:rsidRPr="002A2C8D" w:rsidRDefault="00E94AE7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9</w:t>
            </w:r>
            <w:r w:rsidR="00926DD3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. 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Czy właściwym rozwiązaniem jest powierzenie dystrybucji środków zasądzonych w modelu </w:t>
            </w:r>
            <w:r w:rsidR="00926DD3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podmiotowi działającemu pod nadzorem sąd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>u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>, wyspecjalizowane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>mu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w zarządzaniu masą majątkową?</w:t>
            </w:r>
          </w:p>
          <w:p w:rsidR="00926DD3" w:rsidRPr="002A2C8D" w:rsidRDefault="00E94AE7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10</w:t>
            </w:r>
            <w:r w:rsidR="00926DD3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. 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Czy ewentualna nadwyżka środków zasądzonych w modelu </w:t>
            </w:r>
            <w:r w:rsidR="00926DD3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(powstała </w:t>
            </w:r>
            <w:r w:rsidRPr="002A2C8D">
              <w:rPr>
                <w:bCs/>
                <w:color w:val="244061" w:themeColor="accent1" w:themeShade="80"/>
                <w:sz w:val="22"/>
                <w:szCs w:val="22"/>
              </w:rPr>
              <w:t>po 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zaspokojeniu podmiotów, które zgłoszą swoje roszczenia) powinna być przekazywana na cel społeczny, </w:t>
            </w:r>
            <w:r w:rsidR="009115E7" w:rsidRPr="002A2C8D">
              <w:rPr>
                <w:bCs/>
                <w:color w:val="244061" w:themeColor="accent1" w:themeShade="80"/>
                <w:sz w:val="22"/>
                <w:szCs w:val="22"/>
              </w:rPr>
              <w:t>czy 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właściwe byłoby inne rozwiązanie (np. podział między członków grupy, którzy zgłosili </w:t>
            </w:r>
            <w:r w:rsidR="002A2C8D" w:rsidRPr="002A2C8D">
              <w:rPr>
                <w:bCs/>
                <w:color w:val="244061" w:themeColor="accent1" w:themeShade="80"/>
                <w:sz w:val="22"/>
                <w:szCs w:val="22"/>
              </w:rPr>
              <w:t>swoje roszczenia zarządcy</w:t>
            </w:r>
            <w:r w:rsidR="003307E3" w:rsidRPr="002A2C8D">
              <w:rPr>
                <w:bCs/>
                <w:color w:val="244061" w:themeColor="accent1" w:themeShade="80"/>
                <w:sz w:val="22"/>
                <w:szCs w:val="22"/>
              </w:rPr>
              <w:t>)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>?</w:t>
            </w:r>
          </w:p>
          <w:p w:rsidR="008128F4" w:rsidRDefault="003307E3" w:rsidP="003307E3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E94AE7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926DD3" w:rsidRPr="002A2C8D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. </w:t>
            </w:r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Czy w postępowaniu grupowym o zasądzenie w modelu </w:t>
            </w:r>
            <w:r w:rsidR="008128F4" w:rsidRPr="002A2C8D">
              <w:rPr>
                <w:bCs/>
                <w:i/>
                <w:color w:val="244061" w:themeColor="accent1" w:themeShade="80"/>
                <w:sz w:val="22"/>
                <w:szCs w:val="22"/>
              </w:rPr>
              <w:t>opt-out</w:t>
            </w:r>
            <w:r w:rsidR="008128F4" w:rsidRPr="002A2C8D">
              <w:rPr>
                <w:bCs/>
                <w:color w:val="244061" w:themeColor="accent1" w:themeShade="80"/>
                <w:sz w:val="22"/>
                <w:szCs w:val="22"/>
              </w:rPr>
              <w:t xml:space="preserve"> w zakresie ustalenia wysokości szkody, ciężar dowodu winien obciążać również pozwanego</w:t>
            </w:r>
            <w:r w:rsidR="00926DD3" w:rsidRPr="002A2C8D">
              <w:rPr>
                <w:bCs/>
                <w:color w:val="244061" w:themeColor="accent1" w:themeShade="80"/>
                <w:sz w:val="22"/>
                <w:szCs w:val="22"/>
              </w:rPr>
              <w:t>?</w:t>
            </w:r>
          </w:p>
          <w:p w:rsidR="00A80F9E" w:rsidRPr="00926DD3" w:rsidRDefault="00A80F9E" w:rsidP="00E94AE7">
            <w:pPr>
              <w:pStyle w:val="AAATekst"/>
              <w:rPr>
                <w:bCs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CB50EB" w:rsidRPr="007F5F21" w:rsidRDefault="00CB50EB" w:rsidP="00691099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CB50EB" w:rsidRPr="007F5F21" w:rsidSect="003F6F1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6" w:left="1134" w:header="0" w:footer="192" w:gutter="0"/>
      <w:pgBorders w:display="firstPage" w:offsetFrom="page">
        <w:top w:val="single" w:sz="4" w:space="24" w:color="244061" w:themeColor="accent1" w:themeShade="80"/>
        <w:left w:val="single" w:sz="4" w:space="24" w:color="244061" w:themeColor="accent1" w:themeShade="80"/>
        <w:bottom w:val="single" w:sz="4" w:space="24" w:color="244061" w:themeColor="accent1" w:themeShade="80"/>
        <w:right w:val="single" w:sz="4" w:space="24" w:color="244061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83" w:rsidRDefault="00AD0D83" w:rsidP="00044A68">
      <w:r>
        <w:separator/>
      </w:r>
    </w:p>
  </w:endnote>
  <w:endnote w:type="continuationSeparator" w:id="0">
    <w:p w:rsidR="00AD0D83" w:rsidRDefault="00AD0D83" w:rsidP="0004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BD" w:rsidRDefault="002259BD" w:rsidP="00DE44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259BD" w:rsidRDefault="002259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BD" w:rsidRPr="00BC1D53" w:rsidRDefault="002259BD">
    <w:pPr>
      <w:pStyle w:val="Stopka"/>
      <w:rPr>
        <w:rFonts w:ascii="Arial" w:hAnsi="Arial" w:cs="Arial"/>
        <w:color w:val="244061" w:themeColor="accent1" w:themeShade="80"/>
        <w:sz w:val="16"/>
        <w:szCs w:val="16"/>
      </w:rPr>
    </w:pPr>
  </w:p>
  <w:tbl>
    <w:tblPr>
      <w:tblW w:w="10930" w:type="dxa"/>
      <w:tblInd w:w="-631" w:type="dxa"/>
      <w:tblBorders>
        <w:top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5"/>
      <w:gridCol w:w="255"/>
      <w:gridCol w:w="10420"/>
    </w:tblGrid>
    <w:tr w:rsidR="002259BD" w:rsidRPr="00BC1D53" w:rsidTr="00D87F0E">
      <w:trPr>
        <w:trHeight w:val="49"/>
      </w:trPr>
      <w:tc>
        <w:tcPr>
          <w:tcW w:w="255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2259BD" w:rsidRPr="00BC1D53" w:rsidRDefault="002259BD" w:rsidP="00DE4455">
          <w:pPr>
            <w:pStyle w:val="Stopka"/>
            <w:jc w:val="center"/>
            <w:rPr>
              <w:rFonts w:ascii="Arial" w:hAnsi="Arial" w:cs="Arial"/>
              <w:noProof/>
              <w:color w:val="244061" w:themeColor="accent1" w:themeShade="80"/>
              <w:sz w:val="16"/>
              <w:szCs w:val="16"/>
              <w:lang w:val="en-US" w:eastAsia="en-US"/>
            </w:rPr>
          </w:pPr>
        </w:p>
      </w:tc>
      <w:tc>
        <w:tcPr>
          <w:tcW w:w="255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2259BD" w:rsidRPr="00BC1D53" w:rsidRDefault="002259BD" w:rsidP="00DE4455">
          <w:pPr>
            <w:pStyle w:val="Stopka"/>
            <w:jc w:val="center"/>
            <w:rPr>
              <w:rFonts w:ascii="Arial" w:hAnsi="Arial" w:cs="Arial"/>
              <w:noProof/>
              <w:color w:val="244061" w:themeColor="accent1" w:themeShade="80"/>
              <w:sz w:val="16"/>
              <w:szCs w:val="16"/>
              <w:lang w:val="en-US" w:eastAsia="en-US"/>
            </w:rPr>
          </w:pPr>
        </w:p>
      </w:tc>
      <w:tc>
        <w:tcPr>
          <w:tcW w:w="1042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2259BD" w:rsidRPr="00BC1D53" w:rsidRDefault="002259BD" w:rsidP="00DE4455">
          <w:pPr>
            <w:pStyle w:val="Stopka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</w:p>
      </w:tc>
    </w:tr>
    <w:tr w:rsidR="002259BD" w:rsidRPr="00BC1D53" w:rsidTr="00D87F0E">
      <w:trPr>
        <w:trHeight w:val="199"/>
      </w:trPr>
      <w:tc>
        <w:tcPr>
          <w:tcW w:w="255" w:type="dxa"/>
          <w:tcBorders>
            <w:top w:val="nil"/>
            <w:left w:val="nil"/>
            <w:bottom w:val="nil"/>
            <w:right w:val="nil"/>
          </w:tcBorders>
        </w:tcPr>
        <w:p w:rsidR="002259BD" w:rsidRPr="00BC1D53" w:rsidRDefault="002259BD" w:rsidP="00DE4455">
          <w:pPr>
            <w:pStyle w:val="Stopka"/>
            <w:rPr>
              <w:rFonts w:ascii="Arial" w:hAnsi="Arial" w:cs="Arial"/>
              <w:noProof/>
              <w:color w:val="244061" w:themeColor="accent1" w:themeShade="80"/>
              <w:sz w:val="16"/>
              <w:szCs w:val="16"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2259BD" w:rsidRPr="00BC1D53" w:rsidRDefault="002259BD" w:rsidP="00DE4455">
          <w:pPr>
            <w:pStyle w:val="Stopka"/>
            <w:rPr>
              <w:rFonts w:ascii="Arial" w:hAnsi="Arial" w:cs="Arial"/>
              <w:noProof/>
              <w:color w:val="244061" w:themeColor="accent1" w:themeShade="80"/>
              <w:sz w:val="16"/>
              <w:szCs w:val="16"/>
            </w:rPr>
          </w:pPr>
        </w:p>
      </w:tc>
      <w:tc>
        <w:tcPr>
          <w:tcW w:w="1042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2259BD" w:rsidRPr="00BC1D53" w:rsidRDefault="002259BD" w:rsidP="00D87F0E">
          <w:pPr>
            <w:pStyle w:val="Stopka"/>
            <w:ind w:left="33" w:right="773"/>
            <w:jc w:val="center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BC1D53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Ministerstwo Rozwoju, Plac Trzech Krzyży 3/5, 00-507 Warszawa; tel. 22 693 59 35, fax 22 693 40 25, www.</w:t>
          </w:r>
          <w:proofErr w:type="gramStart"/>
          <w:r w:rsidRPr="00BC1D53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mr</w:t>
          </w:r>
          <w:proofErr w:type="gramEnd"/>
          <w:r w:rsidRPr="00BC1D53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.</w:t>
          </w:r>
          <w:proofErr w:type="gramStart"/>
          <w:r w:rsidRPr="00BC1D53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gov</w:t>
          </w:r>
          <w:proofErr w:type="gramEnd"/>
          <w:r w:rsidRPr="00BC1D53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.</w:t>
          </w:r>
          <w:proofErr w:type="gramStart"/>
          <w:r w:rsidRPr="00BC1D53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pl</w:t>
          </w:r>
          <w:proofErr w:type="gramEnd"/>
        </w:p>
        <w:p w:rsidR="002259BD" w:rsidRPr="00BC1D53" w:rsidRDefault="002259BD" w:rsidP="00DE4455">
          <w:pPr>
            <w:pStyle w:val="Stopka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</w:p>
      </w:tc>
    </w:tr>
  </w:tbl>
  <w:sdt>
    <w:sdtPr>
      <w:id w:val="1758093874"/>
      <w:docPartObj>
        <w:docPartGallery w:val="Page Numbers (Bottom of Page)"/>
        <w:docPartUnique/>
      </w:docPartObj>
    </w:sdtPr>
    <w:sdtEndPr>
      <w:rPr>
        <w:rFonts w:ascii="Arial" w:hAnsi="Arial" w:cs="Arial"/>
        <w:color w:val="244061" w:themeColor="accent1" w:themeShade="80"/>
        <w:sz w:val="20"/>
        <w:szCs w:val="20"/>
      </w:rPr>
    </w:sdtEndPr>
    <w:sdtContent>
      <w:p w:rsidR="002259BD" w:rsidRPr="00BC1D53" w:rsidRDefault="002259BD" w:rsidP="00225FC2">
        <w:pPr>
          <w:pStyle w:val="Stopka"/>
          <w:jc w:val="right"/>
          <w:rPr>
            <w:rFonts w:ascii="Arial" w:hAnsi="Arial" w:cs="Arial"/>
            <w:color w:val="244061" w:themeColor="accent1" w:themeShade="80"/>
            <w:sz w:val="20"/>
            <w:szCs w:val="20"/>
          </w:rPr>
        </w:pPr>
        <w:r w:rsidRPr="00BC1D53">
          <w:rPr>
            <w:rFonts w:ascii="Arial" w:hAnsi="Arial" w:cs="Arial"/>
            <w:color w:val="244061" w:themeColor="accent1" w:themeShade="80"/>
            <w:sz w:val="20"/>
            <w:szCs w:val="20"/>
          </w:rPr>
          <w:fldChar w:fldCharType="begin"/>
        </w:r>
        <w:r w:rsidRPr="00BC1D53">
          <w:rPr>
            <w:rFonts w:ascii="Arial" w:hAnsi="Arial" w:cs="Arial"/>
            <w:color w:val="244061" w:themeColor="accent1" w:themeShade="80"/>
            <w:sz w:val="20"/>
            <w:szCs w:val="20"/>
          </w:rPr>
          <w:instrText>PAGE   \* MERGEFORMAT</w:instrText>
        </w:r>
        <w:r w:rsidRPr="00BC1D53">
          <w:rPr>
            <w:rFonts w:ascii="Arial" w:hAnsi="Arial" w:cs="Arial"/>
            <w:color w:val="244061" w:themeColor="accent1" w:themeShade="80"/>
            <w:sz w:val="20"/>
            <w:szCs w:val="20"/>
          </w:rPr>
          <w:fldChar w:fldCharType="separate"/>
        </w:r>
        <w:r w:rsidR="0073797B">
          <w:rPr>
            <w:rFonts w:ascii="Arial" w:hAnsi="Arial" w:cs="Arial"/>
            <w:noProof/>
            <w:color w:val="244061" w:themeColor="accent1" w:themeShade="80"/>
            <w:sz w:val="20"/>
            <w:szCs w:val="20"/>
          </w:rPr>
          <w:t>13</w:t>
        </w:r>
        <w:r w:rsidRPr="00BC1D53">
          <w:rPr>
            <w:rFonts w:ascii="Arial" w:hAnsi="Arial" w:cs="Arial"/>
            <w:color w:val="244061" w:themeColor="accent1" w:themeShade="80"/>
            <w:sz w:val="20"/>
            <w:szCs w:val="20"/>
          </w:rPr>
          <w:fldChar w:fldCharType="end"/>
        </w:r>
      </w:p>
    </w:sdtContent>
  </w:sdt>
  <w:p w:rsidR="002259BD" w:rsidRDefault="002259BD">
    <w:pPr>
      <w:pStyle w:val="Stopka"/>
    </w:pPr>
  </w:p>
  <w:p w:rsidR="002259BD" w:rsidRDefault="002259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71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259BD" w:rsidRDefault="002259BD" w:rsidP="00225FC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2259BD" w:rsidRPr="00225FC2" w:rsidRDefault="0073797B" w:rsidP="00225FC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2259BD" w:rsidRPr="004F7982" w:rsidRDefault="002259BD" w:rsidP="00DE4455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83" w:rsidRDefault="00AD0D83" w:rsidP="00044A68">
      <w:r>
        <w:separator/>
      </w:r>
    </w:p>
  </w:footnote>
  <w:footnote w:type="continuationSeparator" w:id="0">
    <w:p w:rsidR="00AD0D83" w:rsidRDefault="00AD0D83" w:rsidP="00044A68">
      <w:r>
        <w:continuationSeparator/>
      </w:r>
    </w:p>
  </w:footnote>
  <w:footnote w:id="1">
    <w:p w:rsidR="002259BD" w:rsidRPr="002A2C8D" w:rsidRDefault="002259BD" w:rsidP="00A26D20">
      <w:pPr>
        <w:pStyle w:val="Tekstprzypisudolnego"/>
        <w:spacing w:after="40"/>
        <w:jc w:val="both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>Dz. U. Nr 7, poz. 44.</w:t>
      </w:r>
    </w:p>
  </w:footnote>
  <w:footnote w:id="2">
    <w:p w:rsidR="002259BD" w:rsidRPr="002A2C8D" w:rsidRDefault="002259BD" w:rsidP="00F57F8E">
      <w:pPr>
        <w:pStyle w:val="Tekstprzypisudolnego"/>
        <w:spacing w:after="4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Zob. R. Kulski, </w:t>
      </w:r>
      <w:r w:rsidRPr="002A2C8D">
        <w:rPr>
          <w:rFonts w:ascii="Arial" w:hAnsi="Arial" w:cs="Arial"/>
          <w:i/>
          <w:sz w:val="18"/>
          <w:szCs w:val="18"/>
        </w:rPr>
        <w:t>Opinia Biura Analiz Sejmowych o rządowym projekcie ustawy o dochodzeniu roszczeń w postępowaniu grupowym (druk sejmowy nr 1829)</w:t>
      </w:r>
      <w:r w:rsidRPr="002A2C8D">
        <w:rPr>
          <w:rFonts w:ascii="Arial" w:hAnsi="Arial" w:cs="Arial"/>
          <w:sz w:val="18"/>
          <w:szCs w:val="18"/>
        </w:rPr>
        <w:t xml:space="preserve">, dostępna na stronie </w:t>
      </w:r>
      <w:hyperlink r:id="rId1" w:history="1">
        <w:r w:rsidRPr="002A2C8D">
          <w:rPr>
            <w:rStyle w:val="Hipercze"/>
            <w:rFonts w:ascii="Arial" w:hAnsi="Arial" w:cs="Arial"/>
            <w:sz w:val="18"/>
            <w:szCs w:val="18"/>
          </w:rPr>
          <w:t>http://www.sejm.gov.pl</w:t>
        </w:r>
      </w:hyperlink>
      <w:r w:rsidRPr="002A2C8D">
        <w:rPr>
          <w:rFonts w:ascii="Arial" w:hAnsi="Arial" w:cs="Arial"/>
          <w:sz w:val="18"/>
          <w:szCs w:val="18"/>
        </w:rPr>
        <w:t xml:space="preserve">.  </w:t>
      </w:r>
    </w:p>
  </w:footnote>
  <w:footnote w:id="3">
    <w:p w:rsidR="002259BD" w:rsidRPr="002A2C8D" w:rsidRDefault="002259BD" w:rsidP="00F57F8E">
      <w:pPr>
        <w:pStyle w:val="13KKGPrzypis"/>
        <w:tabs>
          <w:tab w:val="left" w:pos="709"/>
        </w:tabs>
        <w:spacing w:before="0" w:after="40"/>
        <w:ind w:left="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</w:t>
      </w:r>
      <w:r w:rsidR="00EC6C91" w:rsidRPr="002A2C8D">
        <w:rPr>
          <w:rFonts w:ascii="Arial" w:hAnsi="Arial" w:cs="Arial"/>
          <w:sz w:val="18"/>
          <w:szCs w:val="18"/>
        </w:rPr>
        <w:t>2011/2089 (INI)</w:t>
      </w:r>
      <w:r w:rsidR="00843F1B">
        <w:rPr>
          <w:rFonts w:ascii="Arial" w:hAnsi="Arial" w:cs="Arial"/>
          <w:sz w:val="18"/>
          <w:szCs w:val="18"/>
        </w:rPr>
        <w:t>.</w:t>
      </w:r>
    </w:p>
  </w:footnote>
  <w:footnote w:id="4">
    <w:p w:rsidR="002259BD" w:rsidRPr="002A2C8D" w:rsidRDefault="002259BD" w:rsidP="00F57F8E">
      <w:pPr>
        <w:pStyle w:val="Tekstprzypisudolnego"/>
        <w:spacing w:after="4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R. Kulski, </w:t>
      </w:r>
      <w:r w:rsidRPr="002A2C8D">
        <w:rPr>
          <w:rFonts w:ascii="Arial" w:hAnsi="Arial" w:cs="Arial"/>
          <w:i/>
          <w:sz w:val="18"/>
          <w:szCs w:val="18"/>
        </w:rPr>
        <w:t>Opinia Biura Analiz Sejmowych o rządowym projekcie ustawy o dochodzeniu roszczeń w postępowaniu grupowym (druk sejmowy nr 1829)</w:t>
      </w:r>
      <w:r w:rsidRPr="002A2C8D">
        <w:rPr>
          <w:rFonts w:ascii="Arial" w:hAnsi="Arial" w:cs="Arial"/>
          <w:sz w:val="18"/>
          <w:szCs w:val="18"/>
        </w:rPr>
        <w:t xml:space="preserve">, dostępna na stronie </w:t>
      </w:r>
      <w:hyperlink r:id="rId2" w:history="1">
        <w:r w:rsidRPr="002A2C8D">
          <w:rPr>
            <w:rStyle w:val="Hipercze"/>
            <w:rFonts w:ascii="Arial" w:hAnsi="Arial" w:cs="Arial"/>
            <w:sz w:val="18"/>
            <w:szCs w:val="18"/>
          </w:rPr>
          <w:t>http://www.sejm.gov.pl</w:t>
        </w:r>
      </w:hyperlink>
      <w:r w:rsidRPr="002A2C8D">
        <w:rPr>
          <w:rFonts w:ascii="Arial" w:hAnsi="Arial" w:cs="Arial"/>
          <w:sz w:val="18"/>
          <w:szCs w:val="18"/>
        </w:rPr>
        <w:t xml:space="preserve">.  </w:t>
      </w:r>
    </w:p>
  </w:footnote>
  <w:footnote w:id="5">
    <w:p w:rsidR="002259BD" w:rsidRPr="002A2C8D" w:rsidRDefault="002259BD" w:rsidP="00F57F8E">
      <w:pPr>
        <w:pStyle w:val="13KKGPrzypis"/>
        <w:tabs>
          <w:tab w:val="left" w:pos="709"/>
        </w:tabs>
        <w:spacing w:before="0" w:after="40"/>
        <w:ind w:left="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R. Kulski,</w:t>
      </w:r>
      <w:r w:rsidRPr="002A2C8D">
        <w:rPr>
          <w:rFonts w:ascii="Arial" w:hAnsi="Arial" w:cs="Arial"/>
          <w:i/>
          <w:sz w:val="18"/>
          <w:szCs w:val="18"/>
        </w:rPr>
        <w:t xml:space="preserve"> Opinia Biura Analiz Sejmowych o rządowym projekcie ustawy o dochodzeniu roszczeń w postępowaniu grupowym (druk sejmowy nr 1829)</w:t>
      </w:r>
      <w:r w:rsidRPr="002A2C8D">
        <w:rPr>
          <w:rFonts w:ascii="Arial" w:hAnsi="Arial" w:cs="Arial"/>
          <w:sz w:val="18"/>
          <w:szCs w:val="18"/>
        </w:rPr>
        <w:t xml:space="preserve">, dostępna na stronie </w:t>
      </w:r>
      <w:hyperlink r:id="rId3" w:history="1">
        <w:r w:rsidRPr="002A2C8D">
          <w:rPr>
            <w:rStyle w:val="Hipercze"/>
            <w:rFonts w:ascii="Arial" w:hAnsi="Arial" w:cs="Arial"/>
            <w:sz w:val="18"/>
            <w:szCs w:val="18"/>
          </w:rPr>
          <w:t>http://www.sejm.gov.pl</w:t>
        </w:r>
      </w:hyperlink>
      <w:r w:rsidRPr="002A2C8D">
        <w:rPr>
          <w:rFonts w:ascii="Arial" w:hAnsi="Arial" w:cs="Arial"/>
          <w:sz w:val="18"/>
          <w:szCs w:val="18"/>
        </w:rPr>
        <w:t xml:space="preserve">.  </w:t>
      </w:r>
    </w:p>
  </w:footnote>
  <w:footnote w:id="6">
    <w:p w:rsidR="002259BD" w:rsidRPr="002A2C8D" w:rsidRDefault="002259BD" w:rsidP="00F57F8E">
      <w:pPr>
        <w:pStyle w:val="13KKGPrzypis"/>
        <w:tabs>
          <w:tab w:val="left" w:pos="709"/>
        </w:tabs>
        <w:spacing w:before="0" w:after="40"/>
        <w:ind w:left="0"/>
        <w:rPr>
          <w:rFonts w:ascii="Arial" w:hAnsi="Arial" w:cs="Arial"/>
          <w:sz w:val="18"/>
          <w:szCs w:val="18"/>
          <w:vertAlign w:val="superscript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2A2C8D">
        <w:rPr>
          <w:rFonts w:ascii="Arial" w:hAnsi="Arial" w:cs="Arial"/>
          <w:sz w:val="18"/>
          <w:szCs w:val="18"/>
        </w:rPr>
        <w:t xml:space="preserve">Tak np. P. Grzegorczyk i K. Weitz, </w:t>
      </w:r>
      <w:r w:rsidRPr="002A2C8D">
        <w:rPr>
          <w:rFonts w:ascii="Arial" w:hAnsi="Arial" w:cs="Arial"/>
          <w:i/>
          <w:sz w:val="18"/>
          <w:szCs w:val="18"/>
        </w:rPr>
        <w:t>Konstytucja RP. Tom I. Komentarz do art. 1–86</w:t>
      </w:r>
      <w:r w:rsidRPr="002A2C8D">
        <w:rPr>
          <w:rFonts w:ascii="Arial" w:hAnsi="Arial" w:cs="Arial"/>
          <w:sz w:val="18"/>
          <w:szCs w:val="18"/>
        </w:rPr>
        <w:t>, Wydawnictwo CH Beck, Warszawa 2016, komentarz do art. 45 Konstytucji RP.</w:t>
      </w:r>
    </w:p>
  </w:footnote>
  <w:footnote w:id="7">
    <w:p w:rsidR="002259BD" w:rsidRPr="002A2C8D" w:rsidRDefault="002259BD" w:rsidP="00F57F8E">
      <w:pPr>
        <w:pStyle w:val="00KKGTekstPoziomu"/>
        <w:spacing w:after="40"/>
        <w:ind w:left="0"/>
        <w:rPr>
          <w:rFonts w:ascii="Arial" w:hAnsi="Arial" w:cs="Arial"/>
          <w:i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Zob. </w:t>
      </w:r>
      <w:r w:rsidRPr="002A2C8D">
        <w:rPr>
          <w:rFonts w:ascii="Arial" w:hAnsi="Arial" w:cs="Arial"/>
          <w:i/>
          <w:sz w:val="18"/>
          <w:szCs w:val="18"/>
        </w:rPr>
        <w:t xml:space="preserve">Zielona księga w sprawie dochodzenia zbiorowych roszczeń konsumentów (przedstawiona przez Komisję) z dnia 27.11.2008 </w:t>
      </w:r>
      <w:proofErr w:type="gramStart"/>
      <w:r w:rsidRPr="002A2C8D">
        <w:rPr>
          <w:rFonts w:ascii="Arial" w:hAnsi="Arial" w:cs="Arial"/>
          <w:i/>
          <w:sz w:val="18"/>
          <w:szCs w:val="18"/>
        </w:rPr>
        <w:t>roku</w:t>
      </w:r>
      <w:proofErr w:type="gramEnd"/>
      <w:r w:rsidRPr="002A2C8D">
        <w:rPr>
          <w:rFonts w:ascii="Arial" w:hAnsi="Arial" w:cs="Arial"/>
          <w:i/>
          <w:sz w:val="18"/>
          <w:szCs w:val="18"/>
        </w:rPr>
        <w:t xml:space="preserve"> KOM(2008) 794, ss. 4-6, </w:t>
      </w:r>
      <w:hyperlink r:id="rId4" w:history="1">
        <w:r w:rsidRPr="002A2C8D">
          <w:rPr>
            <w:rStyle w:val="Hipercze"/>
            <w:rFonts w:ascii="Arial" w:hAnsi="Arial" w:cs="Arial"/>
            <w:i/>
            <w:sz w:val="18"/>
            <w:szCs w:val="18"/>
          </w:rPr>
          <w:t>http://ec.europa.eu/consumers/archive/redress_cons/greenpaper_pl.pdf</w:t>
        </w:r>
      </w:hyperlink>
      <w:r w:rsidRPr="002A2C8D">
        <w:rPr>
          <w:rStyle w:val="Hipercze"/>
          <w:rFonts w:ascii="Arial" w:hAnsi="Arial" w:cs="Arial"/>
          <w:i/>
          <w:sz w:val="18"/>
          <w:szCs w:val="18"/>
        </w:rPr>
        <w:t>.</w:t>
      </w:r>
    </w:p>
  </w:footnote>
  <w:footnote w:id="8">
    <w:p w:rsidR="002259BD" w:rsidRPr="002A2C8D" w:rsidRDefault="002259BD" w:rsidP="00F57F8E">
      <w:pPr>
        <w:pStyle w:val="00KKGTekstPoziomu"/>
        <w:spacing w:after="40"/>
        <w:ind w:left="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2A2C8D">
        <w:rPr>
          <w:rFonts w:ascii="Arial" w:hAnsi="Arial" w:cs="Arial"/>
          <w:sz w:val="18"/>
          <w:szCs w:val="18"/>
        </w:rPr>
        <w:t xml:space="preserve"> </w:t>
      </w:r>
      <w:r w:rsidRPr="002A2C8D">
        <w:rPr>
          <w:rFonts w:ascii="Arial" w:hAnsi="Arial" w:cs="Arial"/>
          <w:i/>
          <w:sz w:val="18"/>
          <w:szCs w:val="18"/>
        </w:rPr>
        <w:t>Ibidem</w:t>
      </w:r>
      <w:r w:rsidRPr="002A2C8D">
        <w:rPr>
          <w:rFonts w:ascii="Arial" w:hAnsi="Arial" w:cs="Arial"/>
          <w:sz w:val="18"/>
          <w:szCs w:val="18"/>
        </w:rPr>
        <w:t>, s. 4.</w:t>
      </w:r>
    </w:p>
  </w:footnote>
  <w:footnote w:id="9">
    <w:p w:rsidR="002259BD" w:rsidRPr="002A2C8D" w:rsidRDefault="002259BD" w:rsidP="00F57F8E">
      <w:pPr>
        <w:pStyle w:val="00KKGTekstPoziomu"/>
        <w:spacing w:after="40"/>
        <w:ind w:left="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i/>
          <w:sz w:val="18"/>
          <w:szCs w:val="18"/>
        </w:rPr>
        <w:t xml:space="preserve"> Ibidem</w:t>
      </w:r>
      <w:r w:rsidRPr="002A2C8D">
        <w:rPr>
          <w:rFonts w:ascii="Arial" w:hAnsi="Arial" w:cs="Arial"/>
          <w:sz w:val="18"/>
          <w:szCs w:val="18"/>
        </w:rPr>
        <w:t>, s. 5.</w:t>
      </w:r>
    </w:p>
  </w:footnote>
  <w:footnote w:id="10">
    <w:p w:rsidR="002259BD" w:rsidRPr="002A2C8D" w:rsidRDefault="002259BD" w:rsidP="00F57F8E">
      <w:pPr>
        <w:pStyle w:val="Tekstprzypisudolnego"/>
        <w:spacing w:after="4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</w:t>
      </w:r>
      <w:r w:rsidRPr="002A2C8D">
        <w:rPr>
          <w:rFonts w:ascii="Arial" w:hAnsi="Arial" w:cs="Arial"/>
          <w:i/>
          <w:sz w:val="18"/>
          <w:szCs w:val="18"/>
        </w:rPr>
        <w:t>Ibidem</w:t>
      </w:r>
      <w:r w:rsidRPr="002A2C8D">
        <w:rPr>
          <w:rFonts w:ascii="Arial" w:hAnsi="Arial" w:cs="Arial"/>
          <w:sz w:val="18"/>
          <w:szCs w:val="18"/>
        </w:rPr>
        <w:t>, s. 5.</w:t>
      </w:r>
    </w:p>
  </w:footnote>
  <w:footnote w:id="11">
    <w:p w:rsidR="002259BD" w:rsidRPr="002A2C8D" w:rsidRDefault="002259BD">
      <w:pPr>
        <w:pStyle w:val="Tekstprzypisudolnego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</w:t>
      </w:r>
      <w:r w:rsidR="00EC6C91" w:rsidRPr="002A2C8D">
        <w:rPr>
          <w:rFonts w:ascii="Arial" w:hAnsi="Arial" w:cs="Arial"/>
          <w:sz w:val="18"/>
          <w:szCs w:val="18"/>
        </w:rPr>
        <w:t xml:space="preserve">Dz. U, z </w:t>
      </w:r>
      <w:r w:rsidR="00E94AE7" w:rsidRPr="002A2C8D">
        <w:rPr>
          <w:rFonts w:ascii="Arial" w:hAnsi="Arial" w:cs="Arial"/>
          <w:sz w:val="18"/>
          <w:szCs w:val="18"/>
        </w:rPr>
        <w:t>1993 r. Nr 61, poz. 284.</w:t>
      </w:r>
    </w:p>
  </w:footnote>
  <w:footnote w:id="12">
    <w:p w:rsidR="002259BD" w:rsidRPr="002A2C8D" w:rsidRDefault="002259BD">
      <w:pPr>
        <w:pStyle w:val="Tekstprzypisudolnego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="00E94AE7" w:rsidRPr="002A2C8D">
        <w:rPr>
          <w:rFonts w:ascii="Arial" w:hAnsi="Arial" w:cs="Arial"/>
          <w:sz w:val="18"/>
          <w:szCs w:val="18"/>
        </w:rPr>
        <w:t xml:space="preserve"> Dz. Urz. UE C 303 z 14.12.2007, </w:t>
      </w:r>
      <w:proofErr w:type="gramStart"/>
      <w:r w:rsidR="00E94AE7" w:rsidRPr="002A2C8D">
        <w:rPr>
          <w:rFonts w:ascii="Arial" w:hAnsi="Arial" w:cs="Arial"/>
          <w:sz w:val="18"/>
          <w:szCs w:val="18"/>
        </w:rPr>
        <w:t>str</w:t>
      </w:r>
      <w:proofErr w:type="gramEnd"/>
      <w:r w:rsidR="00E94AE7" w:rsidRPr="002A2C8D">
        <w:rPr>
          <w:rFonts w:ascii="Arial" w:hAnsi="Arial" w:cs="Arial"/>
          <w:sz w:val="18"/>
          <w:szCs w:val="18"/>
        </w:rPr>
        <w:t>. 2</w:t>
      </w:r>
    </w:p>
  </w:footnote>
  <w:footnote w:id="13">
    <w:p w:rsidR="002259BD" w:rsidRPr="002A2C8D" w:rsidRDefault="002259BD" w:rsidP="00F57F8E">
      <w:pPr>
        <w:pStyle w:val="13KKGPrzypis"/>
        <w:tabs>
          <w:tab w:val="left" w:pos="709"/>
        </w:tabs>
        <w:spacing w:before="0" w:after="40"/>
        <w:ind w:left="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Pkt 2 Zaleceń Komisji Europejskiej z 11 czerwca 2013 r. w sprawie wspólnych zasad dotyczących mechanizmów zbiorowego dochodzenia roszczeń o zaprzestanie bezprawnych praktyk oraz roszczeń odszkodowawczych w państwach członkowskich, dotyczących naruszeń </w:t>
      </w:r>
      <w:proofErr w:type="gramStart"/>
      <w:r w:rsidRPr="002A2C8D">
        <w:rPr>
          <w:rFonts w:ascii="Arial" w:hAnsi="Arial" w:cs="Arial"/>
          <w:sz w:val="18"/>
          <w:szCs w:val="18"/>
        </w:rPr>
        <w:t>praw</w:t>
      </w:r>
      <w:proofErr w:type="gramEnd"/>
      <w:r w:rsidRPr="002A2C8D">
        <w:rPr>
          <w:rFonts w:ascii="Arial" w:hAnsi="Arial" w:cs="Arial"/>
          <w:sz w:val="18"/>
          <w:szCs w:val="18"/>
        </w:rPr>
        <w:t xml:space="preserve"> przyznanych na mocy prawa Unii (2013/396/UE), </w:t>
      </w:r>
      <w:hyperlink r:id="rId5" w:anchor="ntc4-L_2013201PL.01006001-E0004" w:history="1">
        <w:r w:rsidRPr="002A2C8D">
          <w:rPr>
            <w:rStyle w:val="Hipercze"/>
            <w:rFonts w:ascii="Arial" w:hAnsi="Arial" w:cs="Arial"/>
            <w:sz w:val="18"/>
            <w:szCs w:val="18"/>
          </w:rPr>
          <w:t>http://eur-lex.europa.eu/legal-content/PL/TXT/?uri=CELEX:32013H0396#ntc4-L_2013201PL.01006001-E0004</w:t>
        </w:r>
      </w:hyperlink>
      <w:r w:rsidRPr="002A2C8D">
        <w:rPr>
          <w:rFonts w:ascii="Arial" w:hAnsi="Arial" w:cs="Arial"/>
          <w:sz w:val="18"/>
          <w:szCs w:val="18"/>
        </w:rPr>
        <w:t xml:space="preserve">. </w:t>
      </w:r>
    </w:p>
  </w:footnote>
  <w:footnote w:id="14">
    <w:p w:rsidR="002259BD" w:rsidRPr="002A2C8D" w:rsidRDefault="002259BD" w:rsidP="00F57F8E">
      <w:pPr>
        <w:pStyle w:val="Tekstprzypisudolnego"/>
        <w:spacing w:after="40"/>
        <w:jc w:val="both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Na podstawie „Wytycznych do przeprowadzenia oceny wpływu oraz konsultacji publicznych w ramach rządowego procesu legislacyjnego”, o których mowa w § 36 ust. 1 uchwały nr 190 Rady Ministrów z 29 października 2013 r. – Regulamin pracy Rady Ministrów (M.P. z 2013 r., poz. 979, z 2015 r. poz. 1063 oraz z 2016 r. poz. 494), </w:t>
      </w:r>
      <w:r w:rsidRPr="002A2C8D">
        <w:rPr>
          <w:rFonts w:ascii="Arial" w:hAnsi="Arial" w:cs="Arial"/>
          <w:sz w:val="18"/>
          <w:szCs w:val="18"/>
          <w:u w:val="single"/>
        </w:rPr>
        <w:t>pre-konsultacje</w:t>
      </w:r>
      <w:r w:rsidRPr="002A2C8D">
        <w:rPr>
          <w:rFonts w:ascii="Arial" w:hAnsi="Arial" w:cs="Arial"/>
          <w:sz w:val="18"/>
          <w:szCs w:val="18"/>
        </w:rPr>
        <w:t xml:space="preserve"> są prowadzone </w:t>
      </w:r>
      <w:r w:rsidRPr="002A2C8D">
        <w:rPr>
          <w:rFonts w:ascii="Arial" w:hAnsi="Arial" w:cs="Arial"/>
          <w:sz w:val="18"/>
          <w:szCs w:val="18"/>
          <w:u w:val="single"/>
        </w:rPr>
        <w:t>przed opracowaniem projektu i wpisaniem go do Wykazu prac legislacyjnych i programowych Rady Ministrów</w:t>
      </w:r>
      <w:r w:rsidRPr="002A2C8D">
        <w:rPr>
          <w:rFonts w:ascii="Arial" w:hAnsi="Arial" w:cs="Arial"/>
          <w:sz w:val="18"/>
          <w:szCs w:val="18"/>
        </w:rPr>
        <w:t>.</w:t>
      </w:r>
    </w:p>
  </w:footnote>
  <w:footnote w:id="15">
    <w:p w:rsidR="002259BD" w:rsidRPr="002A2C8D" w:rsidRDefault="002259BD">
      <w:pPr>
        <w:pStyle w:val="Tekstprzypisudolnego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Dz. U. </w:t>
      </w:r>
      <w:proofErr w:type="gramStart"/>
      <w:r w:rsidRPr="002A2C8D">
        <w:rPr>
          <w:rFonts w:ascii="Arial" w:hAnsi="Arial" w:cs="Arial"/>
          <w:sz w:val="18"/>
          <w:szCs w:val="18"/>
        </w:rPr>
        <w:t>z</w:t>
      </w:r>
      <w:proofErr w:type="gramEnd"/>
      <w:r w:rsidRPr="002A2C8D">
        <w:rPr>
          <w:rFonts w:ascii="Arial" w:hAnsi="Arial" w:cs="Arial"/>
          <w:sz w:val="18"/>
          <w:szCs w:val="18"/>
        </w:rPr>
        <w:t xml:space="preserve"> 2014 r. poz. 101, ze zm.</w:t>
      </w:r>
    </w:p>
  </w:footnote>
  <w:footnote w:id="16">
    <w:p w:rsidR="002259BD" w:rsidRPr="002A2C8D" w:rsidRDefault="002259BD" w:rsidP="000E11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Zob. ustawę z dnia 16 kwietnia 1993 r. o zwalczaniu nieuczciwej konkurencji (Dz. U. </w:t>
      </w:r>
      <w:proofErr w:type="gramStart"/>
      <w:r w:rsidRPr="002A2C8D">
        <w:rPr>
          <w:rFonts w:ascii="Arial" w:hAnsi="Arial" w:cs="Arial"/>
          <w:sz w:val="18"/>
          <w:szCs w:val="18"/>
        </w:rPr>
        <w:t>z</w:t>
      </w:r>
      <w:proofErr w:type="gramEnd"/>
      <w:r w:rsidRPr="002A2C8D">
        <w:rPr>
          <w:rFonts w:ascii="Arial" w:hAnsi="Arial" w:cs="Arial"/>
          <w:sz w:val="18"/>
          <w:szCs w:val="18"/>
        </w:rPr>
        <w:t xml:space="preserve"> 2003 r. Nr 153, poz. 1503, ze zm.).</w:t>
      </w:r>
    </w:p>
  </w:footnote>
  <w:footnote w:id="17">
    <w:p w:rsidR="002259BD" w:rsidRPr="002A2C8D" w:rsidRDefault="002259BD" w:rsidP="000E11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Co do stosowania niedozwolonych postanowień umownych, praktyk naruszających zbiorowe interesy konsumentów oraz praktyk ograniczających konkurencję zob. ustawę z dnia 16 lutego 2007 r. o ochronie konkurencji i konsumentów (Dz. </w:t>
      </w:r>
      <w:proofErr w:type="gramStart"/>
      <w:r w:rsidRPr="002A2C8D">
        <w:rPr>
          <w:rFonts w:ascii="Arial" w:hAnsi="Arial" w:cs="Arial"/>
          <w:sz w:val="18"/>
          <w:szCs w:val="18"/>
        </w:rPr>
        <w:t>U. z</w:t>
      </w:r>
      <w:proofErr w:type="gramEnd"/>
      <w:r w:rsidRPr="002A2C8D">
        <w:rPr>
          <w:rFonts w:ascii="Arial" w:hAnsi="Arial" w:cs="Arial"/>
          <w:sz w:val="18"/>
          <w:szCs w:val="18"/>
        </w:rPr>
        <w:t xml:space="preserve"> 2015 r. poz. 184, ze zm.).</w:t>
      </w:r>
    </w:p>
  </w:footnote>
  <w:footnote w:id="18">
    <w:p w:rsidR="002259BD" w:rsidRPr="002A2C8D" w:rsidRDefault="002259BD" w:rsidP="000E11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A2C8D">
        <w:rPr>
          <w:rFonts w:ascii="Arial" w:hAnsi="Arial" w:cs="Arial"/>
          <w:sz w:val="18"/>
          <w:szCs w:val="18"/>
          <w:vertAlign w:val="superscript"/>
        </w:rPr>
        <w:footnoteRef/>
      </w:r>
      <w:r w:rsidRPr="002A2C8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2C8D">
        <w:rPr>
          <w:rFonts w:ascii="Arial" w:hAnsi="Arial" w:cs="Arial"/>
          <w:sz w:val="18"/>
          <w:szCs w:val="18"/>
        </w:rPr>
        <w:t>Zob. art. 449</w:t>
      </w:r>
      <w:r w:rsidRPr="002A2C8D">
        <w:rPr>
          <w:rFonts w:ascii="Arial" w:hAnsi="Arial" w:cs="Arial"/>
          <w:sz w:val="18"/>
          <w:szCs w:val="18"/>
          <w:vertAlign w:val="superscript"/>
        </w:rPr>
        <w:t>1</w:t>
      </w:r>
      <w:r w:rsidRPr="002A2C8D">
        <w:rPr>
          <w:rFonts w:ascii="Arial" w:hAnsi="Arial" w:cs="Arial"/>
          <w:sz w:val="18"/>
          <w:szCs w:val="18"/>
        </w:rPr>
        <w:t>-449</w:t>
      </w:r>
      <w:r w:rsidRPr="002A2C8D">
        <w:rPr>
          <w:rFonts w:ascii="Arial" w:hAnsi="Arial" w:cs="Arial"/>
          <w:sz w:val="18"/>
          <w:szCs w:val="18"/>
          <w:vertAlign w:val="superscript"/>
        </w:rPr>
        <w:t>10</w:t>
      </w:r>
      <w:r w:rsidRPr="002A2C8D">
        <w:rPr>
          <w:rFonts w:ascii="Arial" w:hAnsi="Arial" w:cs="Arial"/>
          <w:sz w:val="18"/>
          <w:szCs w:val="18"/>
        </w:rPr>
        <w:t xml:space="preserve"> ustawy z dnia 23 kwietnia 1964 r. – Kodeks cywilny (Dz. U. </w:t>
      </w:r>
      <w:proofErr w:type="gramStart"/>
      <w:r w:rsidRPr="002A2C8D">
        <w:rPr>
          <w:rFonts w:ascii="Arial" w:hAnsi="Arial" w:cs="Arial"/>
          <w:sz w:val="18"/>
          <w:szCs w:val="18"/>
        </w:rPr>
        <w:t>z</w:t>
      </w:r>
      <w:proofErr w:type="gramEnd"/>
      <w:r w:rsidRPr="002A2C8D">
        <w:rPr>
          <w:rFonts w:ascii="Arial" w:hAnsi="Arial" w:cs="Arial"/>
          <w:sz w:val="18"/>
          <w:szCs w:val="18"/>
        </w:rPr>
        <w:t xml:space="preserve"> 2016 r. poz. 380, ze zm.).</w:t>
      </w:r>
    </w:p>
  </w:footnote>
  <w:footnote w:id="19">
    <w:p w:rsidR="002259BD" w:rsidRPr="002A2C8D" w:rsidRDefault="002259BD">
      <w:pPr>
        <w:pStyle w:val="Tekstprzypisudolnego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Zob. ustawę z dnia 23 sierpnia 2007 r. o przeciwdziałaniu nieuczciwym praktykom rynkowym (Dz. U. Nr 171, poz. 1206, ze zm.).</w:t>
      </w:r>
    </w:p>
  </w:footnote>
  <w:footnote w:id="20">
    <w:p w:rsidR="002259BD" w:rsidRPr="002A2C8D" w:rsidRDefault="002259BD">
      <w:pPr>
        <w:pStyle w:val="Tekstprzypisudolnego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Zob. art. 98 ustawy z dnia 29 lipca 2005 r. o ofercie publicznej i warunkach wprowadzania instrumentów finansowych do zorganizowanego systemu obrotu oraz o spółkach publicznych (Dz. U. </w:t>
      </w:r>
      <w:proofErr w:type="gramStart"/>
      <w:r w:rsidRPr="002A2C8D">
        <w:rPr>
          <w:rFonts w:ascii="Arial" w:hAnsi="Arial" w:cs="Arial"/>
          <w:sz w:val="18"/>
          <w:szCs w:val="18"/>
        </w:rPr>
        <w:t>z</w:t>
      </w:r>
      <w:proofErr w:type="gramEnd"/>
      <w:r w:rsidRPr="002A2C8D">
        <w:rPr>
          <w:rFonts w:ascii="Arial" w:hAnsi="Arial" w:cs="Arial"/>
          <w:sz w:val="18"/>
          <w:szCs w:val="18"/>
        </w:rPr>
        <w:t xml:space="preserve"> 2013 r. poz. 1382, ze zm.). </w:t>
      </w:r>
    </w:p>
  </w:footnote>
  <w:footnote w:id="21">
    <w:p w:rsidR="002259BD" w:rsidRPr="002A2C8D" w:rsidRDefault="002259BD" w:rsidP="00F57F8E">
      <w:pPr>
        <w:pStyle w:val="Tekstprzypisudolnego"/>
        <w:tabs>
          <w:tab w:val="left" w:pos="567"/>
        </w:tabs>
        <w:spacing w:after="4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Zob. </w:t>
      </w:r>
      <w:r w:rsidRPr="002A2C8D">
        <w:rPr>
          <w:rFonts w:ascii="Arial" w:hAnsi="Arial" w:cs="Arial"/>
          <w:i/>
          <w:sz w:val="18"/>
          <w:szCs w:val="18"/>
        </w:rPr>
        <w:t xml:space="preserve">Zielona księga w sprawie dochodzenia zbiorowych roszczeń konsumentów (przedstawiona przez Komisję) z dnia 27.11.2008 </w:t>
      </w:r>
      <w:proofErr w:type="gramStart"/>
      <w:r w:rsidRPr="002A2C8D">
        <w:rPr>
          <w:rFonts w:ascii="Arial" w:hAnsi="Arial" w:cs="Arial"/>
          <w:i/>
          <w:sz w:val="18"/>
          <w:szCs w:val="18"/>
        </w:rPr>
        <w:t>roku</w:t>
      </w:r>
      <w:proofErr w:type="gramEnd"/>
      <w:r w:rsidRPr="002A2C8D">
        <w:rPr>
          <w:rFonts w:ascii="Arial" w:hAnsi="Arial" w:cs="Arial"/>
          <w:i/>
          <w:sz w:val="18"/>
          <w:szCs w:val="18"/>
        </w:rPr>
        <w:t xml:space="preserve"> KOM (2008) 794, s.4 tekst dostępny na </w:t>
      </w:r>
      <w:hyperlink r:id="rId6" w:history="1">
        <w:r w:rsidRPr="002A2C8D">
          <w:rPr>
            <w:rStyle w:val="Hipercze"/>
            <w:rFonts w:ascii="Arial" w:hAnsi="Arial" w:cs="Arial"/>
            <w:i/>
            <w:sz w:val="18"/>
            <w:szCs w:val="18"/>
          </w:rPr>
          <w:t>http://ec.europa.eu/consumers/archive/redress_cons/greenpaper_pl.pdf</w:t>
        </w:r>
      </w:hyperlink>
    </w:p>
  </w:footnote>
  <w:footnote w:id="22">
    <w:p w:rsidR="002259BD" w:rsidRPr="002A2C8D" w:rsidRDefault="002259BD" w:rsidP="00F57F8E">
      <w:pPr>
        <w:pStyle w:val="13KKGPrzypis"/>
        <w:tabs>
          <w:tab w:val="left" w:pos="709"/>
        </w:tabs>
        <w:spacing w:before="0" w:after="40"/>
        <w:ind w:left="0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Dz.Urz.UE. L 199 z</w:t>
      </w:r>
      <w:r w:rsidR="00E94AE7" w:rsidRPr="002A2C8D">
        <w:rPr>
          <w:rFonts w:ascii="Arial" w:hAnsi="Arial" w:cs="Arial"/>
          <w:sz w:val="18"/>
          <w:szCs w:val="18"/>
        </w:rPr>
        <w:t xml:space="preserve"> 31.07.</w:t>
      </w:r>
      <w:r w:rsidRPr="002A2C8D">
        <w:rPr>
          <w:rFonts w:ascii="Arial" w:hAnsi="Arial" w:cs="Arial"/>
          <w:sz w:val="18"/>
          <w:szCs w:val="18"/>
        </w:rPr>
        <w:t xml:space="preserve">2007, </w:t>
      </w:r>
      <w:proofErr w:type="gramStart"/>
      <w:r w:rsidRPr="002A2C8D">
        <w:rPr>
          <w:rFonts w:ascii="Arial" w:hAnsi="Arial" w:cs="Arial"/>
          <w:sz w:val="18"/>
          <w:szCs w:val="18"/>
        </w:rPr>
        <w:t>str</w:t>
      </w:r>
      <w:proofErr w:type="gramEnd"/>
      <w:r w:rsidRPr="002A2C8D">
        <w:rPr>
          <w:rFonts w:ascii="Arial" w:hAnsi="Arial" w:cs="Arial"/>
          <w:sz w:val="18"/>
          <w:szCs w:val="18"/>
        </w:rPr>
        <w:t>. 1, ze zm.</w:t>
      </w:r>
    </w:p>
  </w:footnote>
  <w:footnote w:id="23">
    <w:p w:rsidR="002259BD" w:rsidRPr="002A2C8D" w:rsidRDefault="002259BD">
      <w:pPr>
        <w:pStyle w:val="Tekstprzypisudolnego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Por. art. 19 ust. 1 pkt 2 ustawy z dnia 16 kwietnia 1993 r. o zwalczaniu nieuczciwej konkurencji</w:t>
      </w:r>
      <w:r w:rsidR="009115E7" w:rsidRPr="002A2C8D">
        <w:rPr>
          <w:rFonts w:ascii="Arial" w:hAnsi="Arial" w:cs="Arial"/>
          <w:sz w:val="18"/>
          <w:szCs w:val="18"/>
        </w:rPr>
        <w:t xml:space="preserve"> </w:t>
      </w:r>
      <w:r w:rsidRPr="002A2C8D">
        <w:rPr>
          <w:rFonts w:ascii="Arial" w:hAnsi="Arial" w:cs="Arial"/>
          <w:sz w:val="18"/>
          <w:szCs w:val="18"/>
        </w:rPr>
        <w:t>dopuszczający dochodzenie niektórych roszczeń wynikających z tej ustawy przez organizację krajową lub regionalną.</w:t>
      </w:r>
    </w:p>
  </w:footnote>
  <w:footnote w:id="24">
    <w:p w:rsidR="00AE5AD8" w:rsidRPr="002A2C8D" w:rsidRDefault="00AE5AD8">
      <w:pPr>
        <w:pStyle w:val="Tekstprzypisudolnego"/>
        <w:rPr>
          <w:rFonts w:ascii="Arial" w:hAnsi="Arial" w:cs="Arial"/>
          <w:sz w:val="18"/>
          <w:szCs w:val="18"/>
        </w:rPr>
      </w:pPr>
      <w:r w:rsidRPr="002A2C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C8D">
        <w:rPr>
          <w:rFonts w:ascii="Arial" w:hAnsi="Arial" w:cs="Arial"/>
          <w:sz w:val="18"/>
          <w:szCs w:val="18"/>
        </w:rPr>
        <w:t xml:space="preserve"> Por. motywy 12 i 13 dyrektywy Parlamentu Europejskiego i Rady nr 2008/52/WE z dnia 21 maja 2008 r. w sprawie niektórych aspektów mediacji w sprawach cywilnych i handlowych (Dz. Urz. UE L 136 z 24.05.2008, </w:t>
      </w:r>
      <w:proofErr w:type="gramStart"/>
      <w:r w:rsidRPr="002A2C8D">
        <w:rPr>
          <w:rFonts w:ascii="Arial" w:hAnsi="Arial" w:cs="Arial"/>
          <w:sz w:val="18"/>
          <w:szCs w:val="18"/>
        </w:rPr>
        <w:t>str</w:t>
      </w:r>
      <w:proofErr w:type="gramEnd"/>
      <w:r w:rsidRPr="002A2C8D">
        <w:rPr>
          <w:rFonts w:ascii="Arial" w:hAnsi="Arial" w:cs="Arial"/>
          <w:sz w:val="18"/>
          <w:szCs w:val="18"/>
        </w:rPr>
        <w:t xml:space="preserve">. 3).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BD" w:rsidRDefault="002259BD" w:rsidP="00DE4455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4EDFE" wp14:editId="26EADDE0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617220"/>
              <wp:effectExtent l="0" t="0" r="508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9BD" w:rsidRPr="001A2848" w:rsidRDefault="002259BD" w:rsidP="00DE445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2259BD" w:rsidRPr="001A2848" w:rsidRDefault="002259BD" w:rsidP="00DE445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2259BD" w:rsidRPr="001A2848" w:rsidRDefault="002259BD" w:rsidP="00DE445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4pt;margin-top:32.45pt;width:206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" stroked="f">
              <v:textbox style="mso-fit-shape-to-text:t">
                <w:txbxContent>
                  <w:p w:rsidR="002259BD" w:rsidRPr="001A2848" w:rsidRDefault="002259BD" w:rsidP="00DE4455">
                    <w:pPr>
                      <w:jc w:val="center"/>
                      <w:rPr>
                        <w:color w:val="000000"/>
                      </w:rPr>
                    </w:pPr>
                  </w:p>
                  <w:p w:rsidR="002259BD" w:rsidRPr="001A2848" w:rsidRDefault="002259BD" w:rsidP="00DE4455">
                    <w:pPr>
                      <w:jc w:val="center"/>
                      <w:rPr>
                        <w:color w:val="000000"/>
                      </w:rPr>
                    </w:pPr>
                  </w:p>
                  <w:p w:rsidR="002259BD" w:rsidRPr="001A2848" w:rsidRDefault="002259BD" w:rsidP="00DE4455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9C"/>
    <w:multiLevelType w:val="hybridMultilevel"/>
    <w:tmpl w:val="79E0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836"/>
    <w:multiLevelType w:val="hybridMultilevel"/>
    <w:tmpl w:val="C198934C"/>
    <w:lvl w:ilvl="0" w:tplc="468E125E">
      <w:start w:val="1"/>
      <w:numFmt w:val="upperRoman"/>
      <w:pStyle w:val="PktI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01F"/>
    <w:multiLevelType w:val="hybridMultilevel"/>
    <w:tmpl w:val="942E15B2"/>
    <w:lvl w:ilvl="0" w:tplc="117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CAE"/>
    <w:multiLevelType w:val="hybridMultilevel"/>
    <w:tmpl w:val="5DDC359A"/>
    <w:lvl w:ilvl="0" w:tplc="117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7794"/>
    <w:multiLevelType w:val="hybridMultilevel"/>
    <w:tmpl w:val="F52C4980"/>
    <w:lvl w:ilvl="0" w:tplc="86C820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AA04B9"/>
    <w:multiLevelType w:val="hybridMultilevel"/>
    <w:tmpl w:val="7D6E79AE"/>
    <w:lvl w:ilvl="0" w:tplc="FF420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C40F8"/>
    <w:multiLevelType w:val="hybridMultilevel"/>
    <w:tmpl w:val="7CC40346"/>
    <w:lvl w:ilvl="0" w:tplc="276253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042F69"/>
    <w:multiLevelType w:val="hybridMultilevel"/>
    <w:tmpl w:val="417490F4"/>
    <w:lvl w:ilvl="0" w:tplc="7DC68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4EBB"/>
    <w:multiLevelType w:val="hybridMultilevel"/>
    <w:tmpl w:val="4F84012C"/>
    <w:lvl w:ilvl="0" w:tplc="6EE4A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74882"/>
    <w:multiLevelType w:val="hybridMultilevel"/>
    <w:tmpl w:val="AD5C2C10"/>
    <w:lvl w:ilvl="0" w:tplc="7CCAB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79B7"/>
    <w:multiLevelType w:val="hybridMultilevel"/>
    <w:tmpl w:val="0D420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77A2"/>
    <w:multiLevelType w:val="multilevel"/>
    <w:tmpl w:val="A20C4D50"/>
    <w:lvl w:ilvl="0">
      <w:start w:val="1"/>
      <w:numFmt w:val="decimal"/>
      <w:pStyle w:val="Pk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A3A4037"/>
    <w:multiLevelType w:val="hybridMultilevel"/>
    <w:tmpl w:val="37AC2CDA"/>
    <w:lvl w:ilvl="0" w:tplc="1B0AA27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F0661"/>
    <w:multiLevelType w:val="hybridMultilevel"/>
    <w:tmpl w:val="E3B07DD0"/>
    <w:lvl w:ilvl="0" w:tplc="117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0409B"/>
    <w:multiLevelType w:val="hybridMultilevel"/>
    <w:tmpl w:val="CB74A4B6"/>
    <w:lvl w:ilvl="0" w:tplc="BBE86B2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5E10FCC2">
      <w:start w:val="1"/>
      <w:numFmt w:val="lowerRoman"/>
      <w:lvlText w:val="(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B17CFD"/>
    <w:multiLevelType w:val="hybridMultilevel"/>
    <w:tmpl w:val="62BA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2235"/>
    <w:multiLevelType w:val="hybridMultilevel"/>
    <w:tmpl w:val="A774B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94019F4"/>
    <w:multiLevelType w:val="hybridMultilevel"/>
    <w:tmpl w:val="C7209E3E"/>
    <w:lvl w:ilvl="0" w:tplc="276253FC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C210C92"/>
    <w:multiLevelType w:val="hybridMultilevel"/>
    <w:tmpl w:val="E23E2348"/>
    <w:lvl w:ilvl="0" w:tplc="7CCAB2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7F5C9A"/>
    <w:multiLevelType w:val="multilevel"/>
    <w:tmpl w:val="12AC9F58"/>
    <w:lvl w:ilvl="0">
      <w:start w:val="1"/>
      <w:numFmt w:val="upperRoman"/>
      <w:pStyle w:val="Nagwek1"/>
      <w:lvlText w:val="%1."/>
      <w:lvlJc w:val="right"/>
      <w:pPr>
        <w:ind w:left="858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578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722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2010" w:hanging="1584"/>
      </w:pPr>
      <w:rPr>
        <w:rFonts w:cs="Times New Roman" w:hint="default"/>
      </w:rPr>
    </w:lvl>
  </w:abstractNum>
  <w:abstractNum w:abstractNumId="21">
    <w:nsid w:val="45B14A37"/>
    <w:multiLevelType w:val="hybridMultilevel"/>
    <w:tmpl w:val="2A4874C0"/>
    <w:lvl w:ilvl="0" w:tplc="6F00D32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8B5147"/>
    <w:multiLevelType w:val="hybridMultilevel"/>
    <w:tmpl w:val="61648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5C3303"/>
    <w:multiLevelType w:val="hybridMultilevel"/>
    <w:tmpl w:val="9E12B022"/>
    <w:lvl w:ilvl="0" w:tplc="761EC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46BA2"/>
    <w:multiLevelType w:val="hybridMultilevel"/>
    <w:tmpl w:val="8A7E8F7E"/>
    <w:lvl w:ilvl="0" w:tplc="06624F32">
      <w:start w:val="1"/>
      <w:numFmt w:val="decimal"/>
      <w:pStyle w:val="11KKGZacznik"/>
      <w:lvlText w:val="Załącznik 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62062"/>
    <w:multiLevelType w:val="hybridMultilevel"/>
    <w:tmpl w:val="0AA8434E"/>
    <w:lvl w:ilvl="0" w:tplc="235CD6EA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01A77E0"/>
    <w:multiLevelType w:val="hybridMultilevel"/>
    <w:tmpl w:val="2A4874C0"/>
    <w:lvl w:ilvl="0" w:tplc="6F00D32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934189"/>
    <w:multiLevelType w:val="hybridMultilevel"/>
    <w:tmpl w:val="0EA0700A"/>
    <w:lvl w:ilvl="0" w:tplc="117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94E96"/>
    <w:multiLevelType w:val="multilevel"/>
    <w:tmpl w:val="35E89018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>
    <w:nsid w:val="7CB03397"/>
    <w:multiLevelType w:val="hybridMultilevel"/>
    <w:tmpl w:val="4F84012C"/>
    <w:lvl w:ilvl="0" w:tplc="6EE4A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0"/>
  </w:num>
  <w:num w:numId="5">
    <w:abstractNumId w:val="28"/>
  </w:num>
  <w:num w:numId="6">
    <w:abstractNumId w:val="17"/>
  </w:num>
  <w:num w:numId="7">
    <w:abstractNumId w:val="16"/>
  </w:num>
  <w:num w:numId="8">
    <w:abstractNumId w:val="9"/>
  </w:num>
  <w:num w:numId="9">
    <w:abstractNumId w:val="19"/>
  </w:num>
  <w:num w:numId="10">
    <w:abstractNumId w:val="8"/>
  </w:num>
  <w:num w:numId="11">
    <w:abstractNumId w:val="23"/>
  </w:num>
  <w:num w:numId="12">
    <w:abstractNumId w:val="7"/>
  </w:num>
  <w:num w:numId="13">
    <w:abstractNumId w:val="3"/>
  </w:num>
  <w:num w:numId="14">
    <w:abstractNumId w:val="13"/>
  </w:num>
  <w:num w:numId="15">
    <w:abstractNumId w:val="27"/>
  </w:num>
  <w:num w:numId="16">
    <w:abstractNumId w:val="6"/>
  </w:num>
  <w:num w:numId="17">
    <w:abstractNumId w:val="2"/>
  </w:num>
  <w:num w:numId="18">
    <w:abstractNumId w:val="29"/>
  </w:num>
  <w:num w:numId="19">
    <w:abstractNumId w:val="24"/>
  </w:num>
  <w:num w:numId="20">
    <w:abstractNumId w:val="14"/>
  </w:num>
  <w:num w:numId="21">
    <w:abstractNumId w:val="10"/>
  </w:num>
  <w:num w:numId="22">
    <w:abstractNumId w:val="25"/>
  </w:num>
  <w:num w:numId="23">
    <w:abstractNumId w:val="22"/>
  </w:num>
  <w:num w:numId="24">
    <w:abstractNumId w:val="5"/>
  </w:num>
  <w:num w:numId="25">
    <w:abstractNumId w:val="4"/>
  </w:num>
  <w:num w:numId="26">
    <w:abstractNumId w:val="26"/>
  </w:num>
  <w:num w:numId="27">
    <w:abstractNumId w:val="21"/>
  </w:num>
  <w:num w:numId="28">
    <w:abstractNumId w:val="18"/>
  </w:num>
  <w:num w:numId="29">
    <w:abstractNumId w:val="0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8"/>
    <w:rsid w:val="00016FFC"/>
    <w:rsid w:val="00017F82"/>
    <w:rsid w:val="00021E0A"/>
    <w:rsid w:val="00044A68"/>
    <w:rsid w:val="00094356"/>
    <w:rsid w:val="000970E5"/>
    <w:rsid w:val="00097D50"/>
    <w:rsid w:val="000A4CBD"/>
    <w:rsid w:val="000B0F24"/>
    <w:rsid w:val="000B7EA8"/>
    <w:rsid w:val="000C7C2D"/>
    <w:rsid w:val="000D59E2"/>
    <w:rsid w:val="000E08D4"/>
    <w:rsid w:val="000E114B"/>
    <w:rsid w:val="000E598D"/>
    <w:rsid w:val="000F325D"/>
    <w:rsid w:val="000F7A65"/>
    <w:rsid w:val="001105DB"/>
    <w:rsid w:val="00122512"/>
    <w:rsid w:val="00140648"/>
    <w:rsid w:val="00143A18"/>
    <w:rsid w:val="0015650B"/>
    <w:rsid w:val="001726B2"/>
    <w:rsid w:val="00176A7D"/>
    <w:rsid w:val="001947D4"/>
    <w:rsid w:val="001A143C"/>
    <w:rsid w:val="001A27E8"/>
    <w:rsid w:val="001B686E"/>
    <w:rsid w:val="001D07ED"/>
    <w:rsid w:val="001E7900"/>
    <w:rsid w:val="001E7E39"/>
    <w:rsid w:val="00206015"/>
    <w:rsid w:val="002258BB"/>
    <w:rsid w:val="002259BD"/>
    <w:rsid w:val="00225FC2"/>
    <w:rsid w:val="00282144"/>
    <w:rsid w:val="002963A4"/>
    <w:rsid w:val="002A2C8D"/>
    <w:rsid w:val="002A6295"/>
    <w:rsid w:val="002B6B6E"/>
    <w:rsid w:val="002B78FB"/>
    <w:rsid w:val="002C0D05"/>
    <w:rsid w:val="002E3961"/>
    <w:rsid w:val="002F11DF"/>
    <w:rsid w:val="00313D5B"/>
    <w:rsid w:val="003143AF"/>
    <w:rsid w:val="00321A32"/>
    <w:rsid w:val="003307E3"/>
    <w:rsid w:val="00337499"/>
    <w:rsid w:val="00352ADE"/>
    <w:rsid w:val="00370A52"/>
    <w:rsid w:val="00386461"/>
    <w:rsid w:val="003A2D2D"/>
    <w:rsid w:val="003F6F19"/>
    <w:rsid w:val="004056A0"/>
    <w:rsid w:val="00480400"/>
    <w:rsid w:val="00481BDC"/>
    <w:rsid w:val="0048599B"/>
    <w:rsid w:val="0049698B"/>
    <w:rsid w:val="00497705"/>
    <w:rsid w:val="00497FFE"/>
    <w:rsid w:val="004A2D86"/>
    <w:rsid w:val="004A6EE8"/>
    <w:rsid w:val="004C074D"/>
    <w:rsid w:val="004D45D5"/>
    <w:rsid w:val="004D5FF4"/>
    <w:rsid w:val="004E161C"/>
    <w:rsid w:val="004E47C7"/>
    <w:rsid w:val="00547D6A"/>
    <w:rsid w:val="005644BD"/>
    <w:rsid w:val="00584BF4"/>
    <w:rsid w:val="00586A60"/>
    <w:rsid w:val="005908BE"/>
    <w:rsid w:val="005908F8"/>
    <w:rsid w:val="00592974"/>
    <w:rsid w:val="005D2B30"/>
    <w:rsid w:val="005D4A22"/>
    <w:rsid w:val="005F13C7"/>
    <w:rsid w:val="005F5783"/>
    <w:rsid w:val="006136DB"/>
    <w:rsid w:val="00637659"/>
    <w:rsid w:val="00661BF8"/>
    <w:rsid w:val="006701A3"/>
    <w:rsid w:val="006711CB"/>
    <w:rsid w:val="00682145"/>
    <w:rsid w:val="00686060"/>
    <w:rsid w:val="00691099"/>
    <w:rsid w:val="006D7A31"/>
    <w:rsid w:val="006F2F86"/>
    <w:rsid w:val="006F5EBA"/>
    <w:rsid w:val="00717968"/>
    <w:rsid w:val="007341C2"/>
    <w:rsid w:val="0073797B"/>
    <w:rsid w:val="00750EAD"/>
    <w:rsid w:val="00760015"/>
    <w:rsid w:val="007846D6"/>
    <w:rsid w:val="00793BC4"/>
    <w:rsid w:val="007A2823"/>
    <w:rsid w:val="007B4CAB"/>
    <w:rsid w:val="007B7C26"/>
    <w:rsid w:val="007C5584"/>
    <w:rsid w:val="007D6EF4"/>
    <w:rsid w:val="007F1C6F"/>
    <w:rsid w:val="007F5F21"/>
    <w:rsid w:val="007F678C"/>
    <w:rsid w:val="0080023C"/>
    <w:rsid w:val="008125AD"/>
    <w:rsid w:val="008128F4"/>
    <w:rsid w:val="00836CE1"/>
    <w:rsid w:val="00842738"/>
    <w:rsid w:val="00843F1B"/>
    <w:rsid w:val="0086287E"/>
    <w:rsid w:val="00877BB4"/>
    <w:rsid w:val="00887216"/>
    <w:rsid w:val="008A7CDE"/>
    <w:rsid w:val="008B4CD6"/>
    <w:rsid w:val="008F10C3"/>
    <w:rsid w:val="009043D3"/>
    <w:rsid w:val="009065C3"/>
    <w:rsid w:val="009115E7"/>
    <w:rsid w:val="009147DB"/>
    <w:rsid w:val="00920E22"/>
    <w:rsid w:val="00926DD3"/>
    <w:rsid w:val="0092764A"/>
    <w:rsid w:val="00940BB1"/>
    <w:rsid w:val="00951D59"/>
    <w:rsid w:val="00964A94"/>
    <w:rsid w:val="00976CA3"/>
    <w:rsid w:val="00985E8F"/>
    <w:rsid w:val="009A65FC"/>
    <w:rsid w:val="009A72B7"/>
    <w:rsid w:val="009B0D3A"/>
    <w:rsid w:val="009B1CD8"/>
    <w:rsid w:val="009C361A"/>
    <w:rsid w:val="009C71FB"/>
    <w:rsid w:val="009D2B24"/>
    <w:rsid w:val="009E0F01"/>
    <w:rsid w:val="00A04E90"/>
    <w:rsid w:val="00A11A0C"/>
    <w:rsid w:val="00A162DC"/>
    <w:rsid w:val="00A26D20"/>
    <w:rsid w:val="00A35A81"/>
    <w:rsid w:val="00A57BE4"/>
    <w:rsid w:val="00A76018"/>
    <w:rsid w:val="00A80F9E"/>
    <w:rsid w:val="00AB04C0"/>
    <w:rsid w:val="00AB1957"/>
    <w:rsid w:val="00AD0D83"/>
    <w:rsid w:val="00AD39B0"/>
    <w:rsid w:val="00AD783B"/>
    <w:rsid w:val="00AE5AD8"/>
    <w:rsid w:val="00AF57CB"/>
    <w:rsid w:val="00AF5C23"/>
    <w:rsid w:val="00B22017"/>
    <w:rsid w:val="00B24379"/>
    <w:rsid w:val="00B325C1"/>
    <w:rsid w:val="00B34886"/>
    <w:rsid w:val="00B419EA"/>
    <w:rsid w:val="00B525E8"/>
    <w:rsid w:val="00B61B87"/>
    <w:rsid w:val="00B64F68"/>
    <w:rsid w:val="00B72861"/>
    <w:rsid w:val="00B865C8"/>
    <w:rsid w:val="00B966A6"/>
    <w:rsid w:val="00BA3171"/>
    <w:rsid w:val="00BA6E45"/>
    <w:rsid w:val="00BC18F4"/>
    <w:rsid w:val="00BC1D53"/>
    <w:rsid w:val="00BE645C"/>
    <w:rsid w:val="00BF026E"/>
    <w:rsid w:val="00BF1BF6"/>
    <w:rsid w:val="00BF4332"/>
    <w:rsid w:val="00C074A5"/>
    <w:rsid w:val="00C26A62"/>
    <w:rsid w:val="00C40981"/>
    <w:rsid w:val="00C5313F"/>
    <w:rsid w:val="00C55A16"/>
    <w:rsid w:val="00C57711"/>
    <w:rsid w:val="00C64F34"/>
    <w:rsid w:val="00C70220"/>
    <w:rsid w:val="00C936B2"/>
    <w:rsid w:val="00C96113"/>
    <w:rsid w:val="00CA745E"/>
    <w:rsid w:val="00CB50EB"/>
    <w:rsid w:val="00CB53C0"/>
    <w:rsid w:val="00CB7C73"/>
    <w:rsid w:val="00CF773D"/>
    <w:rsid w:val="00D12087"/>
    <w:rsid w:val="00D44F7B"/>
    <w:rsid w:val="00D502FA"/>
    <w:rsid w:val="00D548F9"/>
    <w:rsid w:val="00D6069D"/>
    <w:rsid w:val="00D72656"/>
    <w:rsid w:val="00D87F0E"/>
    <w:rsid w:val="00DB6366"/>
    <w:rsid w:val="00DC417A"/>
    <w:rsid w:val="00DC6D8C"/>
    <w:rsid w:val="00DD044A"/>
    <w:rsid w:val="00DE4455"/>
    <w:rsid w:val="00DE7FC6"/>
    <w:rsid w:val="00E33586"/>
    <w:rsid w:val="00E355F7"/>
    <w:rsid w:val="00E470D8"/>
    <w:rsid w:val="00E71778"/>
    <w:rsid w:val="00E83DB4"/>
    <w:rsid w:val="00E94AE7"/>
    <w:rsid w:val="00EA5692"/>
    <w:rsid w:val="00EB6F3B"/>
    <w:rsid w:val="00EC6C91"/>
    <w:rsid w:val="00EE29D4"/>
    <w:rsid w:val="00F42233"/>
    <w:rsid w:val="00F57F8E"/>
    <w:rsid w:val="00F636BF"/>
    <w:rsid w:val="00F76898"/>
    <w:rsid w:val="00F80DA7"/>
    <w:rsid w:val="00F810F8"/>
    <w:rsid w:val="00F825FC"/>
    <w:rsid w:val="00F95D9C"/>
    <w:rsid w:val="00F9736A"/>
    <w:rsid w:val="00FB27C4"/>
    <w:rsid w:val="00FB3852"/>
    <w:rsid w:val="00FB4504"/>
    <w:rsid w:val="00FC04EA"/>
    <w:rsid w:val="00FC2EB6"/>
    <w:rsid w:val="00FC4530"/>
    <w:rsid w:val="00FC7499"/>
    <w:rsid w:val="00FD46AA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 w:qFormat="1"/>
    <w:lsdException w:name="List Number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C73"/>
    <w:pPr>
      <w:keepNext/>
      <w:numPr>
        <w:numId w:val="4"/>
      </w:numPr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B7C73"/>
    <w:pPr>
      <w:numPr>
        <w:ilvl w:val="4"/>
        <w:numId w:val="4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7C73"/>
    <w:pPr>
      <w:numPr>
        <w:ilvl w:val="5"/>
        <w:numId w:val="4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B7C73"/>
    <w:pPr>
      <w:numPr>
        <w:ilvl w:val="6"/>
        <w:numId w:val="4"/>
      </w:numPr>
      <w:spacing w:before="240" w:after="60"/>
      <w:outlineLvl w:val="6"/>
    </w:pPr>
    <w:rPr>
      <w:rFonts w:ascii="Calibri" w:eastAsia="MS Mincho" w:hAnsi="Calibri"/>
    </w:rPr>
  </w:style>
  <w:style w:type="paragraph" w:styleId="Nagwek8">
    <w:name w:val="heading 8"/>
    <w:basedOn w:val="Normalny"/>
    <w:next w:val="Normalny"/>
    <w:link w:val="Nagwek8Znak"/>
    <w:qFormat/>
    <w:rsid w:val="00CB7C73"/>
    <w:pPr>
      <w:numPr>
        <w:ilvl w:val="7"/>
        <w:numId w:val="4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B7C73"/>
    <w:pPr>
      <w:numPr>
        <w:ilvl w:val="8"/>
        <w:numId w:val="4"/>
      </w:numPr>
      <w:spacing w:before="240" w:after="60"/>
      <w:outlineLvl w:val="8"/>
    </w:pPr>
    <w:rPr>
      <w:rFonts w:ascii="Cambria" w:eastAsia="MS Mincho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44A6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044A68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A,FA Fußnotentext,Podrozdział,Podrozdzia3,Footnote,Schriftart: 9 pt,Schriftart: 10 pt,Schriftart: 8 pt,o,Footnote text,Tekst przypisu Znak Znak Znak Znak,Tekst przypisu Znak Znak Znak Znak Znak Char,fußn,Fußnote"/>
    <w:basedOn w:val="Normalny"/>
    <w:link w:val="TekstprzypisudolnegoZnak"/>
    <w:uiPriority w:val="99"/>
    <w:rsid w:val="00044A68"/>
    <w:rPr>
      <w:rFonts w:eastAsia="Batang"/>
      <w:sz w:val="20"/>
      <w:szCs w:val="20"/>
      <w:lang w:eastAsia="ja-JP"/>
    </w:rPr>
  </w:style>
  <w:style w:type="character" w:customStyle="1" w:styleId="TekstprzypisudolnegoZnak">
    <w:name w:val="Tekst przypisu dolnego Znak"/>
    <w:aliases w:val="FA Znak,FA Fußnotentext Znak,Podrozdział Znak,Podrozdzia3 Znak,Footnote Znak,Schriftart: 9 pt Znak,Schriftart: 10 pt Znak,Schriftart: 8 pt Znak,o Znak,Footnote text Znak,Tekst przypisu Znak Znak Znak Znak Znak,fußn Znak"/>
    <w:basedOn w:val="Domylnaczcionkaakapitu"/>
    <w:link w:val="Tekstprzypisudolnego"/>
    <w:uiPriority w:val="99"/>
    <w:rsid w:val="00044A68"/>
    <w:rPr>
      <w:rFonts w:ascii="Times New Roman" w:eastAsia="Batang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aliases w:val="FZ,Footnote symbol,Voetnootverwijzing,Footnote reference number"/>
    <w:uiPriority w:val="99"/>
    <w:rsid w:val="00044A68"/>
    <w:rPr>
      <w:rFonts w:cs="Times New Roman"/>
      <w:vertAlign w:val="superscript"/>
    </w:rPr>
  </w:style>
  <w:style w:type="paragraph" w:styleId="Tekstpodstawowy">
    <w:name w:val="Body Text"/>
    <w:aliases w:val="GT Tekst podstawowy,LOAN,bt,body text,(F2)"/>
    <w:basedOn w:val="Normalny"/>
    <w:link w:val="TekstpodstawowyZnak"/>
    <w:qFormat/>
    <w:rsid w:val="00044A68"/>
    <w:p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character" w:customStyle="1" w:styleId="TekstpodstawowyZnak">
    <w:name w:val="Tekst podstawowy Znak"/>
    <w:aliases w:val="GT Tekst podstawowy Znak,LOAN Znak,bt Znak,body text Znak,(F2) Znak"/>
    <w:basedOn w:val="Domylnaczcionkaakapitu"/>
    <w:link w:val="Tekstpodstawowy"/>
    <w:rsid w:val="00044A68"/>
    <w:rPr>
      <w:rFonts w:ascii="Garamond" w:eastAsia="Times New Roman" w:hAnsi="Garamond" w:cs="Arial"/>
      <w:szCs w:val="20"/>
    </w:rPr>
  </w:style>
  <w:style w:type="paragraph" w:customStyle="1" w:styleId="PktI">
    <w:name w:val="*Pkt I"/>
    <w:basedOn w:val="Akapitzlist"/>
    <w:link w:val="PktIZnak"/>
    <w:qFormat/>
    <w:rsid w:val="00044A68"/>
    <w:pPr>
      <w:numPr>
        <w:numId w:val="2"/>
      </w:numPr>
      <w:spacing w:before="240" w:after="240" w:line="300" w:lineRule="auto"/>
      <w:ind w:left="1077"/>
      <w:contextualSpacing w:val="0"/>
    </w:pPr>
    <w:rPr>
      <w:rFonts w:ascii="Arial" w:hAnsi="Arial" w:cs="Arial"/>
      <w:b/>
      <w:caps/>
      <w:sz w:val="20"/>
      <w:szCs w:val="20"/>
    </w:rPr>
  </w:style>
  <w:style w:type="paragraph" w:customStyle="1" w:styleId="Pkt1">
    <w:name w:val="*Pkt 1"/>
    <w:basedOn w:val="Akapitzlist"/>
    <w:link w:val="Pkt1Znak"/>
    <w:qFormat/>
    <w:rsid w:val="00044A68"/>
    <w:pPr>
      <w:numPr>
        <w:numId w:val="3"/>
      </w:numPr>
      <w:tabs>
        <w:tab w:val="left" w:pos="567"/>
      </w:tabs>
      <w:spacing w:after="120" w:line="300" w:lineRule="auto"/>
      <w:ind w:left="567" w:hanging="567"/>
    </w:pPr>
    <w:rPr>
      <w:rFonts w:ascii="Arial" w:hAnsi="Arial" w:cs="Arial"/>
      <w:b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44A68"/>
    <w:rPr>
      <w:rFonts w:ascii="Calibri" w:eastAsia="Calibri" w:hAnsi="Calibri" w:cs="Times New Roman"/>
    </w:rPr>
  </w:style>
  <w:style w:type="character" w:customStyle="1" w:styleId="PktIZnak">
    <w:name w:val="*Pkt I Znak"/>
    <w:basedOn w:val="AkapitzlistZnak"/>
    <w:link w:val="PktI"/>
    <w:rsid w:val="00044A68"/>
    <w:rPr>
      <w:rFonts w:ascii="Arial" w:eastAsia="Calibri" w:hAnsi="Arial" w:cs="Arial"/>
      <w:b/>
      <w:caps/>
      <w:sz w:val="20"/>
      <w:szCs w:val="20"/>
    </w:rPr>
  </w:style>
  <w:style w:type="paragraph" w:customStyle="1" w:styleId="Pkt11">
    <w:name w:val="*Pkt 1.1."/>
    <w:basedOn w:val="Normalny"/>
    <w:link w:val="Pkt11Znak"/>
    <w:qFormat/>
    <w:rsid w:val="00044A68"/>
    <w:pPr>
      <w:tabs>
        <w:tab w:val="left" w:pos="567"/>
      </w:tabs>
      <w:spacing w:after="120" w:line="300" w:lineRule="auto"/>
      <w:ind w:left="567" w:hanging="567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Pkt1Znak">
    <w:name w:val="*Pkt 1 Znak"/>
    <w:basedOn w:val="AkapitzlistZnak"/>
    <w:link w:val="Pkt1"/>
    <w:rsid w:val="00044A68"/>
    <w:rPr>
      <w:rFonts w:ascii="Arial" w:eastAsia="Calibri" w:hAnsi="Arial" w:cs="Arial"/>
      <w:b/>
      <w:sz w:val="21"/>
      <w:szCs w:val="21"/>
    </w:rPr>
  </w:style>
  <w:style w:type="paragraph" w:customStyle="1" w:styleId="Podtytu">
    <w:name w:val="*Podtytuł"/>
    <w:basedOn w:val="Pkt11"/>
    <w:link w:val="PodtytuZnak"/>
    <w:qFormat/>
    <w:rsid w:val="00044A68"/>
    <w:pPr>
      <w:ind w:firstLine="0"/>
    </w:pPr>
    <w:rPr>
      <w:b w:val="0"/>
      <w:i w:val="0"/>
      <w:u w:val="single"/>
    </w:rPr>
  </w:style>
  <w:style w:type="character" w:customStyle="1" w:styleId="Pkt11Znak">
    <w:name w:val="*Pkt 1.1. Znak"/>
    <w:basedOn w:val="Domylnaczcionkaakapitu"/>
    <w:link w:val="Pkt11"/>
    <w:rsid w:val="00044A68"/>
    <w:rPr>
      <w:rFonts w:ascii="Arial" w:eastAsia="Times New Roman" w:hAnsi="Arial" w:cs="Arial"/>
      <w:b/>
      <w:i/>
      <w:sz w:val="20"/>
      <w:szCs w:val="20"/>
      <w:lang w:eastAsia="pl-PL"/>
    </w:rPr>
  </w:style>
  <w:style w:type="character" w:customStyle="1" w:styleId="PodtytuZnak">
    <w:name w:val="*Podtytuł Znak"/>
    <w:basedOn w:val="Pkt11Znak"/>
    <w:link w:val="Podtytu"/>
    <w:rsid w:val="00044A68"/>
    <w:rPr>
      <w:rFonts w:ascii="Arial" w:eastAsia="Times New Roman" w:hAnsi="Arial" w:cs="Arial"/>
      <w:b w:val="0"/>
      <w:i w:val="0"/>
      <w:sz w:val="20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3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3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C73"/>
    <w:rPr>
      <w:rFonts w:ascii="Cambria" w:eastAsia="MS Mincho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B7C73"/>
    <w:rPr>
      <w:rFonts w:ascii="Calibri" w:eastAsia="MS Mincho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C73"/>
    <w:rPr>
      <w:rFonts w:ascii="Calibri" w:eastAsia="MS Mincho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B7C73"/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B7C73"/>
    <w:rPr>
      <w:rFonts w:ascii="Calibri" w:eastAsia="MS Mincho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7C73"/>
    <w:rPr>
      <w:rFonts w:ascii="Cambria" w:eastAsia="MS Mincho" w:hAnsi="Cambria" w:cs="Times New Roman"/>
      <w:lang w:eastAsia="pl-PL"/>
    </w:rPr>
  </w:style>
  <w:style w:type="paragraph" w:styleId="Listanumerowana">
    <w:name w:val="List Number"/>
    <w:aliases w:val="GT Lista numerowana"/>
    <w:basedOn w:val="Normalny"/>
    <w:qFormat/>
    <w:rsid w:val="009A72B7"/>
    <w:pPr>
      <w:numPr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styleId="Listanumerowana2">
    <w:name w:val="List Number 2"/>
    <w:aliases w:val="GT Lista numerowana 2"/>
    <w:basedOn w:val="Normalny"/>
    <w:qFormat/>
    <w:rsid w:val="009A72B7"/>
    <w:pPr>
      <w:numPr>
        <w:ilvl w:val="1"/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styleId="Listanumerowana3">
    <w:name w:val="List Number 3"/>
    <w:aliases w:val="GT Lista numerowana 3"/>
    <w:basedOn w:val="Normalny"/>
    <w:qFormat/>
    <w:rsid w:val="009A72B7"/>
    <w:pPr>
      <w:numPr>
        <w:ilvl w:val="2"/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customStyle="1" w:styleId="NumberedHeading1">
    <w:name w:val="Numbered Heading 1"/>
    <w:next w:val="Tekstpodstawowy"/>
    <w:qFormat/>
    <w:rsid w:val="009A72B7"/>
    <w:pPr>
      <w:numPr>
        <w:numId w:val="6"/>
      </w:numPr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  <w:lang w:val="en-GB"/>
    </w:rPr>
  </w:style>
  <w:style w:type="paragraph" w:customStyle="1" w:styleId="NumberedHeading2">
    <w:name w:val="Numbered Heading 2"/>
    <w:next w:val="Tekstpodstawowy"/>
    <w:qFormat/>
    <w:rsid w:val="009A72B7"/>
    <w:pPr>
      <w:numPr>
        <w:ilvl w:val="1"/>
        <w:numId w:val="6"/>
      </w:numPr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9A72B7"/>
    <w:pPr>
      <w:spacing w:before="100" w:beforeAutospacing="1" w:after="100" w:afterAutospacing="1"/>
    </w:pPr>
  </w:style>
  <w:style w:type="character" w:customStyle="1" w:styleId="changed-paragraph">
    <w:name w:val="changed-paragraph"/>
    <w:rsid w:val="009A72B7"/>
  </w:style>
  <w:style w:type="paragraph" w:styleId="Tekstdymka">
    <w:name w:val="Balloon Text"/>
    <w:basedOn w:val="Normalny"/>
    <w:link w:val="TekstdymkaZnak"/>
    <w:uiPriority w:val="99"/>
    <w:semiHidden/>
    <w:unhideWhenUsed/>
    <w:rsid w:val="00206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1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9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2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29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9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25FC2"/>
    <w:rPr>
      <w:rFonts w:cs="Times New Roman"/>
      <w:color w:val="0000FF"/>
      <w:u w:val="single"/>
    </w:rPr>
  </w:style>
  <w:style w:type="paragraph" w:customStyle="1" w:styleId="AAAPktI">
    <w:name w:val="AAA Pkt I"/>
    <w:basedOn w:val="Normalny"/>
    <w:link w:val="AAAPktIZnak"/>
    <w:qFormat/>
    <w:rsid w:val="00FB4504"/>
    <w:pPr>
      <w:tabs>
        <w:tab w:val="left" w:pos="426"/>
        <w:tab w:val="left" w:pos="567"/>
      </w:tabs>
      <w:spacing w:before="240" w:after="200" w:line="300" w:lineRule="auto"/>
      <w:jc w:val="both"/>
    </w:pPr>
    <w:rPr>
      <w:rFonts w:ascii="Arial" w:hAnsi="Arial" w:cs="Arial"/>
      <w:b/>
      <w:caps/>
      <w:color w:val="244061" w:themeColor="accent1" w:themeShade="80"/>
      <w:sz w:val="22"/>
      <w:szCs w:val="22"/>
    </w:rPr>
  </w:style>
  <w:style w:type="paragraph" w:customStyle="1" w:styleId="AAATekst">
    <w:name w:val="AAA Tekst"/>
    <w:basedOn w:val="Normalny"/>
    <w:link w:val="AAATekstZnak"/>
    <w:qFormat/>
    <w:rsid w:val="00225FC2"/>
    <w:pPr>
      <w:spacing w:before="120" w:after="120"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AAAPktIZnak">
    <w:name w:val="AAA Pkt I Znak"/>
    <w:basedOn w:val="Domylnaczcionkaakapitu"/>
    <w:link w:val="AAAPktI"/>
    <w:rsid w:val="00FB4504"/>
    <w:rPr>
      <w:rFonts w:ascii="Arial" w:eastAsia="Times New Roman" w:hAnsi="Arial" w:cs="Arial"/>
      <w:b/>
      <w:caps/>
      <w:color w:val="244061" w:themeColor="accent1" w:themeShade="80"/>
      <w:lang w:eastAsia="pl-PL"/>
    </w:rPr>
  </w:style>
  <w:style w:type="table" w:styleId="Tabela-Siatka">
    <w:name w:val="Table Grid"/>
    <w:basedOn w:val="Standardowy"/>
    <w:uiPriority w:val="59"/>
    <w:rsid w:val="0022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ATekstZnak">
    <w:name w:val="AAA Tekst Znak"/>
    <w:basedOn w:val="Domylnaczcionkaakapitu"/>
    <w:link w:val="AAATekst"/>
    <w:rsid w:val="00225FC2"/>
    <w:rPr>
      <w:rFonts w:ascii="Arial" w:eastAsia="Times New Roman" w:hAnsi="Arial" w:cs="Arial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6069D"/>
    <w:pPr>
      <w:tabs>
        <w:tab w:val="left" w:pos="426"/>
        <w:tab w:val="right" w:leader="dot" w:pos="9628"/>
      </w:tabs>
      <w:spacing w:after="100"/>
    </w:pPr>
  </w:style>
  <w:style w:type="paragraph" w:styleId="Poprawka">
    <w:name w:val="Revision"/>
    <w:hidden/>
    <w:uiPriority w:val="99"/>
    <w:semiHidden/>
    <w:rsid w:val="002B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5KKGNaglowek1">
    <w:name w:val="*05 KKG Naglowek 1"/>
    <w:basedOn w:val="00KKGTekstPoziomu"/>
    <w:next w:val="00KKGTekstPoziomu"/>
    <w:link w:val="05KKGNaglowek1Char"/>
    <w:qFormat/>
    <w:rsid w:val="001A143C"/>
    <w:pPr>
      <w:keepNext/>
      <w:keepLines/>
      <w:spacing w:before="240"/>
      <w:ind w:hanging="567"/>
    </w:pPr>
    <w:rPr>
      <w:b/>
      <w:smallCaps/>
      <w:sz w:val="21"/>
      <w:u w:val="single"/>
    </w:rPr>
  </w:style>
  <w:style w:type="character" w:customStyle="1" w:styleId="05KKGNaglowek1Char">
    <w:name w:val="*05 KKG Naglowek 1 Char"/>
    <w:link w:val="05KKGNaglowek1"/>
    <w:rsid w:val="001A143C"/>
    <w:rPr>
      <w:rFonts w:ascii="Tahoma" w:eastAsia="Calibri" w:hAnsi="Tahoma" w:cs="Tahoma"/>
      <w:b/>
      <w:smallCaps/>
      <w:sz w:val="21"/>
      <w:szCs w:val="24"/>
      <w:u w:val="single"/>
      <w:lang w:eastAsia="x-none"/>
    </w:rPr>
  </w:style>
  <w:style w:type="paragraph" w:customStyle="1" w:styleId="13KKGPrzypis">
    <w:name w:val="*13 KKG Przypis"/>
    <w:basedOn w:val="Normalny"/>
    <w:qFormat/>
    <w:rsid w:val="001A143C"/>
    <w:pPr>
      <w:spacing w:before="60" w:after="200" w:line="288" w:lineRule="auto"/>
      <w:ind w:left="851"/>
      <w:jc w:val="both"/>
    </w:pPr>
    <w:rPr>
      <w:rFonts w:eastAsia="Calibri"/>
      <w:sz w:val="16"/>
    </w:rPr>
  </w:style>
  <w:style w:type="paragraph" w:customStyle="1" w:styleId="00KKGTekstPoziomu">
    <w:name w:val="*00 KKG Tekst Poziomu"/>
    <w:basedOn w:val="Normalny"/>
    <w:link w:val="00KKGTekstPoziomuChar"/>
    <w:qFormat/>
    <w:rsid w:val="001A143C"/>
    <w:pPr>
      <w:tabs>
        <w:tab w:val="left" w:pos="567"/>
      </w:tabs>
      <w:spacing w:after="60" w:line="276" w:lineRule="auto"/>
      <w:ind w:left="567"/>
      <w:jc w:val="both"/>
    </w:pPr>
    <w:rPr>
      <w:rFonts w:ascii="Tahoma" w:eastAsia="Calibri" w:hAnsi="Tahoma" w:cs="Tahoma"/>
      <w:sz w:val="20"/>
      <w:lang w:eastAsia="x-none"/>
    </w:rPr>
  </w:style>
  <w:style w:type="character" w:customStyle="1" w:styleId="00KKGTekstPoziomuChar">
    <w:name w:val="*00 KKG Tekst Poziomu Char"/>
    <w:link w:val="00KKGTekstPoziomu"/>
    <w:rsid w:val="001A143C"/>
    <w:rPr>
      <w:rFonts w:ascii="Tahoma" w:eastAsia="Calibri" w:hAnsi="Tahoma" w:cs="Tahoma"/>
      <w:sz w:val="20"/>
      <w:szCs w:val="24"/>
      <w:lang w:eastAsia="x-none"/>
    </w:rPr>
  </w:style>
  <w:style w:type="paragraph" w:customStyle="1" w:styleId="11KKGZacznik">
    <w:name w:val="*11 KKG Załącznik"/>
    <w:basedOn w:val="Normalny"/>
    <w:qFormat/>
    <w:rsid w:val="001A143C"/>
    <w:pPr>
      <w:numPr>
        <w:numId w:val="19"/>
      </w:numPr>
      <w:tabs>
        <w:tab w:val="left" w:pos="1418"/>
      </w:tabs>
      <w:spacing w:before="60" w:after="60" w:line="276" w:lineRule="auto"/>
      <w:ind w:left="1418" w:hanging="1418"/>
      <w:contextualSpacing/>
      <w:jc w:val="both"/>
    </w:pPr>
    <w:rPr>
      <w:rFonts w:eastAsia="Calibri"/>
      <w:sz w:val="20"/>
      <w:szCs w:val="20"/>
      <w:lang w:val="x-none" w:eastAsia="x-none"/>
    </w:rPr>
  </w:style>
  <w:style w:type="paragraph" w:customStyle="1" w:styleId="AANagwek1">
    <w:name w:val="*AA Nagłówek 1"/>
    <w:basedOn w:val="05KKGNaglowek1"/>
    <w:link w:val="AANagwek1Znak"/>
    <w:qFormat/>
    <w:rsid w:val="001A143C"/>
    <w:pPr>
      <w:spacing w:after="120"/>
    </w:pPr>
    <w:rPr>
      <w:caps/>
      <w:smallCaps w:val="0"/>
      <w:u w:val="none"/>
    </w:rPr>
  </w:style>
  <w:style w:type="paragraph" w:customStyle="1" w:styleId="rdtytu">
    <w:name w:val="**Śródtytuł"/>
    <w:basedOn w:val="00KKGTekstPoziomu"/>
    <w:link w:val="rdtytuZnak"/>
    <w:qFormat/>
    <w:rsid w:val="001A143C"/>
    <w:pPr>
      <w:spacing w:before="120" w:after="120"/>
    </w:pPr>
    <w:rPr>
      <w:b/>
      <w:i/>
    </w:rPr>
  </w:style>
  <w:style w:type="character" w:customStyle="1" w:styleId="AANagwek1Znak">
    <w:name w:val="*AA Nagłówek 1 Znak"/>
    <w:link w:val="AANagwek1"/>
    <w:rsid w:val="001A143C"/>
    <w:rPr>
      <w:rFonts w:ascii="Tahoma" w:eastAsia="Calibri" w:hAnsi="Tahoma" w:cs="Tahoma"/>
      <w:b/>
      <w:caps/>
      <w:sz w:val="21"/>
      <w:szCs w:val="24"/>
      <w:lang w:eastAsia="x-none"/>
    </w:rPr>
  </w:style>
  <w:style w:type="character" w:customStyle="1" w:styleId="rdtytuZnak">
    <w:name w:val="**Śródtytuł Znak"/>
    <w:link w:val="rdtytu"/>
    <w:rsid w:val="001A143C"/>
    <w:rPr>
      <w:rFonts w:ascii="Tahoma" w:eastAsia="Calibri" w:hAnsi="Tahoma" w:cs="Tahoma"/>
      <w:b/>
      <w:i/>
      <w:sz w:val="20"/>
      <w:szCs w:val="24"/>
      <w:lang w:eastAsia="x-none"/>
    </w:rPr>
  </w:style>
  <w:style w:type="character" w:styleId="Uwydatnienie">
    <w:name w:val="Emphasis"/>
    <w:basedOn w:val="Domylnaczcionkaakapitu"/>
    <w:uiPriority w:val="99"/>
    <w:qFormat/>
    <w:rsid w:val="001A143C"/>
    <w:rPr>
      <w:rFonts w:cs="Times New Roman"/>
      <w:b/>
      <w:bCs/>
    </w:rPr>
  </w:style>
  <w:style w:type="paragraph" w:customStyle="1" w:styleId="AAAPkt1">
    <w:name w:val="AAA Pkt 1"/>
    <w:basedOn w:val="AAAPktI"/>
    <w:link w:val="AAAPkt1Znak"/>
    <w:qFormat/>
    <w:rsid w:val="00D6069D"/>
    <w:pPr>
      <w:tabs>
        <w:tab w:val="clear" w:pos="426"/>
      </w:tabs>
    </w:pPr>
    <w:rPr>
      <w:caps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D6069D"/>
    <w:pPr>
      <w:tabs>
        <w:tab w:val="left" w:pos="851"/>
        <w:tab w:val="right" w:leader="dot" w:pos="9628"/>
      </w:tabs>
      <w:spacing w:after="100"/>
      <w:ind w:left="240"/>
    </w:pPr>
  </w:style>
  <w:style w:type="character" w:customStyle="1" w:styleId="AAAPkt1Znak">
    <w:name w:val="AAA Pkt 1 Znak"/>
    <w:basedOn w:val="AAAPktIZnak"/>
    <w:link w:val="AAAPkt1"/>
    <w:rsid w:val="00D6069D"/>
    <w:rPr>
      <w:rFonts w:ascii="Arial" w:eastAsia="Times New Roman" w:hAnsi="Arial" w:cs="Arial"/>
      <w:b/>
      <w:caps w:val="0"/>
      <w:color w:val="244061" w:themeColor="accent1" w:themeShade="8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 w:qFormat="1"/>
    <w:lsdException w:name="List Number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C73"/>
    <w:pPr>
      <w:keepNext/>
      <w:numPr>
        <w:numId w:val="4"/>
      </w:numPr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B7C73"/>
    <w:pPr>
      <w:numPr>
        <w:ilvl w:val="4"/>
        <w:numId w:val="4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7C73"/>
    <w:pPr>
      <w:numPr>
        <w:ilvl w:val="5"/>
        <w:numId w:val="4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B7C73"/>
    <w:pPr>
      <w:numPr>
        <w:ilvl w:val="6"/>
        <w:numId w:val="4"/>
      </w:numPr>
      <w:spacing w:before="240" w:after="60"/>
      <w:outlineLvl w:val="6"/>
    </w:pPr>
    <w:rPr>
      <w:rFonts w:ascii="Calibri" w:eastAsia="MS Mincho" w:hAnsi="Calibri"/>
    </w:rPr>
  </w:style>
  <w:style w:type="paragraph" w:styleId="Nagwek8">
    <w:name w:val="heading 8"/>
    <w:basedOn w:val="Normalny"/>
    <w:next w:val="Normalny"/>
    <w:link w:val="Nagwek8Znak"/>
    <w:qFormat/>
    <w:rsid w:val="00CB7C73"/>
    <w:pPr>
      <w:numPr>
        <w:ilvl w:val="7"/>
        <w:numId w:val="4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B7C73"/>
    <w:pPr>
      <w:numPr>
        <w:ilvl w:val="8"/>
        <w:numId w:val="4"/>
      </w:numPr>
      <w:spacing w:before="240" w:after="60"/>
      <w:outlineLvl w:val="8"/>
    </w:pPr>
    <w:rPr>
      <w:rFonts w:ascii="Cambria" w:eastAsia="MS Mincho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44A6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044A68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A,FA Fußnotentext,Podrozdział,Podrozdzia3,Footnote,Schriftart: 9 pt,Schriftart: 10 pt,Schriftart: 8 pt,o,Footnote text,Tekst przypisu Znak Znak Znak Znak,Tekst przypisu Znak Znak Znak Znak Znak Char,fußn,Fußnote"/>
    <w:basedOn w:val="Normalny"/>
    <w:link w:val="TekstprzypisudolnegoZnak"/>
    <w:uiPriority w:val="99"/>
    <w:rsid w:val="00044A68"/>
    <w:rPr>
      <w:rFonts w:eastAsia="Batang"/>
      <w:sz w:val="20"/>
      <w:szCs w:val="20"/>
      <w:lang w:eastAsia="ja-JP"/>
    </w:rPr>
  </w:style>
  <w:style w:type="character" w:customStyle="1" w:styleId="TekstprzypisudolnegoZnak">
    <w:name w:val="Tekst przypisu dolnego Znak"/>
    <w:aliases w:val="FA Znak,FA Fußnotentext Znak,Podrozdział Znak,Podrozdzia3 Znak,Footnote Znak,Schriftart: 9 pt Znak,Schriftart: 10 pt Znak,Schriftart: 8 pt Znak,o Znak,Footnote text Znak,Tekst przypisu Znak Znak Znak Znak Znak,fußn Znak"/>
    <w:basedOn w:val="Domylnaczcionkaakapitu"/>
    <w:link w:val="Tekstprzypisudolnego"/>
    <w:uiPriority w:val="99"/>
    <w:rsid w:val="00044A68"/>
    <w:rPr>
      <w:rFonts w:ascii="Times New Roman" w:eastAsia="Batang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aliases w:val="FZ,Footnote symbol,Voetnootverwijzing,Footnote reference number"/>
    <w:uiPriority w:val="99"/>
    <w:rsid w:val="00044A68"/>
    <w:rPr>
      <w:rFonts w:cs="Times New Roman"/>
      <w:vertAlign w:val="superscript"/>
    </w:rPr>
  </w:style>
  <w:style w:type="paragraph" w:styleId="Tekstpodstawowy">
    <w:name w:val="Body Text"/>
    <w:aliases w:val="GT Tekst podstawowy,LOAN,bt,body text,(F2)"/>
    <w:basedOn w:val="Normalny"/>
    <w:link w:val="TekstpodstawowyZnak"/>
    <w:qFormat/>
    <w:rsid w:val="00044A68"/>
    <w:p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character" w:customStyle="1" w:styleId="TekstpodstawowyZnak">
    <w:name w:val="Tekst podstawowy Znak"/>
    <w:aliases w:val="GT Tekst podstawowy Znak,LOAN Znak,bt Znak,body text Znak,(F2) Znak"/>
    <w:basedOn w:val="Domylnaczcionkaakapitu"/>
    <w:link w:val="Tekstpodstawowy"/>
    <w:rsid w:val="00044A68"/>
    <w:rPr>
      <w:rFonts w:ascii="Garamond" w:eastAsia="Times New Roman" w:hAnsi="Garamond" w:cs="Arial"/>
      <w:szCs w:val="20"/>
    </w:rPr>
  </w:style>
  <w:style w:type="paragraph" w:customStyle="1" w:styleId="PktI">
    <w:name w:val="*Pkt I"/>
    <w:basedOn w:val="Akapitzlist"/>
    <w:link w:val="PktIZnak"/>
    <w:qFormat/>
    <w:rsid w:val="00044A68"/>
    <w:pPr>
      <w:numPr>
        <w:numId w:val="2"/>
      </w:numPr>
      <w:spacing w:before="240" w:after="240" w:line="300" w:lineRule="auto"/>
      <w:ind w:left="1077"/>
      <w:contextualSpacing w:val="0"/>
    </w:pPr>
    <w:rPr>
      <w:rFonts w:ascii="Arial" w:hAnsi="Arial" w:cs="Arial"/>
      <w:b/>
      <w:caps/>
      <w:sz w:val="20"/>
      <w:szCs w:val="20"/>
    </w:rPr>
  </w:style>
  <w:style w:type="paragraph" w:customStyle="1" w:styleId="Pkt1">
    <w:name w:val="*Pkt 1"/>
    <w:basedOn w:val="Akapitzlist"/>
    <w:link w:val="Pkt1Znak"/>
    <w:qFormat/>
    <w:rsid w:val="00044A68"/>
    <w:pPr>
      <w:numPr>
        <w:numId w:val="3"/>
      </w:numPr>
      <w:tabs>
        <w:tab w:val="left" w:pos="567"/>
      </w:tabs>
      <w:spacing w:after="120" w:line="300" w:lineRule="auto"/>
      <w:ind w:left="567" w:hanging="567"/>
    </w:pPr>
    <w:rPr>
      <w:rFonts w:ascii="Arial" w:hAnsi="Arial" w:cs="Arial"/>
      <w:b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44A68"/>
    <w:rPr>
      <w:rFonts w:ascii="Calibri" w:eastAsia="Calibri" w:hAnsi="Calibri" w:cs="Times New Roman"/>
    </w:rPr>
  </w:style>
  <w:style w:type="character" w:customStyle="1" w:styleId="PktIZnak">
    <w:name w:val="*Pkt I Znak"/>
    <w:basedOn w:val="AkapitzlistZnak"/>
    <w:link w:val="PktI"/>
    <w:rsid w:val="00044A68"/>
    <w:rPr>
      <w:rFonts w:ascii="Arial" w:eastAsia="Calibri" w:hAnsi="Arial" w:cs="Arial"/>
      <w:b/>
      <w:caps/>
      <w:sz w:val="20"/>
      <w:szCs w:val="20"/>
    </w:rPr>
  </w:style>
  <w:style w:type="paragraph" w:customStyle="1" w:styleId="Pkt11">
    <w:name w:val="*Pkt 1.1."/>
    <w:basedOn w:val="Normalny"/>
    <w:link w:val="Pkt11Znak"/>
    <w:qFormat/>
    <w:rsid w:val="00044A68"/>
    <w:pPr>
      <w:tabs>
        <w:tab w:val="left" w:pos="567"/>
      </w:tabs>
      <w:spacing w:after="120" w:line="300" w:lineRule="auto"/>
      <w:ind w:left="567" w:hanging="567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Pkt1Znak">
    <w:name w:val="*Pkt 1 Znak"/>
    <w:basedOn w:val="AkapitzlistZnak"/>
    <w:link w:val="Pkt1"/>
    <w:rsid w:val="00044A68"/>
    <w:rPr>
      <w:rFonts w:ascii="Arial" w:eastAsia="Calibri" w:hAnsi="Arial" w:cs="Arial"/>
      <w:b/>
      <w:sz w:val="21"/>
      <w:szCs w:val="21"/>
    </w:rPr>
  </w:style>
  <w:style w:type="paragraph" w:customStyle="1" w:styleId="Podtytu">
    <w:name w:val="*Podtytuł"/>
    <w:basedOn w:val="Pkt11"/>
    <w:link w:val="PodtytuZnak"/>
    <w:qFormat/>
    <w:rsid w:val="00044A68"/>
    <w:pPr>
      <w:ind w:firstLine="0"/>
    </w:pPr>
    <w:rPr>
      <w:b w:val="0"/>
      <w:i w:val="0"/>
      <w:u w:val="single"/>
    </w:rPr>
  </w:style>
  <w:style w:type="character" w:customStyle="1" w:styleId="Pkt11Znak">
    <w:name w:val="*Pkt 1.1. Znak"/>
    <w:basedOn w:val="Domylnaczcionkaakapitu"/>
    <w:link w:val="Pkt11"/>
    <w:rsid w:val="00044A68"/>
    <w:rPr>
      <w:rFonts w:ascii="Arial" w:eastAsia="Times New Roman" w:hAnsi="Arial" w:cs="Arial"/>
      <w:b/>
      <w:i/>
      <w:sz w:val="20"/>
      <w:szCs w:val="20"/>
      <w:lang w:eastAsia="pl-PL"/>
    </w:rPr>
  </w:style>
  <w:style w:type="character" w:customStyle="1" w:styleId="PodtytuZnak">
    <w:name w:val="*Podtytuł Znak"/>
    <w:basedOn w:val="Pkt11Znak"/>
    <w:link w:val="Podtytu"/>
    <w:rsid w:val="00044A68"/>
    <w:rPr>
      <w:rFonts w:ascii="Arial" w:eastAsia="Times New Roman" w:hAnsi="Arial" w:cs="Arial"/>
      <w:b w:val="0"/>
      <w:i w:val="0"/>
      <w:sz w:val="20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3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3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C73"/>
    <w:rPr>
      <w:rFonts w:ascii="Cambria" w:eastAsia="MS Mincho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B7C73"/>
    <w:rPr>
      <w:rFonts w:ascii="Calibri" w:eastAsia="MS Mincho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C73"/>
    <w:rPr>
      <w:rFonts w:ascii="Calibri" w:eastAsia="MS Mincho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B7C73"/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B7C73"/>
    <w:rPr>
      <w:rFonts w:ascii="Calibri" w:eastAsia="MS Mincho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7C73"/>
    <w:rPr>
      <w:rFonts w:ascii="Cambria" w:eastAsia="MS Mincho" w:hAnsi="Cambria" w:cs="Times New Roman"/>
      <w:lang w:eastAsia="pl-PL"/>
    </w:rPr>
  </w:style>
  <w:style w:type="paragraph" w:styleId="Listanumerowana">
    <w:name w:val="List Number"/>
    <w:aliases w:val="GT Lista numerowana"/>
    <w:basedOn w:val="Normalny"/>
    <w:qFormat/>
    <w:rsid w:val="009A72B7"/>
    <w:pPr>
      <w:numPr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styleId="Listanumerowana2">
    <w:name w:val="List Number 2"/>
    <w:aliases w:val="GT Lista numerowana 2"/>
    <w:basedOn w:val="Normalny"/>
    <w:qFormat/>
    <w:rsid w:val="009A72B7"/>
    <w:pPr>
      <w:numPr>
        <w:ilvl w:val="1"/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styleId="Listanumerowana3">
    <w:name w:val="List Number 3"/>
    <w:aliases w:val="GT Lista numerowana 3"/>
    <w:basedOn w:val="Normalny"/>
    <w:qFormat/>
    <w:rsid w:val="009A72B7"/>
    <w:pPr>
      <w:numPr>
        <w:ilvl w:val="2"/>
        <w:numId w:val="5"/>
      </w:num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paragraph" w:customStyle="1" w:styleId="NumberedHeading1">
    <w:name w:val="Numbered Heading 1"/>
    <w:next w:val="Tekstpodstawowy"/>
    <w:qFormat/>
    <w:rsid w:val="009A72B7"/>
    <w:pPr>
      <w:numPr>
        <w:numId w:val="6"/>
      </w:numPr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  <w:lang w:val="en-GB"/>
    </w:rPr>
  </w:style>
  <w:style w:type="paragraph" w:customStyle="1" w:styleId="NumberedHeading2">
    <w:name w:val="Numbered Heading 2"/>
    <w:next w:val="Tekstpodstawowy"/>
    <w:qFormat/>
    <w:rsid w:val="009A72B7"/>
    <w:pPr>
      <w:numPr>
        <w:ilvl w:val="1"/>
        <w:numId w:val="6"/>
      </w:numPr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9A72B7"/>
    <w:pPr>
      <w:spacing w:before="100" w:beforeAutospacing="1" w:after="100" w:afterAutospacing="1"/>
    </w:pPr>
  </w:style>
  <w:style w:type="character" w:customStyle="1" w:styleId="changed-paragraph">
    <w:name w:val="changed-paragraph"/>
    <w:rsid w:val="009A72B7"/>
  </w:style>
  <w:style w:type="paragraph" w:styleId="Tekstdymka">
    <w:name w:val="Balloon Text"/>
    <w:basedOn w:val="Normalny"/>
    <w:link w:val="TekstdymkaZnak"/>
    <w:uiPriority w:val="99"/>
    <w:semiHidden/>
    <w:unhideWhenUsed/>
    <w:rsid w:val="00206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1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9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2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29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9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25FC2"/>
    <w:rPr>
      <w:rFonts w:cs="Times New Roman"/>
      <w:color w:val="0000FF"/>
      <w:u w:val="single"/>
    </w:rPr>
  </w:style>
  <w:style w:type="paragraph" w:customStyle="1" w:styleId="AAAPktI">
    <w:name w:val="AAA Pkt I"/>
    <w:basedOn w:val="Normalny"/>
    <w:link w:val="AAAPktIZnak"/>
    <w:qFormat/>
    <w:rsid w:val="00FB4504"/>
    <w:pPr>
      <w:tabs>
        <w:tab w:val="left" w:pos="426"/>
        <w:tab w:val="left" w:pos="567"/>
      </w:tabs>
      <w:spacing w:before="240" w:after="200" w:line="300" w:lineRule="auto"/>
      <w:jc w:val="both"/>
    </w:pPr>
    <w:rPr>
      <w:rFonts w:ascii="Arial" w:hAnsi="Arial" w:cs="Arial"/>
      <w:b/>
      <w:caps/>
      <w:color w:val="244061" w:themeColor="accent1" w:themeShade="80"/>
      <w:sz w:val="22"/>
      <w:szCs w:val="22"/>
    </w:rPr>
  </w:style>
  <w:style w:type="paragraph" w:customStyle="1" w:styleId="AAATekst">
    <w:name w:val="AAA Tekst"/>
    <w:basedOn w:val="Normalny"/>
    <w:link w:val="AAATekstZnak"/>
    <w:qFormat/>
    <w:rsid w:val="00225FC2"/>
    <w:pPr>
      <w:spacing w:before="120" w:after="120"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AAAPktIZnak">
    <w:name w:val="AAA Pkt I Znak"/>
    <w:basedOn w:val="Domylnaczcionkaakapitu"/>
    <w:link w:val="AAAPktI"/>
    <w:rsid w:val="00FB4504"/>
    <w:rPr>
      <w:rFonts w:ascii="Arial" w:eastAsia="Times New Roman" w:hAnsi="Arial" w:cs="Arial"/>
      <w:b/>
      <w:caps/>
      <w:color w:val="244061" w:themeColor="accent1" w:themeShade="80"/>
      <w:lang w:eastAsia="pl-PL"/>
    </w:rPr>
  </w:style>
  <w:style w:type="table" w:styleId="Tabela-Siatka">
    <w:name w:val="Table Grid"/>
    <w:basedOn w:val="Standardowy"/>
    <w:uiPriority w:val="59"/>
    <w:rsid w:val="0022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ATekstZnak">
    <w:name w:val="AAA Tekst Znak"/>
    <w:basedOn w:val="Domylnaczcionkaakapitu"/>
    <w:link w:val="AAATekst"/>
    <w:rsid w:val="00225FC2"/>
    <w:rPr>
      <w:rFonts w:ascii="Arial" w:eastAsia="Times New Roman" w:hAnsi="Arial" w:cs="Arial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6069D"/>
    <w:pPr>
      <w:tabs>
        <w:tab w:val="left" w:pos="426"/>
        <w:tab w:val="right" w:leader="dot" w:pos="9628"/>
      </w:tabs>
      <w:spacing w:after="100"/>
    </w:pPr>
  </w:style>
  <w:style w:type="paragraph" w:styleId="Poprawka">
    <w:name w:val="Revision"/>
    <w:hidden/>
    <w:uiPriority w:val="99"/>
    <w:semiHidden/>
    <w:rsid w:val="002B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5KKGNaglowek1">
    <w:name w:val="*05 KKG Naglowek 1"/>
    <w:basedOn w:val="00KKGTekstPoziomu"/>
    <w:next w:val="00KKGTekstPoziomu"/>
    <w:link w:val="05KKGNaglowek1Char"/>
    <w:qFormat/>
    <w:rsid w:val="001A143C"/>
    <w:pPr>
      <w:keepNext/>
      <w:keepLines/>
      <w:spacing w:before="240"/>
      <w:ind w:hanging="567"/>
    </w:pPr>
    <w:rPr>
      <w:b/>
      <w:smallCaps/>
      <w:sz w:val="21"/>
      <w:u w:val="single"/>
    </w:rPr>
  </w:style>
  <w:style w:type="character" w:customStyle="1" w:styleId="05KKGNaglowek1Char">
    <w:name w:val="*05 KKG Naglowek 1 Char"/>
    <w:link w:val="05KKGNaglowek1"/>
    <w:rsid w:val="001A143C"/>
    <w:rPr>
      <w:rFonts w:ascii="Tahoma" w:eastAsia="Calibri" w:hAnsi="Tahoma" w:cs="Tahoma"/>
      <w:b/>
      <w:smallCaps/>
      <w:sz w:val="21"/>
      <w:szCs w:val="24"/>
      <w:u w:val="single"/>
      <w:lang w:eastAsia="x-none"/>
    </w:rPr>
  </w:style>
  <w:style w:type="paragraph" w:customStyle="1" w:styleId="13KKGPrzypis">
    <w:name w:val="*13 KKG Przypis"/>
    <w:basedOn w:val="Normalny"/>
    <w:qFormat/>
    <w:rsid w:val="001A143C"/>
    <w:pPr>
      <w:spacing w:before="60" w:after="200" w:line="288" w:lineRule="auto"/>
      <w:ind w:left="851"/>
      <w:jc w:val="both"/>
    </w:pPr>
    <w:rPr>
      <w:rFonts w:eastAsia="Calibri"/>
      <w:sz w:val="16"/>
    </w:rPr>
  </w:style>
  <w:style w:type="paragraph" w:customStyle="1" w:styleId="00KKGTekstPoziomu">
    <w:name w:val="*00 KKG Tekst Poziomu"/>
    <w:basedOn w:val="Normalny"/>
    <w:link w:val="00KKGTekstPoziomuChar"/>
    <w:qFormat/>
    <w:rsid w:val="001A143C"/>
    <w:pPr>
      <w:tabs>
        <w:tab w:val="left" w:pos="567"/>
      </w:tabs>
      <w:spacing w:after="60" w:line="276" w:lineRule="auto"/>
      <w:ind w:left="567"/>
      <w:jc w:val="both"/>
    </w:pPr>
    <w:rPr>
      <w:rFonts w:ascii="Tahoma" w:eastAsia="Calibri" w:hAnsi="Tahoma" w:cs="Tahoma"/>
      <w:sz w:val="20"/>
      <w:lang w:eastAsia="x-none"/>
    </w:rPr>
  </w:style>
  <w:style w:type="character" w:customStyle="1" w:styleId="00KKGTekstPoziomuChar">
    <w:name w:val="*00 KKG Tekst Poziomu Char"/>
    <w:link w:val="00KKGTekstPoziomu"/>
    <w:rsid w:val="001A143C"/>
    <w:rPr>
      <w:rFonts w:ascii="Tahoma" w:eastAsia="Calibri" w:hAnsi="Tahoma" w:cs="Tahoma"/>
      <w:sz w:val="20"/>
      <w:szCs w:val="24"/>
      <w:lang w:eastAsia="x-none"/>
    </w:rPr>
  </w:style>
  <w:style w:type="paragraph" w:customStyle="1" w:styleId="11KKGZacznik">
    <w:name w:val="*11 KKG Załącznik"/>
    <w:basedOn w:val="Normalny"/>
    <w:qFormat/>
    <w:rsid w:val="001A143C"/>
    <w:pPr>
      <w:numPr>
        <w:numId w:val="19"/>
      </w:numPr>
      <w:tabs>
        <w:tab w:val="left" w:pos="1418"/>
      </w:tabs>
      <w:spacing w:before="60" w:after="60" w:line="276" w:lineRule="auto"/>
      <w:ind w:left="1418" w:hanging="1418"/>
      <w:contextualSpacing/>
      <w:jc w:val="both"/>
    </w:pPr>
    <w:rPr>
      <w:rFonts w:eastAsia="Calibri"/>
      <w:sz w:val="20"/>
      <w:szCs w:val="20"/>
      <w:lang w:val="x-none" w:eastAsia="x-none"/>
    </w:rPr>
  </w:style>
  <w:style w:type="paragraph" w:customStyle="1" w:styleId="AANagwek1">
    <w:name w:val="*AA Nagłówek 1"/>
    <w:basedOn w:val="05KKGNaglowek1"/>
    <w:link w:val="AANagwek1Znak"/>
    <w:qFormat/>
    <w:rsid w:val="001A143C"/>
    <w:pPr>
      <w:spacing w:after="120"/>
    </w:pPr>
    <w:rPr>
      <w:caps/>
      <w:smallCaps w:val="0"/>
      <w:u w:val="none"/>
    </w:rPr>
  </w:style>
  <w:style w:type="paragraph" w:customStyle="1" w:styleId="rdtytu">
    <w:name w:val="**Śródtytuł"/>
    <w:basedOn w:val="00KKGTekstPoziomu"/>
    <w:link w:val="rdtytuZnak"/>
    <w:qFormat/>
    <w:rsid w:val="001A143C"/>
    <w:pPr>
      <w:spacing w:before="120" w:after="120"/>
    </w:pPr>
    <w:rPr>
      <w:b/>
      <w:i/>
    </w:rPr>
  </w:style>
  <w:style w:type="character" w:customStyle="1" w:styleId="AANagwek1Znak">
    <w:name w:val="*AA Nagłówek 1 Znak"/>
    <w:link w:val="AANagwek1"/>
    <w:rsid w:val="001A143C"/>
    <w:rPr>
      <w:rFonts w:ascii="Tahoma" w:eastAsia="Calibri" w:hAnsi="Tahoma" w:cs="Tahoma"/>
      <w:b/>
      <w:caps/>
      <w:sz w:val="21"/>
      <w:szCs w:val="24"/>
      <w:lang w:eastAsia="x-none"/>
    </w:rPr>
  </w:style>
  <w:style w:type="character" w:customStyle="1" w:styleId="rdtytuZnak">
    <w:name w:val="**Śródtytuł Znak"/>
    <w:link w:val="rdtytu"/>
    <w:rsid w:val="001A143C"/>
    <w:rPr>
      <w:rFonts w:ascii="Tahoma" w:eastAsia="Calibri" w:hAnsi="Tahoma" w:cs="Tahoma"/>
      <w:b/>
      <w:i/>
      <w:sz w:val="20"/>
      <w:szCs w:val="24"/>
      <w:lang w:eastAsia="x-none"/>
    </w:rPr>
  </w:style>
  <w:style w:type="character" w:styleId="Uwydatnienie">
    <w:name w:val="Emphasis"/>
    <w:basedOn w:val="Domylnaczcionkaakapitu"/>
    <w:uiPriority w:val="99"/>
    <w:qFormat/>
    <w:rsid w:val="001A143C"/>
    <w:rPr>
      <w:rFonts w:cs="Times New Roman"/>
      <w:b/>
      <w:bCs/>
    </w:rPr>
  </w:style>
  <w:style w:type="paragraph" w:customStyle="1" w:styleId="AAAPkt1">
    <w:name w:val="AAA Pkt 1"/>
    <w:basedOn w:val="AAAPktI"/>
    <w:link w:val="AAAPkt1Znak"/>
    <w:qFormat/>
    <w:rsid w:val="00D6069D"/>
    <w:pPr>
      <w:tabs>
        <w:tab w:val="clear" w:pos="426"/>
      </w:tabs>
    </w:pPr>
    <w:rPr>
      <w:caps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D6069D"/>
    <w:pPr>
      <w:tabs>
        <w:tab w:val="left" w:pos="851"/>
        <w:tab w:val="right" w:leader="dot" w:pos="9628"/>
      </w:tabs>
      <w:spacing w:after="100"/>
      <w:ind w:left="240"/>
    </w:pPr>
  </w:style>
  <w:style w:type="character" w:customStyle="1" w:styleId="AAAPkt1Znak">
    <w:name w:val="AAA Pkt 1 Znak"/>
    <w:basedOn w:val="AAAPktIZnak"/>
    <w:link w:val="AAAPkt1"/>
    <w:rsid w:val="00D6069D"/>
    <w:rPr>
      <w:rFonts w:ascii="Arial" w:eastAsia="Times New Roman" w:hAnsi="Arial" w:cs="Arial"/>
      <w:b/>
      <w:caps w:val="0"/>
      <w:color w:val="244061" w:themeColor="accent1" w:themeShade="8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jm.gov.pl" TargetMode="External"/><Relationship Id="rId2" Type="http://schemas.openxmlformats.org/officeDocument/2006/relationships/hyperlink" Target="http://www.sejm.gov.pl" TargetMode="External"/><Relationship Id="rId1" Type="http://schemas.openxmlformats.org/officeDocument/2006/relationships/hyperlink" Target="http://www.sejm.gov.pl" TargetMode="External"/><Relationship Id="rId6" Type="http://schemas.openxmlformats.org/officeDocument/2006/relationships/hyperlink" Target="http://ec.europa.eu/consumers/archive/redress_cons/greenpaper_pl.pdf" TargetMode="External"/><Relationship Id="rId5" Type="http://schemas.openxmlformats.org/officeDocument/2006/relationships/hyperlink" Target="http://eur-lex.europa.eu/legal-content/PL/TXT/?uri=CELEX:32013H0396" TargetMode="External"/><Relationship Id="rId4" Type="http://schemas.openxmlformats.org/officeDocument/2006/relationships/hyperlink" Target="http://ec.europa.eu/consumers/archive/redress_cons/greenpaper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EC01-A327-4F83-A4AD-CCF8BB30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4649</Words>
  <Characters>27895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Skrzek Katarzyna</cp:lastModifiedBy>
  <cp:revision>2</cp:revision>
  <cp:lastPrinted>2016-07-11T10:55:00Z</cp:lastPrinted>
  <dcterms:created xsi:type="dcterms:W3CDTF">2016-07-11T13:08:00Z</dcterms:created>
  <dcterms:modified xsi:type="dcterms:W3CDTF">2016-07-11T13:08:00Z</dcterms:modified>
</cp:coreProperties>
</file>