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31"/>
        <w:gridCol w:w="465"/>
        <w:gridCol w:w="414"/>
        <w:gridCol w:w="155"/>
        <w:gridCol w:w="187"/>
        <w:gridCol w:w="383"/>
        <w:gridCol w:w="522"/>
        <w:gridCol w:w="142"/>
        <w:gridCol w:w="9"/>
        <w:gridCol w:w="278"/>
        <w:gridCol w:w="369"/>
        <w:gridCol w:w="201"/>
        <w:gridCol w:w="570"/>
        <w:gridCol w:w="102"/>
        <w:gridCol w:w="65"/>
        <w:gridCol w:w="403"/>
        <w:gridCol w:w="135"/>
        <w:gridCol w:w="399"/>
        <w:gridCol w:w="35"/>
        <w:gridCol w:w="809"/>
        <w:gridCol w:w="282"/>
        <w:gridCol w:w="333"/>
        <w:gridCol w:w="237"/>
        <w:gridCol w:w="570"/>
        <w:gridCol w:w="131"/>
        <w:gridCol w:w="1406"/>
        <w:gridCol w:w="10"/>
        <w:gridCol w:w="6"/>
        <w:gridCol w:w="6"/>
        <w:gridCol w:w="10"/>
        <w:gridCol w:w="16"/>
      </w:tblGrid>
      <w:tr w:rsidR="006A701A" w:rsidRPr="008B4FE6" w:rsidTr="00FC3157">
        <w:trPr>
          <w:gridAfter w:val="1"/>
          <w:wAfter w:w="16" w:type="dxa"/>
          <w:trHeight w:val="1611"/>
        </w:trPr>
        <w:tc>
          <w:tcPr>
            <w:tcW w:w="5924" w:type="dxa"/>
            <w:gridSpan w:val="15"/>
          </w:tcPr>
          <w:p w:rsidR="0053383E" w:rsidRPr="005966CB" w:rsidRDefault="006A701A" w:rsidP="00082AD5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5966CB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5966CB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E30B1D" w:rsidRDefault="00E30B1D" w:rsidP="00082AD5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E30B1D">
              <w:rPr>
                <w:rFonts w:ascii="Times New Roman" w:hAnsi="Times New Roman"/>
                <w:color w:val="000000"/>
              </w:rPr>
              <w:t>Rozporządzenie Ministra Rozwoju zmieniające rozporządzenie  w sprawie szczegółowego zakresu i formy projektu budowlanego.</w:t>
            </w:r>
          </w:p>
          <w:p w:rsidR="006A701A" w:rsidRPr="005966CB" w:rsidRDefault="006A701A" w:rsidP="00082AD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8F660D" w:rsidRDefault="00BA04A8" w:rsidP="00082A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66CB">
              <w:rPr>
                <w:rFonts w:ascii="Times New Roman" w:hAnsi="Times New Roman"/>
                <w:color w:val="000000"/>
              </w:rPr>
              <w:t>Minister</w:t>
            </w:r>
            <w:r w:rsidR="002106A4">
              <w:rPr>
                <w:rFonts w:ascii="Times New Roman" w:hAnsi="Times New Roman"/>
                <w:color w:val="000000"/>
              </w:rPr>
              <w:t>stwo</w:t>
            </w:r>
            <w:r w:rsidRPr="005966CB">
              <w:rPr>
                <w:rFonts w:ascii="Times New Roman" w:hAnsi="Times New Roman"/>
                <w:color w:val="000000"/>
              </w:rPr>
              <w:t xml:space="preserve"> Rozwoju</w:t>
            </w:r>
          </w:p>
          <w:p w:rsidR="003821E8" w:rsidRPr="005966CB" w:rsidRDefault="003821E8" w:rsidP="00082A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C20BB6" w:rsidRDefault="001B3460" w:rsidP="00082AD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20BB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BA04A8" w:rsidRPr="005966CB" w:rsidRDefault="001B37CF" w:rsidP="00082A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 Krzysztof Nowicki, Podsekretarz Stanu</w:t>
            </w:r>
          </w:p>
          <w:p w:rsidR="008F660D" w:rsidRPr="005966CB" w:rsidRDefault="008F660D" w:rsidP="00082AD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6A701A" w:rsidRPr="005966CB" w:rsidRDefault="006A701A" w:rsidP="00082AD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966C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516AF2" w:rsidRPr="00516AF2" w:rsidRDefault="003A345A" w:rsidP="00516AF2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Iwona Klimek</w:t>
            </w:r>
            <w:r w:rsidR="00516AF2" w:rsidRPr="00516AF2">
              <w:rPr>
                <w:rFonts w:ascii="Times New Roman" w:hAnsi="Times New Roman"/>
                <w:bCs/>
              </w:rPr>
              <w:t xml:space="preserve"> – Departament Architektury, Budownictwa i Geodezji, Ministerstwo Rozwoju </w:t>
            </w:r>
          </w:p>
          <w:p w:rsidR="0053383E" w:rsidRDefault="00516AF2" w:rsidP="00516AF2">
            <w:pPr>
              <w:spacing w:line="240" w:lineRule="auto"/>
              <w:rPr>
                <w:rFonts w:ascii="Times New Roman" w:hAnsi="Times New Roman"/>
                <w:bCs/>
                <w:lang w:val="de-DE"/>
              </w:rPr>
            </w:pPr>
            <w:r w:rsidRPr="00B12E14">
              <w:rPr>
                <w:rFonts w:ascii="Times New Roman" w:hAnsi="Times New Roman"/>
                <w:bCs/>
                <w:lang w:val="de-DE"/>
              </w:rPr>
              <w:t>tel.: (22) 522 51 1</w:t>
            </w:r>
            <w:r w:rsidR="003A345A" w:rsidRPr="00B12E14">
              <w:rPr>
                <w:rFonts w:ascii="Times New Roman" w:hAnsi="Times New Roman"/>
                <w:bCs/>
                <w:lang w:val="de-DE"/>
              </w:rPr>
              <w:t>5</w:t>
            </w:r>
            <w:r w:rsidRPr="00B12E14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B12E14">
              <w:rPr>
                <w:rFonts w:ascii="Times New Roman" w:hAnsi="Times New Roman"/>
                <w:bCs/>
                <w:lang w:val="de-DE"/>
              </w:rPr>
              <w:t>adres</w:t>
            </w:r>
            <w:proofErr w:type="spellEnd"/>
            <w:r w:rsidRPr="00B12E14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B12E14">
              <w:rPr>
                <w:rFonts w:ascii="Times New Roman" w:hAnsi="Times New Roman"/>
                <w:bCs/>
                <w:lang w:val="de-DE"/>
              </w:rPr>
              <w:t>e-mail</w:t>
            </w:r>
            <w:proofErr w:type="spellEnd"/>
            <w:r w:rsidRPr="00B12E14">
              <w:rPr>
                <w:rFonts w:ascii="Times New Roman" w:hAnsi="Times New Roman"/>
                <w:bCs/>
                <w:lang w:val="de-DE"/>
              </w:rPr>
              <w:t xml:space="preserve">: </w:t>
            </w:r>
            <w:r w:rsidR="00B065BA">
              <w:rPr>
                <w:rFonts w:ascii="Times New Roman" w:hAnsi="Times New Roman"/>
                <w:bCs/>
                <w:lang w:val="de-DE"/>
              </w:rPr>
              <w:t>iwona.klimek@miir.gov.pl</w:t>
            </w:r>
          </w:p>
          <w:p w:rsidR="006A701A" w:rsidRPr="00B12E14" w:rsidRDefault="006A701A" w:rsidP="00D51B53">
            <w:pPr>
              <w:spacing w:line="240" w:lineRule="auto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4837" w:type="dxa"/>
            <w:gridSpan w:val="16"/>
            <w:shd w:val="clear" w:color="auto" w:fill="FFFFFF"/>
          </w:tcPr>
          <w:p w:rsidR="001B3460" w:rsidRPr="00C20BB6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20BB6">
              <w:rPr>
                <w:rFonts w:ascii="Times New Roman" w:hAnsi="Times New Roman"/>
                <w:b/>
              </w:rPr>
              <w:t>Data sporządzenia</w:t>
            </w:r>
            <w:r w:rsidRPr="00C20BB6">
              <w:rPr>
                <w:rFonts w:ascii="Times New Roman" w:hAnsi="Times New Roman"/>
                <w:b/>
              </w:rPr>
              <w:br/>
            </w:r>
            <w:r w:rsidR="00B5610E">
              <w:rPr>
                <w:rFonts w:ascii="Times New Roman" w:hAnsi="Times New Roman"/>
              </w:rPr>
              <w:t>20 grudnia 2019 r.</w:t>
            </w:r>
          </w:p>
          <w:p w:rsidR="00F76884" w:rsidRPr="005966CB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5966CB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966CB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E30B1D" w:rsidRDefault="00E30B1D" w:rsidP="007943E2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B1D">
              <w:rPr>
                <w:rFonts w:ascii="Times New Roman" w:hAnsi="Times New Roman"/>
                <w:sz w:val="24"/>
                <w:szCs w:val="24"/>
              </w:rPr>
              <w:t>art. 34 ust. 6 pkt 1 ustawy z dnia 7 lipca 1994 r. – Prawo budowlane  (Dz. U. z 2019 r. poz. 1186, z późn.zm.).</w:t>
            </w:r>
          </w:p>
          <w:p w:rsidR="006A701A" w:rsidRPr="005966CB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5966CB">
              <w:rPr>
                <w:rFonts w:ascii="Times New Roman" w:hAnsi="Times New Roman"/>
                <w:b/>
                <w:color w:val="000000"/>
              </w:rPr>
              <w:t>w</w:t>
            </w:r>
            <w:r w:rsidRPr="005966CB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5966CB">
              <w:rPr>
                <w:rFonts w:ascii="Times New Roman" w:hAnsi="Times New Roman"/>
                <w:b/>
                <w:color w:val="000000"/>
              </w:rPr>
              <w:t>ie</w:t>
            </w:r>
            <w:r w:rsidRPr="005966CB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5966CB" w:rsidRDefault="000F6556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  <w:p w:rsidR="006A701A" w:rsidRPr="00C20BB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:rsidTr="00FC3157">
        <w:trPr>
          <w:gridAfter w:val="1"/>
          <w:wAfter w:w="16" w:type="dxa"/>
          <w:trHeight w:val="142"/>
        </w:trPr>
        <w:tc>
          <w:tcPr>
            <w:tcW w:w="10761" w:type="dxa"/>
            <w:gridSpan w:val="31"/>
            <w:shd w:val="clear" w:color="auto" w:fill="99CCFF"/>
          </w:tcPr>
          <w:p w:rsidR="006A701A" w:rsidRPr="005966CB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5966CB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FC3157">
        <w:trPr>
          <w:gridAfter w:val="1"/>
          <w:wAfter w:w="16" w:type="dxa"/>
          <w:trHeight w:val="500"/>
        </w:trPr>
        <w:tc>
          <w:tcPr>
            <w:tcW w:w="10761" w:type="dxa"/>
            <w:gridSpan w:val="31"/>
            <w:shd w:val="clear" w:color="auto" w:fill="99CCFF"/>
            <w:vAlign w:val="center"/>
          </w:tcPr>
          <w:p w:rsidR="006A701A" w:rsidRPr="005966CB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5966CB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8B4FE6" w:rsidTr="0047013B">
        <w:trPr>
          <w:gridAfter w:val="1"/>
          <w:wAfter w:w="16" w:type="dxa"/>
          <w:trHeight w:val="7017"/>
        </w:trPr>
        <w:tc>
          <w:tcPr>
            <w:tcW w:w="10761" w:type="dxa"/>
            <w:gridSpan w:val="31"/>
            <w:shd w:val="clear" w:color="auto" w:fill="FFFFFF"/>
          </w:tcPr>
          <w:p w:rsidR="00E30B1D" w:rsidRDefault="00E30B1D" w:rsidP="00E30B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0B1D">
              <w:rPr>
                <w:rFonts w:ascii="Times New Roman" w:hAnsi="Times New Roman"/>
                <w:color w:val="000000"/>
                <w:spacing w:val="-2"/>
              </w:rPr>
              <w:t>Głównym celem nowelizacji rozporządzenia jest wdrożenie części postanowień dyrektywy 2018/844/UE z dnia 30 maja 2018 r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>zmieniającej dyrektywę 2010/31/UE w sprawie charakterystyki energetycznej budynków i dyrektywę 2012/27/UE w sprawie efektywności energetycznej (Dz. Urz. UE. L Nr 156, str. 75)</w:t>
            </w:r>
            <w:r w:rsidR="00191C68" w:rsidRPr="00191C68">
              <w:rPr>
                <w:rFonts w:ascii="Times New Roman" w:hAnsi="Times New Roman"/>
                <w:color w:val="000000"/>
                <w:spacing w:val="-2"/>
              </w:rPr>
              <w:t xml:space="preserve">, zwanej dalej 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="00191C68" w:rsidRPr="00191C68">
              <w:rPr>
                <w:rFonts w:ascii="Times New Roman" w:hAnsi="Times New Roman"/>
                <w:color w:val="000000"/>
                <w:spacing w:val="-2"/>
              </w:rPr>
              <w:t>dyrektywą zmieniającą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>”.</w:t>
            </w:r>
          </w:p>
          <w:p w:rsidR="004F60E6" w:rsidRDefault="00E24ED2" w:rsidP="00E30B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E24ED2">
              <w:rPr>
                <w:rFonts w:ascii="Times New Roman" w:hAnsi="Times New Roman"/>
                <w:color w:val="000000"/>
                <w:spacing w:val="-2"/>
              </w:rPr>
              <w:t xml:space="preserve">godnie z art. 8 ust. 1 </w:t>
            </w:r>
            <w:r w:rsidR="005304C3" w:rsidRPr="005304C3">
              <w:rPr>
                <w:rFonts w:ascii="Times New Roman" w:hAnsi="Times New Roman"/>
                <w:color w:val="000000"/>
                <w:spacing w:val="-2"/>
              </w:rPr>
              <w:t>dyrektywy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 xml:space="preserve"> 2010/31/UE </w:t>
            </w:r>
            <w:r w:rsidR="00FD30E4">
              <w:rPr>
                <w:rFonts w:ascii="Times New Roman" w:hAnsi="Times New Roman"/>
                <w:color w:val="000000"/>
                <w:spacing w:val="-2"/>
              </w:rPr>
              <w:t>w brz</w:t>
            </w:r>
            <w:r w:rsidR="00191C68" w:rsidRPr="00191C68">
              <w:rPr>
                <w:rFonts w:ascii="Times New Roman" w:hAnsi="Times New Roman"/>
                <w:color w:val="000000"/>
                <w:spacing w:val="-2"/>
              </w:rPr>
              <w:t>mieniu nadanym dyrektywą zmieniającą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304C3" w:rsidRPr="005304C3">
              <w:rPr>
                <w:rFonts w:ascii="Times New Roman" w:hAnsi="Times New Roman"/>
                <w:color w:val="000000"/>
                <w:spacing w:val="-2"/>
              </w:rPr>
              <w:t xml:space="preserve">wymagane jest, aby nowe budynki, jeżeli jest to możliwe z technicznego i ekonomicznego punktu widzenia, </w:t>
            </w:r>
            <w:r w:rsidR="005304C3" w:rsidRPr="002A7A1F">
              <w:rPr>
                <w:rFonts w:ascii="Times New Roman" w:hAnsi="Times New Roman"/>
                <w:i/>
                <w:color w:val="000000"/>
                <w:spacing w:val="-2"/>
              </w:rPr>
              <w:t>były wyposażone w samoregulujące się urządzenia, które regulują temperaturę oddzielnie w poszczególnych pomieszczeniach lub, w uzasadnionych przypadkach, w wyznaczonej strefie ogrzewanej modułu budynku. W istniejących budynkach instalacja takich urządzeń samoregulujących wymagana jest w przypadku wymiany źródeł ciepła, jeżeli jest to możliwe z technicznego i ekonomicznego punktu widzenia.</w:t>
            </w:r>
          </w:p>
          <w:p w:rsidR="00E30B1D" w:rsidRPr="002A7A1F" w:rsidRDefault="00E24ED2" w:rsidP="00E30B1D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Dodatkowo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</w:t>
            </w:r>
            <w:r w:rsidR="00E30B1D" w:rsidRPr="00E30B1D">
              <w:rPr>
                <w:rFonts w:ascii="Times New Roman" w:hAnsi="Times New Roman"/>
                <w:color w:val="000000"/>
                <w:spacing w:val="-2"/>
              </w:rPr>
              <w:t>godnie z art. 8 us</w:t>
            </w:r>
            <w:r w:rsidR="00DE26F6">
              <w:rPr>
                <w:rFonts w:ascii="Times New Roman" w:hAnsi="Times New Roman"/>
                <w:color w:val="000000"/>
                <w:spacing w:val="-2"/>
              </w:rPr>
              <w:t>t. 2 dyrektywy 2010/31/UE w brz</w:t>
            </w:r>
            <w:r w:rsidR="00E30B1D" w:rsidRPr="00E30B1D">
              <w:rPr>
                <w:rFonts w:ascii="Times New Roman" w:hAnsi="Times New Roman"/>
                <w:color w:val="000000"/>
                <w:spacing w:val="-2"/>
              </w:rPr>
              <w:t xml:space="preserve">mieniu nadanym dyrektywą zmieniającą, </w:t>
            </w:r>
            <w:r w:rsidR="00E30B1D" w:rsidRPr="002A7A1F">
              <w:rPr>
                <w:rFonts w:ascii="Times New Roman" w:hAnsi="Times New Roman"/>
                <w:i/>
                <w:color w:val="000000"/>
                <w:spacing w:val="-2"/>
              </w:rPr>
              <w:t>w odniesieniu do nowych budynków niemieszkalnych i budynków niemieszkalnych poddawanych ważniejszym renowacjom, mających więcej niż dziesięć miejsc parkingowych, państwa członkowskie zapewniają instalację co najmniej jednego punktu ładowania w rozumieniu dyrektywy Parlamentu Europejskiego i Rady 2014/94/UE w sprawie rozwoju infrastruktury paliw alternatywnych, wraz z infrastrukturą kanałową, mianowicie kanałami na przewody elektryczne, na co najmniej jednym na pięć miejsc parkingowych, aby umożliwić zainstalowanie na późniejszym etapie punktów ładowania przeznaczonych dla pojazdów elektrycznych.</w:t>
            </w:r>
          </w:p>
          <w:p w:rsidR="00E30B1D" w:rsidRPr="00E30B1D" w:rsidRDefault="00E30B1D" w:rsidP="00E30B1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30B1D">
              <w:rPr>
                <w:rFonts w:ascii="Times New Roman" w:hAnsi="Times New Roman"/>
                <w:color w:val="000000"/>
                <w:spacing w:val="-2"/>
              </w:rPr>
              <w:t>Ponadto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 xml:space="preserve"> zgodnie z art. 8 ust. 5 dyrektywy 201</w:t>
            </w:r>
            <w:r w:rsidR="00300C9B">
              <w:rPr>
                <w:rFonts w:ascii="Times New Roman" w:hAnsi="Times New Roman"/>
                <w:color w:val="000000"/>
                <w:spacing w:val="-2"/>
              </w:rPr>
              <w:t>0/31/UE w brz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 xml:space="preserve">mieniu nadanym dyrektywą zmieniającą, w odniesieniu do nowych budynków mieszkalnych i budynków mieszkalnych poddawanych ważniejszym renowacjom, </w:t>
            </w:r>
            <w:r w:rsidR="0086142A">
              <w:rPr>
                <w:rFonts w:ascii="Times New Roman" w:hAnsi="Times New Roman"/>
                <w:color w:val="000000"/>
                <w:spacing w:val="-2"/>
              </w:rPr>
              <w:t xml:space="preserve">do których należy 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 xml:space="preserve">więcej niż dziesięć miejsc parkingowych, państwa członkowskie zapewniają instalację infrastruktury kanałowej, mianowicie kanałów na przewody elektryczne na wszystkich miejscach parkingowych, aby umożliwić zainstalowanie </w:t>
            </w:r>
            <w:r w:rsidR="003044F7" w:rsidRPr="003044F7">
              <w:rPr>
                <w:rFonts w:ascii="Times New Roman" w:hAnsi="Times New Roman"/>
                <w:color w:val="000000"/>
                <w:spacing w:val="-2"/>
              </w:rPr>
              <w:t xml:space="preserve">w przyszłości 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>punktów ładowania dla pojazdów elektrycznych.</w:t>
            </w:r>
          </w:p>
          <w:p w:rsidR="00616556" w:rsidRPr="005966CB" w:rsidRDefault="00E30B1D" w:rsidP="003044F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0B1D">
              <w:rPr>
                <w:rFonts w:ascii="Times New Roman" w:hAnsi="Times New Roman"/>
                <w:color w:val="000000"/>
                <w:spacing w:val="-2"/>
              </w:rPr>
              <w:t xml:space="preserve">W wyniku nowelizacji do rozporządzenia zostaną wprowadzone przepisy określające sposób uwzględnienia </w:t>
            </w:r>
            <w:r w:rsidR="0047013B">
              <w:rPr>
                <w:rFonts w:ascii="Times New Roman" w:hAnsi="Times New Roman"/>
                <w:color w:val="000000"/>
                <w:spacing w:val="-2"/>
              </w:rPr>
              <w:t xml:space="preserve">w projekcie budowalnym 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 xml:space="preserve">kwestii </w:t>
            </w:r>
            <w:r w:rsidR="00E24ED2" w:rsidRPr="00E30B1D">
              <w:rPr>
                <w:rFonts w:ascii="Times New Roman" w:hAnsi="Times New Roman"/>
                <w:color w:val="000000"/>
                <w:spacing w:val="-2"/>
              </w:rPr>
              <w:t xml:space="preserve">systemów automatyki </w:t>
            </w:r>
            <w:r w:rsidR="00E24ED2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>instalacji punktów ładowania lub infrastruktury kanałowej na potrzeby ładowania pojazdów elektrycznych na etapie o</w:t>
            </w:r>
            <w:r w:rsidR="00F877AF">
              <w:rPr>
                <w:rFonts w:ascii="Times New Roman" w:hAnsi="Times New Roman"/>
                <w:color w:val="000000"/>
                <w:spacing w:val="-2"/>
              </w:rPr>
              <w:t>pracowania projektu budowlanego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 xml:space="preserve"> zgodnie z postanowieniami dyrektywy </w:t>
            </w:r>
            <w:r w:rsidR="003044F7">
              <w:rPr>
                <w:rFonts w:ascii="Times New Roman" w:hAnsi="Times New Roman"/>
                <w:color w:val="000000"/>
                <w:spacing w:val="-2"/>
              </w:rPr>
              <w:t>zmieniającej</w:t>
            </w:r>
            <w:r w:rsidRPr="00E30B1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:rsidTr="00FC3157">
        <w:trPr>
          <w:gridAfter w:val="1"/>
          <w:wAfter w:w="16" w:type="dxa"/>
          <w:trHeight w:val="550"/>
        </w:trPr>
        <w:tc>
          <w:tcPr>
            <w:tcW w:w="10761" w:type="dxa"/>
            <w:gridSpan w:val="31"/>
            <w:shd w:val="clear" w:color="auto" w:fill="99CCFF"/>
            <w:vAlign w:val="center"/>
          </w:tcPr>
          <w:p w:rsidR="006A701A" w:rsidRPr="005966CB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B4FE6" w:rsidTr="00FC3157">
        <w:trPr>
          <w:gridAfter w:val="1"/>
          <w:wAfter w:w="16" w:type="dxa"/>
          <w:trHeight w:val="142"/>
        </w:trPr>
        <w:tc>
          <w:tcPr>
            <w:tcW w:w="10761" w:type="dxa"/>
            <w:gridSpan w:val="31"/>
            <w:shd w:val="clear" w:color="auto" w:fill="auto"/>
          </w:tcPr>
          <w:p w:rsidR="00E24ED2" w:rsidRDefault="00E24ED2" w:rsidP="00C02CE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wdrożenie </w:t>
            </w:r>
            <w:r w:rsidRPr="00E24ED2">
              <w:rPr>
                <w:rFonts w:ascii="Times New Roman" w:hAnsi="Times New Roman"/>
                <w:color w:val="000000"/>
                <w:spacing w:val="-2"/>
              </w:rPr>
              <w:t>części postanowień dyrektywy 2018/844/UE z dnia 30 maja 2018 r. zmieniającej dyrektywę 2010/31/UE w sprawie charakterystyki energetycznej budynków i dyrektywę 2012/27/UE w sprawie efektywności energetycznej (Dz. Urz. UE. L Nr 156, str. 75)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konieczna jest nowelizacja rozporządzenia</w:t>
            </w:r>
            <w:r w:rsidR="0027462D">
              <w:rPr>
                <w:rFonts w:ascii="Times New Roman" w:hAnsi="Times New Roman"/>
                <w:color w:val="000000"/>
                <w:spacing w:val="-2"/>
              </w:rPr>
              <w:t xml:space="preserve"> Ministra Transportu, Budownictwa i Gospodarki Morskiej z dnia 25 kwietnia 2012 r.</w:t>
            </w:r>
            <w:r w:rsidRPr="00E30B1D">
              <w:rPr>
                <w:rFonts w:ascii="Times New Roman" w:hAnsi="Times New Roman"/>
                <w:color w:val="000000"/>
              </w:rPr>
              <w:t xml:space="preserve"> w sprawie szczegółowego zakresu i formy projektu budowlanego</w:t>
            </w:r>
            <w:r w:rsidRPr="00E24ED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27462D" w:rsidRDefault="0027462D" w:rsidP="00C02CE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rozporządzeniu proponuje się wprowadzenie następujących zmian:</w:t>
            </w:r>
          </w:p>
          <w:p w:rsidR="0047013B" w:rsidRDefault="0047013B" w:rsidP="0047013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7013B">
              <w:rPr>
                <w:rFonts w:ascii="Times New Roman" w:hAnsi="Times New Roman"/>
                <w:color w:val="000000"/>
                <w:spacing w:val="-2"/>
              </w:rPr>
              <w:t xml:space="preserve">w stosunku do dotychczasowego brzmienia rozporządzenia zmieniono § 11 ust. 2 pkt 8 wprowadzając do opisu technicznego projektu architektoniczno-budowlanego obiektu budowlanego kwestie dotyczące uwzględnienia wyposażenia budynków w urządzenia, które automatycznie regulują temperaturę oddzielnie w poszczególnych </w:t>
            </w:r>
            <w:r w:rsidRPr="0047013B">
              <w:rPr>
                <w:rFonts w:ascii="Times New Roman" w:hAnsi="Times New Roman"/>
                <w:color w:val="000000"/>
                <w:spacing w:val="-2"/>
              </w:rPr>
              <w:lastRenderedPageBreak/>
              <w:t>pomieszczeniach lub w wyznaczonej strefie ogrzewanej,</w:t>
            </w:r>
          </w:p>
          <w:p w:rsidR="00872825" w:rsidRDefault="00872825" w:rsidP="0087282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72825">
              <w:rPr>
                <w:rFonts w:ascii="Times New Roman" w:hAnsi="Times New Roman"/>
                <w:color w:val="000000"/>
                <w:spacing w:val="-2"/>
              </w:rPr>
              <w:t xml:space="preserve">w § 11 w ust. 2 zmieniono brzmienie pkt 12 w na treść zgodną z </w:t>
            </w:r>
            <w:r w:rsidR="00B5610E">
              <w:rPr>
                <w:rFonts w:ascii="Times New Roman" w:hAnsi="Times New Roman"/>
                <w:color w:val="000000"/>
                <w:spacing w:val="-2"/>
              </w:rPr>
              <w:t xml:space="preserve">postanowieniami </w:t>
            </w:r>
            <w:r w:rsidRPr="00872825">
              <w:rPr>
                <w:rFonts w:ascii="Times New Roman" w:hAnsi="Times New Roman"/>
                <w:color w:val="000000"/>
                <w:spacing w:val="-2"/>
              </w:rPr>
              <w:t>dyrektyw</w:t>
            </w:r>
            <w:r w:rsidR="00DD0CB5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87282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2018/844/UE,</w:t>
            </w:r>
            <w:r w:rsidR="00DD0CB5">
              <w:rPr>
                <w:rFonts w:ascii="Times New Roman" w:hAnsi="Times New Roman"/>
                <w:color w:val="000000"/>
                <w:spacing w:val="-2"/>
              </w:rPr>
              <w:t xml:space="preserve"> dotyczącą </w:t>
            </w:r>
            <w:r w:rsidR="00DD0CB5" w:rsidRPr="00DD0CB5">
              <w:rPr>
                <w:rFonts w:ascii="Times New Roman" w:hAnsi="Times New Roman"/>
                <w:i/>
                <w:color w:val="000000"/>
                <w:spacing w:val="-2"/>
              </w:rPr>
              <w:t>urządzeń samoregulujących</w:t>
            </w:r>
            <w:r w:rsidRPr="0087282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0CB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47013B" w:rsidRPr="0047013B" w:rsidRDefault="0047013B" w:rsidP="00872825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7013B">
              <w:rPr>
                <w:rFonts w:ascii="Times New Roman" w:hAnsi="Times New Roman"/>
                <w:color w:val="000000"/>
                <w:spacing w:val="-2"/>
              </w:rPr>
              <w:t>w § 11</w:t>
            </w:r>
            <w:r w:rsidR="000B52AB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Pr="0047013B">
              <w:rPr>
                <w:rFonts w:ascii="Times New Roman" w:hAnsi="Times New Roman"/>
                <w:color w:val="000000"/>
                <w:spacing w:val="-2"/>
              </w:rPr>
              <w:t xml:space="preserve"> ust. 2 dodano pkt 12a, zgodnie z którym opis techniczny dla budynku powinien określać analizę 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 xml:space="preserve">technicznych i ekonomicznych </w:t>
            </w:r>
            <w:r w:rsidRPr="0047013B">
              <w:rPr>
                <w:rFonts w:ascii="Times New Roman" w:hAnsi="Times New Roman"/>
                <w:color w:val="000000"/>
                <w:spacing w:val="-2"/>
              </w:rPr>
              <w:t>możliwości wykorzystania urządzeń, które automatycznie regulują temperaturę oddzielnie w poszczególnych pomieszczeniach lub w wyznaczonej strefie ogrzewanej</w:t>
            </w:r>
            <w:r w:rsidR="00191C68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:rsidR="0047013B" w:rsidRPr="0047013B" w:rsidRDefault="0047013B" w:rsidP="0047013B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7013B">
              <w:rPr>
                <w:rFonts w:ascii="Times New Roman" w:hAnsi="Times New Roman"/>
                <w:color w:val="000000"/>
                <w:spacing w:val="-2"/>
              </w:rPr>
              <w:t xml:space="preserve">w § 12 </w:t>
            </w:r>
            <w:r w:rsidR="000B52AB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47013B">
              <w:rPr>
                <w:rFonts w:ascii="Times New Roman" w:hAnsi="Times New Roman"/>
                <w:color w:val="000000"/>
                <w:spacing w:val="-2"/>
              </w:rPr>
              <w:t xml:space="preserve">ust. 1 </w:t>
            </w:r>
            <w:r w:rsidR="000B52AB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47013B">
              <w:rPr>
                <w:rFonts w:ascii="Times New Roman" w:hAnsi="Times New Roman"/>
                <w:color w:val="000000"/>
                <w:spacing w:val="-2"/>
              </w:rPr>
              <w:t xml:space="preserve">pkt 5 </w:t>
            </w:r>
            <w:r w:rsidR="000B52AB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47013B">
              <w:rPr>
                <w:rFonts w:ascii="Times New Roman" w:hAnsi="Times New Roman"/>
                <w:color w:val="000000"/>
                <w:spacing w:val="-2"/>
              </w:rPr>
              <w:t>lit. b wprowadzono przepis określający wymóg uwzględnienia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7013B">
              <w:rPr>
                <w:rFonts w:ascii="Times New Roman" w:hAnsi="Times New Roman"/>
                <w:color w:val="000000"/>
                <w:spacing w:val="-2"/>
              </w:rPr>
              <w:t>w projekcie stosowania infrastruktury na potrzeby ładowania pojazdów elektrycznych.</w:t>
            </w:r>
          </w:p>
          <w:p w:rsidR="00C02CEE" w:rsidRPr="005966CB" w:rsidRDefault="00C02CEE" w:rsidP="009A166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projektowanym rozporządzeniu nie przewidziano nowych rozwiązań poza tymi, które </w:t>
            </w:r>
            <w:r w:rsidR="00E24ED2">
              <w:rPr>
                <w:rFonts w:ascii="Times New Roman" w:hAnsi="Times New Roman"/>
                <w:color w:val="000000"/>
                <w:spacing w:val="-2"/>
              </w:rPr>
              <w:t>wynikają z postanowień dyrektywy.</w:t>
            </w:r>
          </w:p>
        </w:tc>
      </w:tr>
      <w:tr w:rsidR="006A701A" w:rsidRPr="008B4FE6" w:rsidTr="00FC3157">
        <w:trPr>
          <w:gridAfter w:val="1"/>
          <w:wAfter w:w="16" w:type="dxa"/>
          <w:trHeight w:val="307"/>
        </w:trPr>
        <w:tc>
          <w:tcPr>
            <w:tcW w:w="10761" w:type="dxa"/>
            <w:gridSpan w:val="31"/>
            <w:shd w:val="clear" w:color="auto" w:fill="99CCFF"/>
            <w:vAlign w:val="center"/>
          </w:tcPr>
          <w:p w:rsidR="006A701A" w:rsidRPr="005966CB" w:rsidRDefault="009E3C4B" w:rsidP="0030486E">
            <w:pPr>
              <w:numPr>
                <w:ilvl w:val="0"/>
                <w:numId w:val="3"/>
              </w:numPr>
              <w:spacing w:before="120" w:after="12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5966CB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5966C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2D5B25">
        <w:trPr>
          <w:gridAfter w:val="1"/>
          <w:wAfter w:w="16" w:type="dxa"/>
          <w:trHeight w:val="302"/>
        </w:trPr>
        <w:tc>
          <w:tcPr>
            <w:tcW w:w="10761" w:type="dxa"/>
            <w:gridSpan w:val="31"/>
            <w:shd w:val="clear" w:color="auto" w:fill="auto"/>
          </w:tcPr>
          <w:p w:rsidR="00335C34" w:rsidRDefault="00335C34" w:rsidP="00335C3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5C34">
              <w:rPr>
                <w:rFonts w:ascii="Times New Roman" w:hAnsi="Times New Roman"/>
                <w:color w:val="000000"/>
                <w:spacing w:val="-2"/>
              </w:rPr>
              <w:t>Postanowienia dyrektywy Parlamentu Europejskiego i Rady (UE) 2018/844/UE z dnia 30 maja 2018 r. zmieniającej dyrektywę 2010/31/UE w sprawie charakterystyki energetycznej budynków i dyrektywę 2012/27/UE w sprawie efektywności energetycznej nakładają na państwa członkowskie wymóg wyposażenia nowych</w:t>
            </w:r>
            <w:r w:rsidR="000B52A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 xml:space="preserve"> jak i użytkowanych budynków </w:t>
            </w:r>
            <w:r w:rsidR="00B065BA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B065BA" w:rsidRPr="00B065BA">
              <w:rPr>
                <w:rFonts w:ascii="Times New Roman" w:hAnsi="Times New Roman"/>
                <w:color w:val="000000"/>
                <w:spacing w:val="-2"/>
              </w:rPr>
              <w:t xml:space="preserve">sytuacjach </w:t>
            </w:r>
            <w:r w:rsidR="00B065BA">
              <w:rPr>
                <w:rFonts w:ascii="Times New Roman" w:hAnsi="Times New Roman"/>
                <w:color w:val="000000"/>
                <w:spacing w:val="-2"/>
              </w:rPr>
              <w:t>określonych w dyrektywie oraz dla różnych kategorii budynków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 xml:space="preserve"> w urządzenia, które </w:t>
            </w:r>
            <w:r w:rsidR="00AE12F2" w:rsidRPr="00AE12F2">
              <w:rPr>
                <w:rFonts w:ascii="Times New Roman" w:hAnsi="Times New Roman"/>
                <w:color w:val="000000"/>
                <w:spacing w:val="-2"/>
              </w:rPr>
              <w:t>automatycznie regulują temperaturę oddzielnie w poszczególnych pomieszczeniach lub w wyznaczonej strefie ogrzewanej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>, jeżeli jest to możliwe z technicznego i ekonomicznego punktu widzenia.</w:t>
            </w:r>
            <w:r>
              <w:t xml:space="preserve"> 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>Dodatkowo</w:t>
            </w:r>
            <w:r w:rsidR="000B52A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 xml:space="preserve"> zgodnie z postanowieniami dyrektywy</w:t>
            </w:r>
            <w:r w:rsidR="000B52A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 xml:space="preserve"> należy wprowadzić wymóg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>instalacji punktów ładowania  wraz z infrastrukturą kanałową w budynkach użyteczności publicznej oraz infrastruktury kanałowej, kanałów na przewody elektryczne w budynkach mieszkalnych, na potrzeby ła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dowania pojazdów elektrycznych 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>w odniesieniu do nowych budynków oraz dla budynków poddawanych ważniejszym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renowacjom. </w:t>
            </w:r>
          </w:p>
          <w:p w:rsidR="00335C34" w:rsidRPr="00335C34" w:rsidRDefault="00335C34" w:rsidP="00335C3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5C34">
              <w:rPr>
                <w:rFonts w:ascii="Times New Roman" w:hAnsi="Times New Roman"/>
                <w:color w:val="000000"/>
                <w:spacing w:val="-2"/>
              </w:rPr>
              <w:t xml:space="preserve">Mając na względzie powyższe, wymóg ten jest obligatoryjny dla wszystkich państw członkowskich Unii Europejskiej. </w:t>
            </w:r>
          </w:p>
          <w:p w:rsidR="00E67A75" w:rsidRPr="005966CB" w:rsidRDefault="00335C34" w:rsidP="00B9035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5C34">
              <w:rPr>
                <w:rFonts w:ascii="Times New Roman" w:hAnsi="Times New Roman"/>
                <w:color w:val="000000"/>
                <w:spacing w:val="-2"/>
              </w:rPr>
              <w:t>Kraje członkowskie UE są na zbliżonym poziomie wdrażania ww. przepisów dyrektywy</w:t>
            </w:r>
            <w:r w:rsidR="00CF17CA">
              <w:rPr>
                <w:rFonts w:ascii="Times New Roman" w:hAnsi="Times New Roman"/>
                <w:color w:val="000000"/>
                <w:spacing w:val="-2"/>
              </w:rPr>
              <w:t>, zakres i wytyczne zostały określone w dyrektywie</w:t>
            </w:r>
            <w:r w:rsidRPr="00335C34">
              <w:rPr>
                <w:rFonts w:ascii="Times New Roman" w:hAnsi="Times New Roman"/>
                <w:color w:val="000000"/>
                <w:spacing w:val="-2"/>
              </w:rPr>
              <w:t xml:space="preserve"> i w związku z tym nie przeprowadzano analizy prawno-porównawczej  w odniesieniu do krajów członkowskich UE.</w:t>
            </w:r>
          </w:p>
        </w:tc>
      </w:tr>
      <w:tr w:rsidR="006A701A" w:rsidRPr="008B4FE6" w:rsidTr="009A1664">
        <w:trPr>
          <w:gridAfter w:val="1"/>
          <w:wAfter w:w="16" w:type="dxa"/>
          <w:trHeight w:val="359"/>
        </w:trPr>
        <w:tc>
          <w:tcPr>
            <w:tcW w:w="10761" w:type="dxa"/>
            <w:gridSpan w:val="31"/>
            <w:shd w:val="clear" w:color="auto" w:fill="99CCFF"/>
            <w:vAlign w:val="center"/>
          </w:tcPr>
          <w:p w:rsidR="006A701A" w:rsidRPr="005966CB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CF17CA">
        <w:trPr>
          <w:gridAfter w:val="1"/>
          <w:wAfter w:w="16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:rsidR="00260F33" w:rsidRPr="005966C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966CB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260F33" w:rsidRPr="005966CB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966CB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375" w:type="dxa"/>
            <w:gridSpan w:val="12"/>
            <w:shd w:val="clear" w:color="auto" w:fill="auto"/>
          </w:tcPr>
          <w:p w:rsidR="00260F33" w:rsidRPr="005966C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966CB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5966CB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1" w:type="dxa"/>
            <w:gridSpan w:val="10"/>
            <w:shd w:val="clear" w:color="auto" w:fill="auto"/>
          </w:tcPr>
          <w:p w:rsidR="00260F33" w:rsidRPr="005966CB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966CB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F17CA" w:rsidRPr="008B4FE6" w:rsidTr="00CF17CA">
        <w:trPr>
          <w:gridAfter w:val="1"/>
          <w:wAfter w:w="16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:rsidR="00CF17CA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 xml:space="preserve">Projektanci </w:t>
            </w:r>
          </w:p>
          <w:p w:rsidR="00CF17CA" w:rsidRPr="00946B6D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268" w:type="dxa"/>
            <w:gridSpan w:val="7"/>
            <w:shd w:val="clear" w:color="auto" w:fill="auto"/>
          </w:tcPr>
          <w:p w:rsidR="00CF17CA" w:rsidRPr="00946B6D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115 316 + 11 357</w:t>
            </w:r>
          </w:p>
        </w:tc>
        <w:tc>
          <w:tcPr>
            <w:tcW w:w="3375" w:type="dxa"/>
            <w:gridSpan w:val="12"/>
            <w:shd w:val="clear" w:color="auto" w:fill="auto"/>
          </w:tcPr>
          <w:p w:rsidR="00CF17CA" w:rsidRPr="00946B6D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Polska Izba Inżynierów Budownictwa oraz Izba Architektów</w:t>
            </w:r>
          </w:p>
        </w:tc>
        <w:tc>
          <w:tcPr>
            <w:tcW w:w="2991" w:type="dxa"/>
            <w:gridSpan w:val="10"/>
            <w:shd w:val="clear" w:color="auto" w:fill="auto"/>
          </w:tcPr>
          <w:p w:rsidR="00C223CC" w:rsidRPr="00C223CC" w:rsidRDefault="00C223CC" w:rsidP="00C223CC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Zakres s</w:t>
            </w:r>
            <w:r w:rsidRPr="00C223CC">
              <w:rPr>
                <w:rFonts w:ascii="Times New Roman" w:hAnsi="Times New Roman"/>
                <w:color w:val="000000"/>
                <w:spacing w:val="-2"/>
              </w:rPr>
              <w:t>porządzania projektu budowlanego budynków i urządzeń z nim związanych:</w:t>
            </w:r>
          </w:p>
          <w:p w:rsidR="00CF17CA" w:rsidRPr="00C20BB6" w:rsidRDefault="00C223CC" w:rsidP="00C223CC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223CC">
              <w:rPr>
                <w:rFonts w:ascii="Times New Roman" w:hAnsi="Times New Roman"/>
                <w:color w:val="000000"/>
                <w:spacing w:val="-2"/>
              </w:rPr>
              <w:t>- dostosowanie do wymagań dotyczących zapewnienia infrastruktury na potrzeby ładowania pojazdów elektrycznych oraz systemów automatyki zgodnie z postanowieniami dyrektywy 2018/844/UE.</w:t>
            </w:r>
          </w:p>
        </w:tc>
      </w:tr>
      <w:tr w:rsidR="00CF17CA" w:rsidRPr="008B4FE6" w:rsidTr="00CF17CA">
        <w:trPr>
          <w:gridAfter w:val="1"/>
          <w:wAfter w:w="16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:rsidR="00CF17CA" w:rsidRPr="00946B6D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Wykonawcy wykonujący zadania związane z budową budynków i urządzeń z nim związanych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F17CA" w:rsidRPr="00946B6D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nieokreślona</w:t>
            </w:r>
          </w:p>
        </w:tc>
        <w:tc>
          <w:tcPr>
            <w:tcW w:w="3375" w:type="dxa"/>
            <w:gridSpan w:val="12"/>
            <w:shd w:val="clear" w:color="auto" w:fill="auto"/>
          </w:tcPr>
          <w:p w:rsidR="00CF17CA" w:rsidRPr="00946B6D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ogólne</w:t>
            </w:r>
          </w:p>
        </w:tc>
        <w:tc>
          <w:tcPr>
            <w:tcW w:w="2991" w:type="dxa"/>
            <w:gridSpan w:val="10"/>
            <w:shd w:val="clear" w:color="auto" w:fill="auto"/>
          </w:tcPr>
          <w:p w:rsidR="00C223CC" w:rsidRDefault="00C223CC" w:rsidP="00C223CC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Uwzględnienie wymogów zawartych w dyrektywie 2018/844/UE </w:t>
            </w:r>
            <w:r w:rsidR="008547E8">
              <w:rPr>
                <w:rFonts w:ascii="Times New Roman" w:hAnsi="Times New Roman"/>
                <w:bCs/>
                <w:spacing w:val="-2"/>
              </w:rPr>
              <w:t>spowoduje zwiększenie zakresu robót związanego z wyposażeniem technicznym budynków</w:t>
            </w:r>
          </w:p>
          <w:p w:rsidR="00CF17CA" w:rsidRPr="00C20BB6" w:rsidRDefault="00CF17CA" w:rsidP="00C91201">
            <w:pPr>
              <w:spacing w:after="6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F17CA" w:rsidRPr="008B4FE6" w:rsidTr="00CF17CA">
        <w:trPr>
          <w:gridAfter w:val="1"/>
          <w:wAfter w:w="16" w:type="dxa"/>
          <w:trHeight w:val="142"/>
        </w:trPr>
        <w:tc>
          <w:tcPr>
            <w:tcW w:w="2127" w:type="dxa"/>
            <w:gridSpan w:val="2"/>
            <w:shd w:val="clear" w:color="auto" w:fill="auto"/>
          </w:tcPr>
          <w:p w:rsidR="00CF17CA" w:rsidRPr="00946B6D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Inwestorzy (w tym deweloperzy i inwestorzy indywidualni)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CF17CA" w:rsidRPr="00A04EBB" w:rsidRDefault="00CF17CA" w:rsidP="008D6451">
            <w:pPr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ok. 194 775 </w:t>
            </w:r>
            <w:r w:rsidRPr="00A04EBB">
              <w:rPr>
                <w:rFonts w:ascii="Times New Roman" w:hAnsi="Times New Roman"/>
                <w:bCs/>
                <w:spacing w:val="-2"/>
              </w:rPr>
              <w:t xml:space="preserve">pozwoleń na budowę </w:t>
            </w:r>
          </w:p>
          <w:p w:rsidR="00CF17CA" w:rsidRPr="00946B6D" w:rsidRDefault="00CF17CA" w:rsidP="00CF17CA">
            <w:pPr>
              <w:jc w:val="both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ok. 19 624 </w:t>
            </w:r>
            <w:r w:rsidRPr="00A04EBB">
              <w:rPr>
                <w:rFonts w:ascii="Times New Roman" w:hAnsi="Times New Roman"/>
                <w:bCs/>
                <w:spacing w:val="-2"/>
              </w:rPr>
              <w:t>przyjętych zgłoszeń</w:t>
            </w:r>
            <w:r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A04EBB">
              <w:rPr>
                <w:rFonts w:ascii="Times New Roman" w:hAnsi="Times New Roman"/>
                <w:bCs/>
                <w:spacing w:val="-2"/>
              </w:rPr>
              <w:t>ok. 167 595  obiektów oddanych do użytkowania</w:t>
            </w:r>
          </w:p>
        </w:tc>
        <w:tc>
          <w:tcPr>
            <w:tcW w:w="3375" w:type="dxa"/>
            <w:gridSpan w:val="12"/>
            <w:shd w:val="clear" w:color="auto" w:fill="auto"/>
          </w:tcPr>
          <w:p w:rsidR="00CF17CA" w:rsidRPr="00946B6D" w:rsidRDefault="00CF17CA" w:rsidP="008D6451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>Główny Urząd Nadzoru Budowlanego (Ruch budowlany 2017 r.)</w:t>
            </w:r>
          </w:p>
        </w:tc>
        <w:tc>
          <w:tcPr>
            <w:tcW w:w="2991" w:type="dxa"/>
            <w:gridSpan w:val="10"/>
            <w:shd w:val="clear" w:color="auto" w:fill="auto"/>
          </w:tcPr>
          <w:p w:rsidR="00CF17CA" w:rsidRPr="00C20BB6" w:rsidRDefault="00EC30FC" w:rsidP="008547E8">
            <w:pPr>
              <w:spacing w:after="6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C30FC">
              <w:rPr>
                <w:rFonts w:ascii="Times New Roman" w:hAnsi="Times New Roman"/>
                <w:color w:val="000000"/>
                <w:spacing w:val="-2"/>
              </w:rPr>
              <w:t xml:space="preserve">Uwzględnienie wymogów zawartych w dyrektywie 2018/844/UE </w:t>
            </w:r>
            <w:r w:rsidR="008547E8">
              <w:rPr>
                <w:rFonts w:ascii="Times New Roman" w:hAnsi="Times New Roman"/>
                <w:color w:val="000000"/>
                <w:spacing w:val="-2"/>
              </w:rPr>
              <w:t xml:space="preserve">spowoduje 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963811">
              <w:rPr>
                <w:rFonts w:ascii="Times New Roman" w:hAnsi="Times New Roman"/>
                <w:color w:val="000000"/>
                <w:spacing w:val="-2"/>
              </w:rPr>
              <w:t>większenie nakładów inwestycyjnych</w:t>
            </w:r>
            <w:r w:rsidR="008547E8">
              <w:rPr>
                <w:rFonts w:ascii="Times New Roman" w:hAnsi="Times New Roman"/>
                <w:color w:val="000000"/>
                <w:spacing w:val="-2"/>
              </w:rPr>
              <w:t xml:space="preserve"> związanych z wyposażeniem technicznym budynków</w:t>
            </w:r>
          </w:p>
        </w:tc>
      </w:tr>
      <w:tr w:rsidR="00C91201" w:rsidRPr="008B4FE6" w:rsidTr="002D5B25">
        <w:trPr>
          <w:gridAfter w:val="2"/>
          <w:wAfter w:w="26" w:type="dxa"/>
          <w:trHeight w:val="302"/>
        </w:trPr>
        <w:tc>
          <w:tcPr>
            <w:tcW w:w="10751" w:type="dxa"/>
            <w:gridSpan w:val="30"/>
            <w:shd w:val="clear" w:color="auto" w:fill="99CCFF"/>
            <w:vAlign w:val="center"/>
          </w:tcPr>
          <w:p w:rsidR="00C91201" w:rsidRPr="008B4FE6" w:rsidRDefault="00C91201" w:rsidP="00C9120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91201" w:rsidRPr="008B4FE6" w:rsidTr="002D5B25">
        <w:trPr>
          <w:gridAfter w:val="2"/>
          <w:wAfter w:w="26" w:type="dxa"/>
          <w:trHeight w:val="70"/>
        </w:trPr>
        <w:tc>
          <w:tcPr>
            <w:tcW w:w="10751" w:type="dxa"/>
            <w:gridSpan w:val="30"/>
            <w:shd w:val="clear" w:color="auto" w:fill="FFFFFF"/>
          </w:tcPr>
          <w:p w:rsidR="004565D6" w:rsidRDefault="002A4CE9" w:rsidP="002A4CE9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A4CE9">
              <w:rPr>
                <w:rFonts w:ascii="Times New Roman" w:hAnsi="Times New Roman"/>
                <w:color w:val="000000"/>
                <w:spacing w:val="-2"/>
              </w:rPr>
              <w:t xml:space="preserve">Do konsultacji projektowanej regulacji zostaną zaproszone instytucje skupiające odbiorców regulacji, m.in.: </w:t>
            </w:r>
            <w:r w:rsidRPr="002A4CE9">
              <w:rPr>
                <w:rFonts w:ascii="Times New Roman" w:hAnsi="Times New Roman"/>
                <w:color w:val="000000"/>
                <w:spacing w:val="-2"/>
              </w:rPr>
              <w:lastRenderedPageBreak/>
              <w:t>profesjonalistów z obszaru efektywności energetycznej budynków, przedstawicieli deweloperów, organizacje konsumenckie, uczestników procesu inwestycyjnego w budownictwie, samorządy zawodowe architektów i inżynierów budownictwa</w:t>
            </w:r>
            <w:r w:rsidR="004565D6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Izba Architektów Rzeczypospolitej Polskiej - Krajowa Rada;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Stowarzyszenie Architektów Polskich;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3.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Polski Związek Pracodawców Budownictwa;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4.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Izba Projektowania Budowlanego;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5.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Polska Izba Inżynierów Budownictwa - Krajowa Rada;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6.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Polski Związek Inżynierów i Techników Budownictwa;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7.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Instytut Techniki Budowlanej;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8.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Instytut Gospodarki Nieruchomościami;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9.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Konfederacja Budownictwa i Nieruchomości;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10.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Korporacja Przedsiębiorców Budowlanych "UNI-BUD";</w:t>
            </w:r>
          </w:p>
          <w:p w:rsidR="002A4CE9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11.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Polska Federacja Organizacji Zarządców i Administratorów Nieruchomości;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12.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Polska Federacja Rynku Nieruchomości;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13.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Polska Korporacja Techniki Sanitarnej, Grzewczej, Gazowej i Klimatyzacji;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14.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Polski Związek Firm Deweloperskich;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15.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Polskie Zrzeszenie Inżynierów i Techników Sanitarnych;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16.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Stowarzyszenie Budowniczych Domów i Mieszkań;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17.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Stowarzyszenie Inżynierów i Techników Pożarnictwa;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18.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Stowarzyszenie Nowoczesne Budynki;</w:t>
            </w:r>
          </w:p>
          <w:p w:rsid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19.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Polska Federacja Budownictwa;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20.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Ogólnopolskie Stowarzyszenie Producentów Zabezpieczeń Przeciwpożarowych i Sprzętu Ratowniczego;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21.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Stowarzyszenie Elektryków Polskich;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22.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Polska Izba Gospodarcza Elektrotechniki;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23.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Stowarzyszenie Polskich Energetyków;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24.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Izba Gospodarcza Ciepłownictwo Polskie;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25.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Krajowa Agencja Poszanowania Energii S.A.;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26.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Narodowa Agencja Poszanowania Energii S.A.;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27.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Stowarzyszenie Producentów i Importerów Urządzeń Grzewczych;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28.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Polska Korporacja Techniki Sanitarnej, Grzewczej, Gazowej i Klimatyzacji;</w:t>
            </w:r>
          </w:p>
          <w:p w:rsidR="004565D6" w:rsidRPr="004565D6" w:rsidRDefault="004565D6" w:rsidP="004565D6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29.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Polskie Zrzeszeni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Inżynierów i Techników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Sanita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>nych</w:t>
            </w:r>
            <w:proofErr w:type="spellEnd"/>
            <w:r w:rsidRPr="004565D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B065BA" w:rsidRDefault="004565D6" w:rsidP="002A4CE9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565D6">
              <w:rPr>
                <w:rFonts w:ascii="Times New Roman" w:hAnsi="Times New Roman"/>
                <w:color w:val="000000"/>
                <w:spacing w:val="-2"/>
              </w:rPr>
              <w:t>30.</w:t>
            </w:r>
            <w:r w:rsidRPr="004565D6">
              <w:rPr>
                <w:rFonts w:ascii="Times New Roman" w:hAnsi="Times New Roman"/>
                <w:color w:val="000000"/>
                <w:spacing w:val="-2"/>
              </w:rPr>
              <w:tab/>
              <w:t>Polska Izba Budownictwa.</w:t>
            </w:r>
          </w:p>
          <w:p w:rsidR="00C32703" w:rsidRDefault="002A4CE9" w:rsidP="00B065BA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A4CE9">
              <w:rPr>
                <w:rFonts w:ascii="Times New Roman" w:hAnsi="Times New Roman"/>
                <w:color w:val="000000"/>
                <w:spacing w:val="-2"/>
              </w:rPr>
              <w:t xml:space="preserve">Należy jednocześnie wskazać, że przed rozpoczęciem prac nad przedmiotowym projektem, w ramach </w:t>
            </w:r>
            <w:proofErr w:type="spellStart"/>
            <w:r w:rsidRPr="002A4CE9">
              <w:rPr>
                <w:rFonts w:ascii="Times New Roman" w:hAnsi="Times New Roman"/>
                <w:color w:val="000000"/>
                <w:spacing w:val="-2"/>
              </w:rPr>
              <w:t>prekonsultacji</w:t>
            </w:r>
            <w:proofErr w:type="spellEnd"/>
            <w:r w:rsidRPr="002A4CE9">
              <w:rPr>
                <w:rFonts w:ascii="Times New Roman" w:hAnsi="Times New Roman"/>
                <w:color w:val="000000"/>
                <w:spacing w:val="-2"/>
              </w:rPr>
              <w:t xml:space="preserve">, projektodawca zorganizował cykl seminariów eksperckich, w trakcie których przedstawiciele szerokiego grona interesariuszy (uczelnie wyższe, Instytut Techniki Budowlanej, Narodowy Fundusz Ochrony Środowiska i Gospodarki Wodnej, przedstawiciele jednostek badawczych, projektowych, audytorskich oraz branżowego Stowarzyszenia </w:t>
            </w:r>
            <w:proofErr w:type="spellStart"/>
            <w:r w:rsidRPr="002A4CE9">
              <w:rPr>
                <w:rFonts w:ascii="Times New Roman" w:hAnsi="Times New Roman"/>
                <w:color w:val="000000"/>
                <w:spacing w:val="-2"/>
              </w:rPr>
              <w:t>Certyfikatorów</w:t>
            </w:r>
            <w:proofErr w:type="spellEnd"/>
            <w:r w:rsidRPr="002A4CE9">
              <w:rPr>
                <w:rFonts w:ascii="Times New Roman" w:hAnsi="Times New Roman"/>
                <w:color w:val="000000"/>
                <w:spacing w:val="-2"/>
              </w:rPr>
              <w:t xml:space="preserve"> i Audytorów Energetycznych, a także Zrzeszenia Audytorów Energetycznych) mieli możliwość zabrania głosu, zarówno w procesie implementacji postanowień powyższej dyrektywy do polskiego porządku prawnego, jak</w:t>
            </w:r>
            <w:r w:rsidR="000B52AB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Pr="002A4CE9">
              <w:rPr>
                <w:rFonts w:ascii="Times New Roman" w:hAnsi="Times New Roman"/>
                <w:color w:val="000000"/>
                <w:spacing w:val="-2"/>
              </w:rPr>
              <w:t>w zakresie dalszych kierunków poprawy efektywności  energetycznej w Polsce.</w:t>
            </w:r>
          </w:p>
          <w:p w:rsidR="0047013B" w:rsidRDefault="0047013B" w:rsidP="002D5B2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91201" w:rsidRPr="00B37C80" w:rsidRDefault="00410ED4" w:rsidP="002D5B2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Ponadto z</w:t>
            </w:r>
            <w:r w:rsidR="00C91201" w:rsidRPr="00C20BB6">
              <w:rPr>
                <w:rFonts w:ascii="Times New Roman" w:hAnsi="Times New Roman"/>
                <w:color w:val="000000"/>
                <w:spacing w:val="-2"/>
              </w:rPr>
              <w:t xml:space="preserve">godnie z art. 5 ustawy z dnia 7 lipca 2005 r. o działalności lobbingowej w procesie stanowienia prawa </w:t>
            </w:r>
            <w:r w:rsidR="002D5B25">
              <w:rPr>
                <w:rFonts w:ascii="Times New Roman" w:hAnsi="Times New Roman"/>
                <w:color w:val="000000"/>
                <w:spacing w:val="-2"/>
              </w:rPr>
              <w:br/>
            </w:r>
            <w:r w:rsidR="00C91201" w:rsidRPr="00C20BB6">
              <w:rPr>
                <w:rFonts w:ascii="Times New Roman" w:hAnsi="Times New Roman"/>
                <w:color w:val="000000"/>
                <w:spacing w:val="-2"/>
              </w:rPr>
              <w:t>(Dz. U.</w:t>
            </w:r>
            <w:r w:rsidR="002D5B2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91201" w:rsidRPr="00C20BB6">
              <w:rPr>
                <w:rFonts w:ascii="Times New Roman" w:hAnsi="Times New Roman"/>
                <w:color w:val="000000"/>
                <w:spacing w:val="-2"/>
              </w:rPr>
              <w:t xml:space="preserve">z 2017 r. poz. 248) oraz § 52 ust. 1 uchwały Nr 190 Rady Ministrów z dnia 29 października 2013 r. Regulamin pracy Rady Ministrów (M.P. z 2016 r. poz. 1006, z </w:t>
            </w:r>
            <w:proofErr w:type="spellStart"/>
            <w:r w:rsidR="00C91201" w:rsidRPr="00C20BB6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C91201" w:rsidRPr="00C20BB6">
              <w:rPr>
                <w:rFonts w:ascii="Times New Roman" w:hAnsi="Times New Roman"/>
                <w:color w:val="000000"/>
                <w:spacing w:val="-2"/>
              </w:rPr>
              <w:t xml:space="preserve">. zm.) projekt zostanie udostępniony w Biuletynie Informacji Publicznej Ministra Inwestycji i Rozwoju oraz w Biuletynie Informacji Publicznej Rządowego Centrum Legislacji </w:t>
            </w:r>
            <w:r w:rsidR="002D5B25">
              <w:rPr>
                <w:rFonts w:ascii="Times New Roman" w:hAnsi="Times New Roman"/>
                <w:color w:val="000000"/>
                <w:spacing w:val="-2"/>
              </w:rPr>
              <w:br/>
            </w:r>
            <w:r w:rsidR="00C91201" w:rsidRPr="00C20BB6">
              <w:rPr>
                <w:rFonts w:ascii="Times New Roman" w:hAnsi="Times New Roman"/>
                <w:color w:val="000000"/>
                <w:spacing w:val="-2"/>
              </w:rPr>
              <w:t>w zakładce „Rządowy proces legislacyjny”.</w:t>
            </w:r>
          </w:p>
        </w:tc>
      </w:tr>
      <w:tr w:rsidR="00C91201" w:rsidRPr="008B4FE6" w:rsidTr="009A1664">
        <w:trPr>
          <w:gridAfter w:val="2"/>
          <w:wAfter w:w="26" w:type="dxa"/>
          <w:trHeight w:val="363"/>
        </w:trPr>
        <w:tc>
          <w:tcPr>
            <w:tcW w:w="10751" w:type="dxa"/>
            <w:gridSpan w:val="30"/>
            <w:shd w:val="clear" w:color="auto" w:fill="99CCFF"/>
            <w:vAlign w:val="center"/>
          </w:tcPr>
          <w:p w:rsidR="00C91201" w:rsidRPr="008B4FE6" w:rsidRDefault="00C91201" w:rsidP="00C9120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C91201" w:rsidRPr="008B4FE6" w:rsidTr="009A1664">
        <w:trPr>
          <w:gridAfter w:val="2"/>
          <w:wAfter w:w="26" w:type="dxa"/>
          <w:trHeight w:val="142"/>
        </w:trPr>
        <w:tc>
          <w:tcPr>
            <w:tcW w:w="2592" w:type="dxa"/>
            <w:gridSpan w:val="3"/>
            <w:vMerge w:val="restart"/>
            <w:shd w:val="clear" w:color="auto" w:fill="FFFFFF"/>
          </w:tcPr>
          <w:p w:rsidR="00C91201" w:rsidRPr="00C53F26" w:rsidRDefault="00C91201" w:rsidP="00C9120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8159" w:type="dxa"/>
            <w:gridSpan w:val="27"/>
            <w:shd w:val="clear" w:color="auto" w:fill="FFFFFF"/>
          </w:tcPr>
          <w:p w:rsidR="00C91201" w:rsidRPr="00C53F26" w:rsidRDefault="00C91201" w:rsidP="00C9120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EC6618" w:rsidRPr="008B4FE6" w:rsidTr="00EC6618">
        <w:trPr>
          <w:gridAfter w:val="5"/>
          <w:wAfter w:w="48" w:type="dxa"/>
          <w:trHeight w:val="142"/>
        </w:trPr>
        <w:tc>
          <w:tcPr>
            <w:tcW w:w="2592" w:type="dxa"/>
            <w:gridSpan w:val="3"/>
            <w:vMerge/>
            <w:shd w:val="clear" w:color="auto" w:fill="FFFFFF"/>
          </w:tcPr>
          <w:p w:rsidR="00C91201" w:rsidRPr="00C53F26" w:rsidRDefault="00C91201" w:rsidP="00C9120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2" w:type="dxa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C91201" w:rsidRPr="00C53F26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C91201" w:rsidRPr="00C53F26" w:rsidRDefault="00C91201" w:rsidP="00C9120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C6618" w:rsidRPr="008B4FE6" w:rsidTr="00FC3157">
        <w:trPr>
          <w:gridAfter w:val="4"/>
          <w:wAfter w:w="38" w:type="dxa"/>
          <w:trHeight w:val="321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21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44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44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30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30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51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51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60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60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57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EC6618" w:rsidRPr="008B4FE6" w:rsidTr="00FC3157">
        <w:trPr>
          <w:gridAfter w:val="4"/>
          <w:wAfter w:w="38" w:type="dxa"/>
          <w:trHeight w:val="357"/>
        </w:trPr>
        <w:tc>
          <w:tcPr>
            <w:tcW w:w="2592" w:type="dxa"/>
            <w:gridSpan w:val="3"/>
            <w:shd w:val="clear" w:color="auto" w:fill="FFFFFF"/>
            <w:vAlign w:val="center"/>
          </w:tcPr>
          <w:p w:rsidR="00C91201" w:rsidRPr="00C53F26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91201" w:rsidRPr="008B4FE6" w:rsidTr="00FC3157">
        <w:trPr>
          <w:trHeight w:val="348"/>
        </w:trPr>
        <w:tc>
          <w:tcPr>
            <w:tcW w:w="2127" w:type="dxa"/>
            <w:gridSpan w:val="2"/>
            <w:shd w:val="clear" w:color="auto" w:fill="FFFFFF"/>
            <w:vAlign w:val="center"/>
          </w:tcPr>
          <w:p w:rsidR="00C91201" w:rsidRPr="00C53F26" w:rsidRDefault="00C91201" w:rsidP="0033435A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50" w:type="dxa"/>
            <w:gridSpan w:val="30"/>
            <w:shd w:val="clear" w:color="auto" w:fill="FFFFFF"/>
            <w:vAlign w:val="center"/>
          </w:tcPr>
          <w:p w:rsidR="00C91201" w:rsidRPr="00B37C80" w:rsidRDefault="00C91201" w:rsidP="0033435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C91201" w:rsidRPr="008B4FE6" w:rsidTr="00FC3157">
        <w:trPr>
          <w:trHeight w:val="1460"/>
        </w:trPr>
        <w:tc>
          <w:tcPr>
            <w:tcW w:w="2127" w:type="dxa"/>
            <w:gridSpan w:val="2"/>
            <w:shd w:val="clear" w:color="auto" w:fill="FFFFFF"/>
          </w:tcPr>
          <w:p w:rsidR="00C91201" w:rsidRPr="00C53F26" w:rsidRDefault="00C91201" w:rsidP="0033435A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50" w:type="dxa"/>
            <w:gridSpan w:val="30"/>
            <w:shd w:val="clear" w:color="auto" w:fill="FFFFFF"/>
          </w:tcPr>
          <w:p w:rsidR="00C91201" w:rsidRPr="00C53F26" w:rsidRDefault="008A6378" w:rsidP="0033435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  <w:tr w:rsidR="00C91201" w:rsidRPr="008B4FE6" w:rsidTr="00FC3157">
        <w:trPr>
          <w:gridAfter w:val="2"/>
          <w:wAfter w:w="26" w:type="dxa"/>
          <w:trHeight w:val="345"/>
        </w:trPr>
        <w:tc>
          <w:tcPr>
            <w:tcW w:w="10751" w:type="dxa"/>
            <w:gridSpan w:val="30"/>
            <w:shd w:val="clear" w:color="auto" w:fill="99CCFF"/>
          </w:tcPr>
          <w:p w:rsidR="00C91201" w:rsidRPr="008B4FE6" w:rsidRDefault="00C91201" w:rsidP="00C9120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91201" w:rsidRPr="008B4FE6" w:rsidTr="00FC3157">
        <w:trPr>
          <w:gridAfter w:val="3"/>
          <w:wAfter w:w="32" w:type="dxa"/>
          <w:trHeight w:val="142"/>
        </w:trPr>
        <w:tc>
          <w:tcPr>
            <w:tcW w:w="3348" w:type="dxa"/>
            <w:gridSpan w:val="6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05" w:type="dxa"/>
            <w:gridSpan w:val="2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8" w:type="dxa"/>
            <w:gridSpan w:val="4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3"/>
            <w:shd w:val="clear" w:color="auto" w:fill="FFFFFF"/>
          </w:tcPr>
          <w:p w:rsidR="00C91201" w:rsidRPr="001B3460" w:rsidRDefault="00C91201" w:rsidP="00C9120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91201" w:rsidRPr="008B4FE6" w:rsidTr="00FC3157">
        <w:trPr>
          <w:gridAfter w:val="3"/>
          <w:wAfter w:w="32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C91201" w:rsidRDefault="00C91201" w:rsidP="00C91201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C91201" w:rsidRDefault="00C91201" w:rsidP="00C91201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C91201" w:rsidRPr="00301959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752" w:type="dxa"/>
            <w:gridSpan w:val="5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05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8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91201" w:rsidRPr="008B4FE6" w:rsidTr="00FC3157">
        <w:trPr>
          <w:gridAfter w:val="3"/>
          <w:wAfter w:w="32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05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8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91201" w:rsidRPr="008B4FE6" w:rsidTr="00FC3157">
        <w:trPr>
          <w:gridAfter w:val="3"/>
          <w:wAfter w:w="32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shd w:val="clear" w:color="auto" w:fill="FFFFFF"/>
          </w:tcPr>
          <w:p w:rsidR="00C91201" w:rsidRPr="00301959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05" w:type="dxa"/>
            <w:gridSpan w:val="2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98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59" w:type="dxa"/>
            <w:gridSpan w:val="4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3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F17CA" w:rsidRPr="008B4FE6" w:rsidTr="00FC3157">
        <w:trPr>
          <w:gridAfter w:val="2"/>
          <w:wAfter w:w="26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CF17CA" w:rsidRPr="005966CB" w:rsidRDefault="00CF17CA" w:rsidP="00F15F9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66CB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752" w:type="dxa"/>
            <w:gridSpan w:val="5"/>
            <w:shd w:val="clear" w:color="auto" w:fill="FFFFFF"/>
          </w:tcPr>
          <w:p w:rsidR="00CF17CA" w:rsidRPr="005966CB" w:rsidRDefault="00CF17CA" w:rsidP="00F15F9C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66CB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403" w:type="dxa"/>
            <w:gridSpan w:val="24"/>
            <w:vMerge w:val="restart"/>
            <w:shd w:val="clear" w:color="auto" w:fill="FFFFFF"/>
          </w:tcPr>
          <w:p w:rsidR="00CF17CA" w:rsidRDefault="00FB04A8" w:rsidP="00CF17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Przewiduje się, że p</w:t>
            </w:r>
            <w:r w:rsidR="00CF17CA">
              <w:rPr>
                <w:rFonts w:ascii="Times New Roman" w:hAnsi="Times New Roman"/>
                <w:color w:val="000000"/>
              </w:rPr>
              <w:t xml:space="preserve">rojektowane rozporządzenie będzie miało </w:t>
            </w:r>
            <w:r>
              <w:rPr>
                <w:rFonts w:ascii="Times New Roman" w:hAnsi="Times New Roman"/>
                <w:color w:val="000000"/>
              </w:rPr>
              <w:t xml:space="preserve">pozytywny </w:t>
            </w:r>
            <w:r w:rsidR="00CF17CA">
              <w:rPr>
                <w:rFonts w:ascii="Times New Roman" w:hAnsi="Times New Roman"/>
                <w:color w:val="000000"/>
              </w:rPr>
              <w:t>wpływ na konkurencyjność gospodarki i przedsiębiorstw, które bezpośrednio są związane z wprowadzonymi wymogami.</w:t>
            </w:r>
          </w:p>
          <w:p w:rsidR="004565D6" w:rsidRDefault="004565D6" w:rsidP="00CF17CA">
            <w:pPr>
              <w:spacing w:line="240" w:lineRule="auto"/>
              <w:jc w:val="both"/>
              <w:rPr>
                <w:rFonts w:ascii="Times New Roman" w:hAnsi="Times New Roman"/>
                <w:bCs/>
                <w:spacing w:val="-2"/>
              </w:rPr>
            </w:pPr>
            <w:r w:rsidRPr="004565D6">
              <w:rPr>
                <w:rFonts w:ascii="Times New Roman" w:hAnsi="Times New Roman"/>
                <w:bCs/>
                <w:spacing w:val="-2"/>
              </w:rPr>
              <w:t xml:space="preserve">Wprowadzone zmiany mogą mieć wpływ na wzrost innowacyjności przedsiębiorstw oraz rozwój badań nad nowymi technologiami, na skutek rozwoju </w:t>
            </w:r>
            <w:proofErr w:type="spellStart"/>
            <w:r w:rsidRPr="004565D6">
              <w:rPr>
                <w:rFonts w:ascii="Times New Roman" w:hAnsi="Times New Roman"/>
                <w:bCs/>
                <w:spacing w:val="-2"/>
              </w:rPr>
              <w:t>elektromobilności</w:t>
            </w:r>
            <w:proofErr w:type="spellEnd"/>
            <w:r w:rsidRPr="004565D6">
              <w:rPr>
                <w:rFonts w:ascii="Times New Roman" w:hAnsi="Times New Roman"/>
                <w:bCs/>
                <w:spacing w:val="-2"/>
              </w:rPr>
              <w:t>, stanowisk do ładowania pojazdów napędzanych energią elektryczną, a także wprowadzeniem automatyki w budynkach, wykorzystywanej d</w:t>
            </w:r>
            <w:r>
              <w:rPr>
                <w:rFonts w:ascii="Times New Roman" w:hAnsi="Times New Roman"/>
                <w:bCs/>
                <w:spacing w:val="-2"/>
              </w:rPr>
              <w:t>o celów zarządzania energią ciepl</w:t>
            </w:r>
            <w:r w:rsidRPr="004565D6">
              <w:rPr>
                <w:rFonts w:ascii="Times New Roman" w:hAnsi="Times New Roman"/>
                <w:bCs/>
                <w:spacing w:val="-2"/>
              </w:rPr>
              <w:t xml:space="preserve">ną w poszczególnych pomieszczeniach lub </w:t>
            </w:r>
            <w:r w:rsidR="00B065BA">
              <w:rPr>
                <w:rFonts w:ascii="Times New Roman" w:hAnsi="Times New Roman"/>
                <w:bCs/>
                <w:spacing w:val="-2"/>
              </w:rPr>
              <w:br/>
            </w:r>
            <w:r w:rsidRPr="004565D6">
              <w:rPr>
                <w:rFonts w:ascii="Times New Roman" w:hAnsi="Times New Roman"/>
                <w:bCs/>
                <w:spacing w:val="-2"/>
              </w:rPr>
              <w:t>w wyznaczonych strefach ogrzewanych.</w:t>
            </w:r>
          </w:p>
          <w:p w:rsidR="00CF17CA" w:rsidRPr="005966CB" w:rsidRDefault="00CF17CA" w:rsidP="00F15F9C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F17CA" w:rsidRPr="008B4FE6" w:rsidTr="00FC3157">
        <w:trPr>
          <w:gridAfter w:val="2"/>
          <w:wAfter w:w="26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CF17CA" w:rsidRPr="005966CB" w:rsidRDefault="00CF17CA" w:rsidP="009A166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shd w:val="clear" w:color="auto" w:fill="FFFFFF"/>
          </w:tcPr>
          <w:p w:rsidR="00CF17CA" w:rsidRPr="005966CB" w:rsidRDefault="00CF17CA" w:rsidP="009A166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66CB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403" w:type="dxa"/>
            <w:gridSpan w:val="24"/>
            <w:vMerge/>
            <w:shd w:val="clear" w:color="auto" w:fill="FFFFFF"/>
          </w:tcPr>
          <w:p w:rsidR="00CF17CA" w:rsidRPr="005966CB" w:rsidRDefault="00CF17CA" w:rsidP="009A166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91201" w:rsidRPr="008B4FE6" w:rsidTr="00FC3157">
        <w:trPr>
          <w:gridAfter w:val="2"/>
          <w:wAfter w:w="26" w:type="dxa"/>
          <w:trHeight w:val="70"/>
        </w:trPr>
        <w:tc>
          <w:tcPr>
            <w:tcW w:w="1596" w:type="dxa"/>
            <w:vMerge/>
            <w:shd w:val="clear" w:color="auto" w:fill="FFFFFF"/>
          </w:tcPr>
          <w:p w:rsidR="00C91201" w:rsidRPr="005966CB" w:rsidRDefault="00C91201" w:rsidP="009A166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shd w:val="clear" w:color="auto" w:fill="FFFFFF"/>
          </w:tcPr>
          <w:p w:rsidR="00C91201" w:rsidRPr="005966CB" w:rsidRDefault="00C91201" w:rsidP="009A1664">
            <w:pPr>
              <w:tabs>
                <w:tab w:val="right" w:pos="1936"/>
              </w:tabs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66CB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596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403" w:type="dxa"/>
            <w:gridSpan w:val="24"/>
            <w:shd w:val="clear" w:color="auto" w:fill="FFFFFF"/>
          </w:tcPr>
          <w:p w:rsidR="00C91201" w:rsidRPr="005966CB" w:rsidRDefault="004565D6" w:rsidP="009A166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CF17CA" w:rsidRPr="008B4FE6" w:rsidTr="00FC3157">
        <w:trPr>
          <w:gridAfter w:val="2"/>
          <w:wAfter w:w="26" w:type="dxa"/>
          <w:trHeight w:val="70"/>
        </w:trPr>
        <w:tc>
          <w:tcPr>
            <w:tcW w:w="1596" w:type="dxa"/>
            <w:shd w:val="clear" w:color="auto" w:fill="FFFFFF"/>
          </w:tcPr>
          <w:p w:rsidR="00CF17CA" w:rsidRPr="005966CB" w:rsidRDefault="00EF3631" w:rsidP="009A166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1027">
              <w:rPr>
                <w:rFonts w:ascii="Times New Roman" w:hAnsi="Times New Roman"/>
                <w:color w:val="000000"/>
              </w:rPr>
              <w:lastRenderedPageBreak/>
              <w:t>Niemierzalne</w:t>
            </w:r>
          </w:p>
        </w:tc>
        <w:tc>
          <w:tcPr>
            <w:tcW w:w="1752" w:type="dxa"/>
            <w:gridSpan w:val="5"/>
            <w:shd w:val="clear" w:color="auto" w:fill="FFFFFF"/>
          </w:tcPr>
          <w:p w:rsidR="00CF17CA" w:rsidRPr="005966CB" w:rsidRDefault="004565D6" w:rsidP="009A1664">
            <w:pPr>
              <w:tabs>
                <w:tab w:val="right" w:pos="1936"/>
              </w:tabs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403" w:type="dxa"/>
            <w:gridSpan w:val="24"/>
            <w:shd w:val="clear" w:color="auto" w:fill="FFFFFF"/>
          </w:tcPr>
          <w:p w:rsidR="00CF17CA" w:rsidRPr="005966CB" w:rsidRDefault="004565D6" w:rsidP="009A166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F17CA" w:rsidRPr="008B4FE6" w:rsidTr="003A7758">
        <w:trPr>
          <w:gridAfter w:val="2"/>
          <w:wAfter w:w="26" w:type="dxa"/>
          <w:trHeight w:val="70"/>
        </w:trPr>
        <w:tc>
          <w:tcPr>
            <w:tcW w:w="1596" w:type="dxa"/>
            <w:shd w:val="clear" w:color="auto" w:fill="FFFFFF"/>
          </w:tcPr>
          <w:p w:rsidR="00CF17CA" w:rsidRPr="005966CB" w:rsidRDefault="00CF17CA" w:rsidP="008D645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96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9155" w:type="dxa"/>
            <w:gridSpan w:val="29"/>
            <w:shd w:val="clear" w:color="auto" w:fill="FFFFFF"/>
            <w:vAlign w:val="center"/>
          </w:tcPr>
          <w:p w:rsidR="004565D6" w:rsidRDefault="004565D6" w:rsidP="004565D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 rozporządzenie  nie  będzie  miało  wpływu  na  rodzinę,  obywateli  i  gospodarstwa  domowe, w szczególności na sytuację ekonomiczną i społeczną rodziny, a także osób niepełnosprawnych oraz osób starszych.</w:t>
            </w:r>
          </w:p>
          <w:p w:rsidR="00CF17CA" w:rsidRPr="005966CB" w:rsidRDefault="00CF17CA" w:rsidP="008D645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91201" w:rsidRPr="008B4FE6" w:rsidTr="00FC3157">
        <w:trPr>
          <w:gridAfter w:val="2"/>
          <w:wAfter w:w="26" w:type="dxa"/>
          <w:trHeight w:val="342"/>
        </w:trPr>
        <w:tc>
          <w:tcPr>
            <w:tcW w:w="10751" w:type="dxa"/>
            <w:gridSpan w:val="30"/>
            <w:shd w:val="clear" w:color="auto" w:fill="99CCFF"/>
            <w:vAlign w:val="center"/>
          </w:tcPr>
          <w:p w:rsidR="00C91201" w:rsidRPr="005966CB" w:rsidRDefault="00C91201" w:rsidP="00C9120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C91201" w:rsidRPr="008B4FE6" w:rsidTr="00FC3157">
        <w:trPr>
          <w:gridAfter w:val="2"/>
          <w:wAfter w:w="26" w:type="dxa"/>
          <w:trHeight w:val="151"/>
        </w:trPr>
        <w:tc>
          <w:tcPr>
            <w:tcW w:w="10751" w:type="dxa"/>
            <w:gridSpan w:val="30"/>
            <w:shd w:val="clear" w:color="auto" w:fill="FFFFFF"/>
          </w:tcPr>
          <w:p w:rsidR="00C91201" w:rsidRPr="005966CB" w:rsidRDefault="004565D6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4D68">
              <w:rPr>
                <w:rFonts w:ascii="Times New Roman" w:hAnsi="Times New Roman"/>
                <w:color w:val="000000"/>
              </w:rPr>
            </w:r>
            <w:r w:rsidR="00024D68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91201" w:rsidRPr="008B4FE6" w:rsidTr="00FC3157">
        <w:trPr>
          <w:gridAfter w:val="2"/>
          <w:wAfter w:w="26" w:type="dxa"/>
          <w:trHeight w:val="946"/>
        </w:trPr>
        <w:tc>
          <w:tcPr>
            <w:tcW w:w="4404" w:type="dxa"/>
            <w:gridSpan w:val="10"/>
            <w:shd w:val="clear" w:color="auto" w:fill="FFFFFF"/>
          </w:tcPr>
          <w:p w:rsidR="00C91201" w:rsidRPr="005966CB" w:rsidRDefault="00C91201" w:rsidP="00C9120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966CB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966CB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347" w:type="dxa"/>
            <w:gridSpan w:val="20"/>
            <w:shd w:val="clear" w:color="auto" w:fill="FFFFFF"/>
          </w:tcPr>
          <w:p w:rsidR="00FB04A8" w:rsidRPr="005966CB" w:rsidRDefault="00024D68" w:rsidP="00FB04A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375889583"/>
              </w:sdtPr>
              <w:sdtEndPr/>
              <w:sdtContent>
                <w:r w:rsidR="00FB04A8" w:rsidRPr="005777C1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FB04A8" w:rsidRPr="005966CB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FB04A8" w:rsidRPr="005966CB" w:rsidRDefault="00024D68" w:rsidP="00FB04A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618713227"/>
              </w:sdtPr>
              <w:sdtEndPr/>
              <w:sdtContent>
                <w:r w:rsidR="00FB04A8">
                  <w:rPr>
                    <w:rFonts w:ascii="MS Gothic" w:eastAsia="MS Gothic" w:hAnsi="MS Gothic" w:cs="MS Gothic"/>
                    <w:color w:val="000000"/>
                  </w:rPr>
                  <w:t>X</w:t>
                </w:r>
              </w:sdtContent>
            </w:sdt>
            <w:r w:rsidR="00FB04A8" w:rsidRPr="005966C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FB04A8" w:rsidRPr="005966CB" w:rsidRDefault="00024D68" w:rsidP="00FB04A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905603667"/>
              </w:sdtPr>
              <w:sdtEndPr/>
              <w:sdtContent>
                <w:r w:rsidR="00FB04A8" w:rsidRPr="005777C1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FB04A8" w:rsidRPr="005966C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C91201" w:rsidRPr="005966CB" w:rsidRDefault="00C91201" w:rsidP="00A46C6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1201" w:rsidRPr="008B4FE6" w:rsidTr="00FC3157">
        <w:trPr>
          <w:gridAfter w:val="2"/>
          <w:wAfter w:w="26" w:type="dxa"/>
          <w:trHeight w:val="1245"/>
        </w:trPr>
        <w:tc>
          <w:tcPr>
            <w:tcW w:w="4404" w:type="dxa"/>
            <w:gridSpan w:val="10"/>
            <w:shd w:val="clear" w:color="auto" w:fill="FFFFFF"/>
          </w:tcPr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  <w:spacing w:val="-2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  <w:spacing w:val="-2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  <w:spacing w:val="-2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:rsidR="00C91201" w:rsidRPr="005966CB" w:rsidRDefault="00024D68" w:rsidP="00FB04A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pacing w:val="-2"/>
                    </w:rPr>
                    <w:id w:val="74718682"/>
                  </w:sdtPr>
                  <w:sdtEndPr/>
                  <w:sdtContent>
                    <w:r w:rsidR="001B37CF" w:rsidRPr="005777C1">
                      <w:rPr>
                        <w:rFonts w:ascii="MS Gothic" w:eastAsia="MS Gothic" w:hAnsi="MS Gothic" w:cs="MS Gothic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C91201" w:rsidRPr="005966CB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6347" w:type="dxa"/>
            <w:gridSpan w:val="20"/>
            <w:shd w:val="clear" w:color="auto" w:fill="FFFFFF"/>
          </w:tcPr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  <w:spacing w:val="-2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</w:rPr>
              <w:t xml:space="preserve"> </w:t>
            </w:r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  <w:spacing w:val="-2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pacing w:val="-2"/>
                    </w:rPr>
                    <w:id w:val="1363562607"/>
                  </w:sdtPr>
                  <w:sdtEndPr/>
                  <w:sdtContent>
                    <w:r w:rsidR="001B37CF" w:rsidRPr="005777C1">
                      <w:rPr>
                        <w:rFonts w:ascii="MS Gothic" w:eastAsia="MS Gothic" w:hAnsi="MS Gothic" w:cs="MS Gothic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C91201" w:rsidRPr="005966CB">
              <w:rPr>
                <w:rFonts w:ascii="Times New Roman" w:hAnsi="Times New Roman"/>
                <w:color w:val="000000"/>
              </w:rPr>
              <w:t xml:space="preserve"> …</w:t>
            </w:r>
          </w:p>
          <w:p w:rsidR="00C91201" w:rsidRPr="005966CB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91201" w:rsidRPr="008B4FE6" w:rsidTr="00FC3157">
        <w:trPr>
          <w:gridAfter w:val="2"/>
          <w:wAfter w:w="26" w:type="dxa"/>
          <w:trHeight w:val="870"/>
        </w:trPr>
        <w:tc>
          <w:tcPr>
            <w:tcW w:w="4404" w:type="dxa"/>
            <w:gridSpan w:val="10"/>
            <w:shd w:val="clear" w:color="auto" w:fill="FFFFFF"/>
          </w:tcPr>
          <w:p w:rsidR="00C91201" w:rsidRPr="005966CB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66CB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347" w:type="dxa"/>
            <w:gridSpan w:val="20"/>
            <w:shd w:val="clear" w:color="auto" w:fill="FFFFFF"/>
          </w:tcPr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</w:sdtPr>
              <w:sdtEndPr/>
              <w:sdtContent>
                <w:r w:rsidR="00A46C65">
                  <w:rPr>
                    <w:rFonts w:ascii="MS Gothic" w:eastAsia="MS Gothic" w:hAnsi="MS Gothic" w:cs="MS Gothic"/>
                    <w:color w:val="000000"/>
                  </w:rPr>
                  <w:t>X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C91201" w:rsidRPr="005966CB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91201" w:rsidRPr="008B4FE6" w:rsidTr="00FC3157">
        <w:trPr>
          <w:gridAfter w:val="2"/>
          <w:wAfter w:w="26" w:type="dxa"/>
          <w:trHeight w:val="630"/>
        </w:trPr>
        <w:tc>
          <w:tcPr>
            <w:tcW w:w="10751" w:type="dxa"/>
            <w:gridSpan w:val="30"/>
            <w:shd w:val="clear" w:color="auto" w:fill="FFFFFF"/>
          </w:tcPr>
          <w:p w:rsidR="009E3B55" w:rsidRPr="00C20BB6" w:rsidRDefault="004565D6" w:rsidP="004565D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konsekwencji projektowanych regulacji zwiększy się zakres dokumentacji projektowej o </w:t>
            </w:r>
            <w:r w:rsidR="00B065BA">
              <w:rPr>
                <w:rFonts w:ascii="Times New Roman" w:hAnsi="Times New Roman"/>
                <w:color w:val="000000"/>
                <w:spacing w:val="-2"/>
              </w:rPr>
              <w:t>przedmiot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wprowadzanej zmiany. Jednocześnie ilość wymaganych dokumentów nie ulegnie zmianie.</w:t>
            </w: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99CCFF"/>
          </w:tcPr>
          <w:p w:rsidR="00C91201" w:rsidRPr="005966CB" w:rsidRDefault="00C91201" w:rsidP="00C9120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auto"/>
          </w:tcPr>
          <w:p w:rsidR="00C91201" w:rsidRPr="005966CB" w:rsidRDefault="00C91201" w:rsidP="00C9120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91201" w:rsidRPr="005966CB" w:rsidRDefault="00203AE0" w:rsidP="00C9120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3ECE">
              <w:rPr>
                <w:rFonts w:ascii="Times New Roman" w:hAnsi="Times New Roman"/>
                <w:color w:val="000000"/>
              </w:rPr>
              <w:t xml:space="preserve">Wejście w życie proponowanych w projekcie rozporządzenia rozwiązań </w:t>
            </w:r>
            <w:r w:rsidRPr="002719BE">
              <w:rPr>
                <w:rFonts w:ascii="Times New Roman" w:hAnsi="Times New Roman"/>
                <w:color w:val="000000"/>
              </w:rPr>
              <w:t>przewiduje pozytywny wpływ na rynek pracy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719BE">
              <w:rPr>
                <w:rFonts w:ascii="Times New Roman" w:hAnsi="Times New Roman"/>
                <w:color w:val="000000"/>
              </w:rPr>
              <w:t xml:space="preserve"> związany z rozwojem</w:t>
            </w:r>
            <w:r>
              <w:rPr>
                <w:rFonts w:ascii="Times New Roman" w:hAnsi="Times New Roman"/>
                <w:color w:val="000000"/>
              </w:rPr>
              <w:t xml:space="preserve"> infrastruktury na potrzeby ładowania pojazdów elektrycznych oraz </w:t>
            </w:r>
            <w:r w:rsidRPr="001B047F">
              <w:rPr>
                <w:rFonts w:ascii="Times New Roman" w:hAnsi="Times New Roman"/>
                <w:i/>
                <w:color w:val="000000"/>
              </w:rPr>
              <w:t xml:space="preserve">urządzeń samoregulujących </w:t>
            </w:r>
            <w:r>
              <w:rPr>
                <w:rFonts w:ascii="Times New Roman" w:hAnsi="Times New Roman"/>
                <w:color w:val="000000"/>
              </w:rPr>
              <w:t>w budynkach.</w:t>
            </w: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99CCFF"/>
          </w:tcPr>
          <w:p w:rsidR="00C91201" w:rsidRPr="005966CB" w:rsidRDefault="00C91201" w:rsidP="00C9120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966CB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91201" w:rsidRPr="008B4FE6" w:rsidTr="00FC3157">
        <w:trPr>
          <w:gridAfter w:val="2"/>
          <w:wAfter w:w="26" w:type="dxa"/>
          <w:trHeight w:val="1031"/>
        </w:trPr>
        <w:tc>
          <w:tcPr>
            <w:tcW w:w="3006" w:type="dxa"/>
            <w:gridSpan w:val="4"/>
            <w:shd w:val="clear" w:color="auto" w:fill="FFFFFF"/>
          </w:tcPr>
          <w:p w:rsidR="00C91201" w:rsidRPr="005966CB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pacing w:val="-2"/>
                    </w:rPr>
                    <w:id w:val="-1985386311"/>
                  </w:sdtPr>
                  <w:sdtEndPr/>
                  <w:sdtContent>
                    <w:r w:rsidR="001B37CF" w:rsidRPr="005777C1">
                      <w:rPr>
                        <w:rFonts w:ascii="MS Gothic" w:eastAsia="MS Gothic" w:hAnsi="MS Gothic" w:cs="MS Gothic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C91201" w:rsidRPr="005966CB">
              <w:rPr>
                <w:rFonts w:ascii="Times New Roman" w:hAnsi="Times New Roman"/>
                <w:color w:val="000000"/>
              </w:rPr>
              <w:t xml:space="preserve"> </w:t>
            </w:r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  <w:spacing w:val="-2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="00C91201" w:rsidRPr="005966CB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521" w:type="dxa"/>
            <w:gridSpan w:val="14"/>
            <w:shd w:val="clear" w:color="auto" w:fill="FFFFFF"/>
          </w:tcPr>
          <w:p w:rsidR="00C91201" w:rsidRPr="005966CB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  <w:spacing w:val="-2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4224" w:type="dxa"/>
            <w:gridSpan w:val="12"/>
            <w:shd w:val="clear" w:color="auto" w:fill="FFFFFF"/>
          </w:tcPr>
          <w:p w:rsidR="00C91201" w:rsidRPr="005966CB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C91201" w:rsidRPr="005966CB" w:rsidRDefault="00024D68" w:rsidP="00C9120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</w:sdtPr>
              <w:sdtEndPr/>
              <w:sdtContent>
                <w:r w:rsidR="00C91201" w:rsidRPr="005777C1">
                  <w:rPr>
                    <w:rFonts w:ascii="MS Gothic" w:eastAsia="MS Gothic" w:hAnsi="MS Gothic" w:cs="MS Gothic"/>
                    <w:color w:val="000000"/>
                    <w:spacing w:val="-2"/>
                  </w:rPr>
                  <w:t>☐</w:t>
                </w:r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:rsidR="00C91201" w:rsidRPr="005966CB" w:rsidRDefault="00024D68" w:rsidP="00A46C6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  <w:spacing w:val="-2"/>
                    </w:rPr>
                    <w:id w:val="1224028444"/>
                  </w:sdtPr>
                  <w:sdtEndPr/>
                  <w:sdtContent>
                    <w:r w:rsidR="00A46C65" w:rsidRPr="005777C1">
                      <w:rPr>
                        <w:rFonts w:ascii="MS Gothic" w:eastAsia="MS Gothic" w:hAnsi="MS Gothic" w:cs="MS Gothic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C91201" w:rsidRPr="005966CB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C91201" w:rsidRPr="008B4FE6" w:rsidTr="00FC3157">
        <w:trPr>
          <w:trHeight w:val="712"/>
        </w:trPr>
        <w:tc>
          <w:tcPr>
            <w:tcW w:w="2127" w:type="dxa"/>
            <w:gridSpan w:val="2"/>
            <w:shd w:val="clear" w:color="auto" w:fill="FFFFFF"/>
            <w:vAlign w:val="center"/>
          </w:tcPr>
          <w:p w:rsidR="00C91201" w:rsidRPr="005966CB" w:rsidRDefault="00C91201" w:rsidP="00C9120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966CB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50" w:type="dxa"/>
            <w:gridSpan w:val="30"/>
            <w:shd w:val="clear" w:color="auto" w:fill="FFFFFF"/>
            <w:vAlign w:val="center"/>
          </w:tcPr>
          <w:p w:rsidR="00C91201" w:rsidRPr="005966CB" w:rsidRDefault="00C91201" w:rsidP="00C912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91201" w:rsidRPr="005966CB" w:rsidRDefault="00C91201" w:rsidP="00C912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99CCFF"/>
          </w:tcPr>
          <w:p w:rsidR="00C91201" w:rsidRPr="00627221" w:rsidRDefault="00C91201" w:rsidP="00C9120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FFFFFF"/>
          </w:tcPr>
          <w:p w:rsidR="00C91201" w:rsidRPr="00B37C80" w:rsidRDefault="00EF3631" w:rsidP="00E974A8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B590D">
              <w:rPr>
                <w:rFonts w:ascii="Times New Roman" w:hAnsi="Times New Roman"/>
                <w:spacing w:val="-2"/>
              </w:rPr>
              <w:t xml:space="preserve">Planowane jest 14-dniowe </w:t>
            </w:r>
            <w:r w:rsidRPr="008B590D">
              <w:rPr>
                <w:rFonts w:ascii="Times New Roman" w:hAnsi="Times New Roman"/>
                <w:i/>
                <w:spacing w:val="-2"/>
              </w:rPr>
              <w:t>vac</w:t>
            </w:r>
            <w:r>
              <w:rPr>
                <w:rFonts w:ascii="Times New Roman" w:hAnsi="Times New Roman"/>
                <w:i/>
                <w:spacing w:val="-2"/>
              </w:rPr>
              <w:t>a</w:t>
            </w:r>
            <w:r w:rsidRPr="008B590D">
              <w:rPr>
                <w:rFonts w:ascii="Times New Roman" w:hAnsi="Times New Roman"/>
                <w:i/>
                <w:spacing w:val="-2"/>
              </w:rPr>
              <w:t>tio legis</w:t>
            </w:r>
            <w:r w:rsidRPr="008B590D">
              <w:rPr>
                <w:rFonts w:ascii="Times New Roman" w:hAnsi="Times New Roman"/>
                <w:spacing w:val="-2"/>
              </w:rPr>
              <w:t xml:space="preserve"> dl</w:t>
            </w:r>
            <w:r>
              <w:rPr>
                <w:rFonts w:ascii="Times New Roman" w:hAnsi="Times New Roman"/>
                <w:spacing w:val="-2"/>
              </w:rPr>
              <w:t>a projektowanego rozporządzenia.</w:t>
            </w: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99CCFF"/>
          </w:tcPr>
          <w:p w:rsidR="00C91201" w:rsidRPr="008B4FE6" w:rsidRDefault="00C91201" w:rsidP="00C9120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91201" w:rsidRPr="008B4FE6" w:rsidTr="00FC3157">
        <w:trPr>
          <w:gridAfter w:val="2"/>
          <w:wAfter w:w="26" w:type="dxa"/>
          <w:trHeight w:val="458"/>
        </w:trPr>
        <w:tc>
          <w:tcPr>
            <w:tcW w:w="10751" w:type="dxa"/>
            <w:gridSpan w:val="30"/>
            <w:shd w:val="clear" w:color="auto" w:fill="FFFFFF"/>
          </w:tcPr>
          <w:p w:rsidR="001B5D4E" w:rsidRPr="00B37C80" w:rsidRDefault="00EF3631" w:rsidP="00E905E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83C3C">
              <w:rPr>
                <w:rFonts w:ascii="Times New Roman" w:hAnsi="Times New Roman"/>
                <w:spacing w:val="-2"/>
              </w:rPr>
              <w:t>Z uwagi na zakres regulacji nie zachodzi potrzeba dokonania ewaluacji efektów zaproponowanych rozwiązań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99CCFF"/>
          </w:tcPr>
          <w:p w:rsidR="00C91201" w:rsidRPr="008B4FE6" w:rsidRDefault="00C91201" w:rsidP="00C9120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91201" w:rsidRPr="008B4FE6" w:rsidTr="00FC3157">
        <w:trPr>
          <w:gridAfter w:val="2"/>
          <w:wAfter w:w="26" w:type="dxa"/>
          <w:trHeight w:val="142"/>
        </w:trPr>
        <w:tc>
          <w:tcPr>
            <w:tcW w:w="10751" w:type="dxa"/>
            <w:gridSpan w:val="30"/>
            <w:shd w:val="clear" w:color="auto" w:fill="FFFFFF"/>
          </w:tcPr>
          <w:p w:rsidR="00C91201" w:rsidRPr="00B37C80" w:rsidRDefault="00C91201" w:rsidP="00C912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91201" w:rsidRPr="00B37C80" w:rsidRDefault="00C91201" w:rsidP="00C912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C91201" w:rsidRPr="00B37C80" w:rsidRDefault="00C91201" w:rsidP="00C912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9D0655" w:rsidP="00546324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68" w:rsidRDefault="00024D68" w:rsidP="00044739">
      <w:pPr>
        <w:spacing w:line="240" w:lineRule="auto"/>
      </w:pPr>
      <w:r>
        <w:separator/>
      </w:r>
    </w:p>
  </w:endnote>
  <w:endnote w:type="continuationSeparator" w:id="0">
    <w:p w:rsidR="00024D68" w:rsidRDefault="00024D6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68" w:rsidRDefault="00024D68" w:rsidP="00044739">
      <w:pPr>
        <w:spacing w:line="240" w:lineRule="auto"/>
      </w:pPr>
      <w:r>
        <w:separator/>
      </w:r>
    </w:p>
  </w:footnote>
  <w:footnote w:type="continuationSeparator" w:id="0">
    <w:p w:rsidR="00024D68" w:rsidRDefault="00024D6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936"/>
    <w:multiLevelType w:val="hybridMultilevel"/>
    <w:tmpl w:val="B43E3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684F"/>
    <w:multiLevelType w:val="hybridMultilevel"/>
    <w:tmpl w:val="D2C0BB2E"/>
    <w:lvl w:ilvl="0" w:tplc="8332B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1620"/>
    <w:multiLevelType w:val="hybridMultilevel"/>
    <w:tmpl w:val="FAE0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23852"/>
    <w:multiLevelType w:val="hybridMultilevel"/>
    <w:tmpl w:val="D722C380"/>
    <w:lvl w:ilvl="0" w:tplc="F9E8D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DDB2DC9"/>
    <w:multiLevelType w:val="hybridMultilevel"/>
    <w:tmpl w:val="7114681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2E21"/>
    <w:multiLevelType w:val="hybridMultilevel"/>
    <w:tmpl w:val="AAC28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3"/>
  </w:num>
  <w:num w:numId="5">
    <w:abstractNumId w:val="2"/>
  </w:num>
  <w:num w:numId="6">
    <w:abstractNumId w:val="8"/>
  </w:num>
  <w:num w:numId="7">
    <w:abstractNumId w:val="17"/>
  </w:num>
  <w:num w:numId="8">
    <w:abstractNumId w:val="5"/>
  </w:num>
  <w:num w:numId="9">
    <w:abstractNumId w:val="19"/>
  </w:num>
  <w:num w:numId="10">
    <w:abstractNumId w:val="14"/>
  </w:num>
  <w:num w:numId="11">
    <w:abstractNumId w:val="18"/>
  </w:num>
  <w:num w:numId="12">
    <w:abstractNumId w:val="3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6"/>
  </w:num>
  <w:num w:numId="18">
    <w:abstractNumId w:val="25"/>
  </w:num>
  <w:num w:numId="19">
    <w:abstractNumId w:val="26"/>
  </w:num>
  <w:num w:numId="20">
    <w:abstractNumId w:val="21"/>
  </w:num>
  <w:num w:numId="21">
    <w:abstractNumId w:val="7"/>
  </w:num>
  <w:num w:numId="22">
    <w:abstractNumId w:val="9"/>
  </w:num>
  <w:num w:numId="23">
    <w:abstractNumId w:val="15"/>
  </w:num>
  <w:num w:numId="24">
    <w:abstractNumId w:val="10"/>
  </w:num>
  <w:num w:numId="25">
    <w:abstractNumId w:val="16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2D45"/>
    <w:rsid w:val="00004C6A"/>
    <w:rsid w:val="00004C7F"/>
    <w:rsid w:val="00012D11"/>
    <w:rsid w:val="00013EB5"/>
    <w:rsid w:val="00020C49"/>
    <w:rsid w:val="00023836"/>
    <w:rsid w:val="00024D68"/>
    <w:rsid w:val="000356A9"/>
    <w:rsid w:val="000365F6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2AD5"/>
    <w:rsid w:val="00083366"/>
    <w:rsid w:val="000944AC"/>
    <w:rsid w:val="00094CB9"/>
    <w:rsid w:val="000956B2"/>
    <w:rsid w:val="000969E7"/>
    <w:rsid w:val="000A23DE"/>
    <w:rsid w:val="000A4020"/>
    <w:rsid w:val="000B1B62"/>
    <w:rsid w:val="000B52AB"/>
    <w:rsid w:val="000B54FB"/>
    <w:rsid w:val="000C07EA"/>
    <w:rsid w:val="000C1850"/>
    <w:rsid w:val="000C29B0"/>
    <w:rsid w:val="000C76FC"/>
    <w:rsid w:val="000D38FC"/>
    <w:rsid w:val="000D4D90"/>
    <w:rsid w:val="000E2D10"/>
    <w:rsid w:val="000F1DA0"/>
    <w:rsid w:val="000F3204"/>
    <w:rsid w:val="000F6389"/>
    <w:rsid w:val="000F6556"/>
    <w:rsid w:val="0010548B"/>
    <w:rsid w:val="001072D1"/>
    <w:rsid w:val="00117017"/>
    <w:rsid w:val="00120FF0"/>
    <w:rsid w:val="00130E8E"/>
    <w:rsid w:val="0013216E"/>
    <w:rsid w:val="001401B5"/>
    <w:rsid w:val="001422B9"/>
    <w:rsid w:val="0014665F"/>
    <w:rsid w:val="001518CF"/>
    <w:rsid w:val="00153464"/>
    <w:rsid w:val="00153F18"/>
    <w:rsid w:val="001541B3"/>
    <w:rsid w:val="001542D8"/>
    <w:rsid w:val="00155B15"/>
    <w:rsid w:val="001625BE"/>
    <w:rsid w:val="001643A4"/>
    <w:rsid w:val="001727BB"/>
    <w:rsid w:val="00180D25"/>
    <w:rsid w:val="0018318D"/>
    <w:rsid w:val="0018572C"/>
    <w:rsid w:val="001878FE"/>
    <w:rsid w:val="00187E79"/>
    <w:rsid w:val="00187F0D"/>
    <w:rsid w:val="001916C4"/>
    <w:rsid w:val="001917A4"/>
    <w:rsid w:val="00191C68"/>
    <w:rsid w:val="00192CC5"/>
    <w:rsid w:val="001956A7"/>
    <w:rsid w:val="001A118A"/>
    <w:rsid w:val="001A27F4"/>
    <w:rsid w:val="001A2D95"/>
    <w:rsid w:val="001A7E05"/>
    <w:rsid w:val="001B3460"/>
    <w:rsid w:val="001B37CF"/>
    <w:rsid w:val="001B4CA1"/>
    <w:rsid w:val="001B5D4E"/>
    <w:rsid w:val="001B75D8"/>
    <w:rsid w:val="001C1060"/>
    <w:rsid w:val="001C3C63"/>
    <w:rsid w:val="001D4732"/>
    <w:rsid w:val="001D6A3C"/>
    <w:rsid w:val="001D6D51"/>
    <w:rsid w:val="001E48DB"/>
    <w:rsid w:val="001F653A"/>
    <w:rsid w:val="001F6979"/>
    <w:rsid w:val="00202BC6"/>
    <w:rsid w:val="00203AE0"/>
    <w:rsid w:val="00204298"/>
    <w:rsid w:val="00205141"/>
    <w:rsid w:val="0020516B"/>
    <w:rsid w:val="00205447"/>
    <w:rsid w:val="002106A4"/>
    <w:rsid w:val="002116F8"/>
    <w:rsid w:val="00213559"/>
    <w:rsid w:val="00213EFD"/>
    <w:rsid w:val="00216126"/>
    <w:rsid w:val="002172F1"/>
    <w:rsid w:val="00223C7B"/>
    <w:rsid w:val="00224AB1"/>
    <w:rsid w:val="0022687A"/>
    <w:rsid w:val="00230728"/>
    <w:rsid w:val="00232F2D"/>
    <w:rsid w:val="00234040"/>
    <w:rsid w:val="002357A8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0C98"/>
    <w:rsid w:val="00271558"/>
    <w:rsid w:val="0027462D"/>
    <w:rsid w:val="00274862"/>
    <w:rsid w:val="00282D72"/>
    <w:rsid w:val="00283402"/>
    <w:rsid w:val="00290FD6"/>
    <w:rsid w:val="00294259"/>
    <w:rsid w:val="002948C9"/>
    <w:rsid w:val="00296134"/>
    <w:rsid w:val="00297F26"/>
    <w:rsid w:val="002A2C81"/>
    <w:rsid w:val="002A33A8"/>
    <w:rsid w:val="002A4CE9"/>
    <w:rsid w:val="002A7A1F"/>
    <w:rsid w:val="002B3D1A"/>
    <w:rsid w:val="002B4639"/>
    <w:rsid w:val="002C0869"/>
    <w:rsid w:val="002C27D0"/>
    <w:rsid w:val="002C2C9B"/>
    <w:rsid w:val="002D13CC"/>
    <w:rsid w:val="002D170F"/>
    <w:rsid w:val="002D17D6"/>
    <w:rsid w:val="002D18D7"/>
    <w:rsid w:val="002D21CE"/>
    <w:rsid w:val="002D5B25"/>
    <w:rsid w:val="002E168F"/>
    <w:rsid w:val="002E3DA3"/>
    <w:rsid w:val="002E450F"/>
    <w:rsid w:val="002E6B38"/>
    <w:rsid w:val="002E6D63"/>
    <w:rsid w:val="002E6E2B"/>
    <w:rsid w:val="002F500B"/>
    <w:rsid w:val="002F776A"/>
    <w:rsid w:val="00300991"/>
    <w:rsid w:val="00300C9B"/>
    <w:rsid w:val="00301959"/>
    <w:rsid w:val="003044F7"/>
    <w:rsid w:val="0030486E"/>
    <w:rsid w:val="0030562F"/>
    <w:rsid w:val="00305B3B"/>
    <w:rsid w:val="00305B8A"/>
    <w:rsid w:val="0031317C"/>
    <w:rsid w:val="003168C0"/>
    <w:rsid w:val="00331BF9"/>
    <w:rsid w:val="0033435A"/>
    <w:rsid w:val="0033495E"/>
    <w:rsid w:val="00334A79"/>
    <w:rsid w:val="00334D8D"/>
    <w:rsid w:val="00335C34"/>
    <w:rsid w:val="00337345"/>
    <w:rsid w:val="00337DD2"/>
    <w:rsid w:val="003404D1"/>
    <w:rsid w:val="003443FF"/>
    <w:rsid w:val="0034598B"/>
    <w:rsid w:val="00351A24"/>
    <w:rsid w:val="003539EC"/>
    <w:rsid w:val="00355808"/>
    <w:rsid w:val="00361146"/>
    <w:rsid w:val="00361AFA"/>
    <w:rsid w:val="00362C7E"/>
    <w:rsid w:val="00363309"/>
    <w:rsid w:val="00363601"/>
    <w:rsid w:val="00366C3B"/>
    <w:rsid w:val="00371857"/>
    <w:rsid w:val="00376AC9"/>
    <w:rsid w:val="00380712"/>
    <w:rsid w:val="003821E8"/>
    <w:rsid w:val="00383CD5"/>
    <w:rsid w:val="00393032"/>
    <w:rsid w:val="00394B69"/>
    <w:rsid w:val="00397078"/>
    <w:rsid w:val="003A345A"/>
    <w:rsid w:val="003A6953"/>
    <w:rsid w:val="003B6083"/>
    <w:rsid w:val="003B60A3"/>
    <w:rsid w:val="003C3838"/>
    <w:rsid w:val="003C5847"/>
    <w:rsid w:val="003D0681"/>
    <w:rsid w:val="003D12F6"/>
    <w:rsid w:val="003D1426"/>
    <w:rsid w:val="003E2F4E"/>
    <w:rsid w:val="003E720A"/>
    <w:rsid w:val="00400936"/>
    <w:rsid w:val="00403E6E"/>
    <w:rsid w:val="00410ED4"/>
    <w:rsid w:val="004129B4"/>
    <w:rsid w:val="00416423"/>
    <w:rsid w:val="00417EF0"/>
    <w:rsid w:val="00422181"/>
    <w:rsid w:val="004244A8"/>
    <w:rsid w:val="00425F72"/>
    <w:rsid w:val="00427736"/>
    <w:rsid w:val="00430E4A"/>
    <w:rsid w:val="00433B24"/>
    <w:rsid w:val="00441787"/>
    <w:rsid w:val="00444F2D"/>
    <w:rsid w:val="0045032D"/>
    <w:rsid w:val="00452034"/>
    <w:rsid w:val="00455FA6"/>
    <w:rsid w:val="004565D6"/>
    <w:rsid w:val="00461400"/>
    <w:rsid w:val="00466C70"/>
    <w:rsid w:val="0047013B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43"/>
    <w:rsid w:val="004A7BD7"/>
    <w:rsid w:val="004C15C2"/>
    <w:rsid w:val="004C1C4A"/>
    <w:rsid w:val="004C25A6"/>
    <w:rsid w:val="004C36D8"/>
    <w:rsid w:val="004D1248"/>
    <w:rsid w:val="004D1E3C"/>
    <w:rsid w:val="004D4169"/>
    <w:rsid w:val="004D6E14"/>
    <w:rsid w:val="004E4484"/>
    <w:rsid w:val="004F0575"/>
    <w:rsid w:val="004F4E17"/>
    <w:rsid w:val="004F60E6"/>
    <w:rsid w:val="0050082F"/>
    <w:rsid w:val="00500C56"/>
    <w:rsid w:val="00501713"/>
    <w:rsid w:val="005054AA"/>
    <w:rsid w:val="005056B2"/>
    <w:rsid w:val="00506568"/>
    <w:rsid w:val="00512FF6"/>
    <w:rsid w:val="0051551B"/>
    <w:rsid w:val="005157A4"/>
    <w:rsid w:val="00516AF2"/>
    <w:rsid w:val="00520C57"/>
    <w:rsid w:val="00522D94"/>
    <w:rsid w:val="0052471F"/>
    <w:rsid w:val="005304C3"/>
    <w:rsid w:val="0053383E"/>
    <w:rsid w:val="00533D89"/>
    <w:rsid w:val="00536564"/>
    <w:rsid w:val="00544597"/>
    <w:rsid w:val="00544FFE"/>
    <w:rsid w:val="00546324"/>
    <w:rsid w:val="005473F5"/>
    <w:rsid w:val="005477E7"/>
    <w:rsid w:val="00552794"/>
    <w:rsid w:val="00553A35"/>
    <w:rsid w:val="0055528C"/>
    <w:rsid w:val="00563199"/>
    <w:rsid w:val="00564874"/>
    <w:rsid w:val="00564F3A"/>
    <w:rsid w:val="00567963"/>
    <w:rsid w:val="0057009A"/>
    <w:rsid w:val="00571260"/>
    <w:rsid w:val="0057189C"/>
    <w:rsid w:val="00571966"/>
    <w:rsid w:val="00573FC1"/>
    <w:rsid w:val="005741EE"/>
    <w:rsid w:val="00574DCB"/>
    <w:rsid w:val="0057668E"/>
    <w:rsid w:val="005777C1"/>
    <w:rsid w:val="00595E83"/>
    <w:rsid w:val="00596530"/>
    <w:rsid w:val="005966CB"/>
    <w:rsid w:val="005967F3"/>
    <w:rsid w:val="005A06DF"/>
    <w:rsid w:val="005A5527"/>
    <w:rsid w:val="005A5AE6"/>
    <w:rsid w:val="005B1206"/>
    <w:rsid w:val="005B2A1B"/>
    <w:rsid w:val="005B37E8"/>
    <w:rsid w:val="005C0056"/>
    <w:rsid w:val="005D61D6"/>
    <w:rsid w:val="005E0D13"/>
    <w:rsid w:val="005E5047"/>
    <w:rsid w:val="005E6B0A"/>
    <w:rsid w:val="005E7205"/>
    <w:rsid w:val="005E7371"/>
    <w:rsid w:val="005F116C"/>
    <w:rsid w:val="005F1D1C"/>
    <w:rsid w:val="005F2131"/>
    <w:rsid w:val="005F3438"/>
    <w:rsid w:val="005F39F6"/>
    <w:rsid w:val="00605EF6"/>
    <w:rsid w:val="00606455"/>
    <w:rsid w:val="00612E3B"/>
    <w:rsid w:val="00614929"/>
    <w:rsid w:val="00614DB2"/>
    <w:rsid w:val="00616511"/>
    <w:rsid w:val="00616556"/>
    <w:rsid w:val="006176ED"/>
    <w:rsid w:val="006202F3"/>
    <w:rsid w:val="0062097A"/>
    <w:rsid w:val="00621DA6"/>
    <w:rsid w:val="00622AE5"/>
    <w:rsid w:val="00623CFE"/>
    <w:rsid w:val="00627220"/>
    <w:rsid w:val="00627221"/>
    <w:rsid w:val="00627EE8"/>
    <w:rsid w:val="006316FA"/>
    <w:rsid w:val="0063275A"/>
    <w:rsid w:val="006370D2"/>
    <w:rsid w:val="0064074F"/>
    <w:rsid w:val="00641E52"/>
    <w:rsid w:val="00641F55"/>
    <w:rsid w:val="00645E4A"/>
    <w:rsid w:val="00653688"/>
    <w:rsid w:val="0065687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6045"/>
    <w:rsid w:val="006A6925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5D96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53165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3501"/>
    <w:rsid w:val="007B4802"/>
    <w:rsid w:val="007B517A"/>
    <w:rsid w:val="007B6668"/>
    <w:rsid w:val="007B6B33"/>
    <w:rsid w:val="007C2701"/>
    <w:rsid w:val="007C78AD"/>
    <w:rsid w:val="007D2192"/>
    <w:rsid w:val="007F0021"/>
    <w:rsid w:val="007F2F52"/>
    <w:rsid w:val="007F48BC"/>
    <w:rsid w:val="00801F71"/>
    <w:rsid w:val="00805F28"/>
    <w:rsid w:val="0080749F"/>
    <w:rsid w:val="008100BB"/>
    <w:rsid w:val="00810AEC"/>
    <w:rsid w:val="00811D46"/>
    <w:rsid w:val="008125B0"/>
    <w:rsid w:val="008144CB"/>
    <w:rsid w:val="00821717"/>
    <w:rsid w:val="00824210"/>
    <w:rsid w:val="008263C0"/>
    <w:rsid w:val="00831661"/>
    <w:rsid w:val="00832011"/>
    <w:rsid w:val="008343A3"/>
    <w:rsid w:val="00835BF8"/>
    <w:rsid w:val="00841422"/>
    <w:rsid w:val="00841D3B"/>
    <w:rsid w:val="0084314C"/>
    <w:rsid w:val="00843171"/>
    <w:rsid w:val="008547E8"/>
    <w:rsid w:val="00856799"/>
    <w:rsid w:val="00857546"/>
    <w:rsid w:val="008575C3"/>
    <w:rsid w:val="00860EF0"/>
    <w:rsid w:val="0086142A"/>
    <w:rsid w:val="00863D28"/>
    <w:rsid w:val="008648C3"/>
    <w:rsid w:val="00872825"/>
    <w:rsid w:val="00876337"/>
    <w:rsid w:val="00880F26"/>
    <w:rsid w:val="008948B0"/>
    <w:rsid w:val="00896C2E"/>
    <w:rsid w:val="008A5095"/>
    <w:rsid w:val="008A608F"/>
    <w:rsid w:val="008A6378"/>
    <w:rsid w:val="008B1A9A"/>
    <w:rsid w:val="008B296D"/>
    <w:rsid w:val="008B4FE6"/>
    <w:rsid w:val="008B56C5"/>
    <w:rsid w:val="008B6C37"/>
    <w:rsid w:val="008D0244"/>
    <w:rsid w:val="008E18F7"/>
    <w:rsid w:val="008E1E10"/>
    <w:rsid w:val="008E291B"/>
    <w:rsid w:val="008E4F2F"/>
    <w:rsid w:val="008E74B0"/>
    <w:rsid w:val="008E7B1E"/>
    <w:rsid w:val="008F660D"/>
    <w:rsid w:val="009008A8"/>
    <w:rsid w:val="009063B0"/>
    <w:rsid w:val="00907106"/>
    <w:rsid w:val="009107FD"/>
    <w:rsid w:val="0091137C"/>
    <w:rsid w:val="00911567"/>
    <w:rsid w:val="009170D3"/>
    <w:rsid w:val="00917AAE"/>
    <w:rsid w:val="009251A9"/>
    <w:rsid w:val="00930699"/>
    <w:rsid w:val="00931F69"/>
    <w:rsid w:val="00934123"/>
    <w:rsid w:val="00943930"/>
    <w:rsid w:val="00954C30"/>
    <w:rsid w:val="00954CE4"/>
    <w:rsid w:val="00955774"/>
    <w:rsid w:val="009560B5"/>
    <w:rsid w:val="00963811"/>
    <w:rsid w:val="0096435C"/>
    <w:rsid w:val="009703D6"/>
    <w:rsid w:val="0097181B"/>
    <w:rsid w:val="00972E97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567"/>
    <w:rsid w:val="009877DC"/>
    <w:rsid w:val="00991F96"/>
    <w:rsid w:val="00995069"/>
    <w:rsid w:val="00996F0A"/>
    <w:rsid w:val="009A0658"/>
    <w:rsid w:val="009A1664"/>
    <w:rsid w:val="009A1D86"/>
    <w:rsid w:val="009B049C"/>
    <w:rsid w:val="009B11C8"/>
    <w:rsid w:val="009B2BCF"/>
    <w:rsid w:val="009B2FF8"/>
    <w:rsid w:val="009B5BA3"/>
    <w:rsid w:val="009C5181"/>
    <w:rsid w:val="009D0027"/>
    <w:rsid w:val="009D0655"/>
    <w:rsid w:val="009E1E98"/>
    <w:rsid w:val="009E3ABE"/>
    <w:rsid w:val="009E3B55"/>
    <w:rsid w:val="009E3C4B"/>
    <w:rsid w:val="009F0637"/>
    <w:rsid w:val="009F62A6"/>
    <w:rsid w:val="009F674F"/>
    <w:rsid w:val="009F6E75"/>
    <w:rsid w:val="009F799E"/>
    <w:rsid w:val="00A02020"/>
    <w:rsid w:val="00A025FA"/>
    <w:rsid w:val="00A0366E"/>
    <w:rsid w:val="00A056CB"/>
    <w:rsid w:val="00A07A29"/>
    <w:rsid w:val="00A10FF1"/>
    <w:rsid w:val="00A11592"/>
    <w:rsid w:val="00A127A5"/>
    <w:rsid w:val="00A1506B"/>
    <w:rsid w:val="00A17CB2"/>
    <w:rsid w:val="00A23191"/>
    <w:rsid w:val="00A24218"/>
    <w:rsid w:val="00A319C0"/>
    <w:rsid w:val="00A33560"/>
    <w:rsid w:val="00A356E2"/>
    <w:rsid w:val="00A364E4"/>
    <w:rsid w:val="00A371A5"/>
    <w:rsid w:val="00A43265"/>
    <w:rsid w:val="00A45CA1"/>
    <w:rsid w:val="00A46C65"/>
    <w:rsid w:val="00A47BDF"/>
    <w:rsid w:val="00A50E6A"/>
    <w:rsid w:val="00A51CD7"/>
    <w:rsid w:val="00A52ADB"/>
    <w:rsid w:val="00A533E8"/>
    <w:rsid w:val="00A542D9"/>
    <w:rsid w:val="00A56E64"/>
    <w:rsid w:val="00A624C3"/>
    <w:rsid w:val="00A6610C"/>
    <w:rsid w:val="00A6641C"/>
    <w:rsid w:val="00A75E95"/>
    <w:rsid w:val="00A767D2"/>
    <w:rsid w:val="00A77616"/>
    <w:rsid w:val="00A805DA"/>
    <w:rsid w:val="00A811B4"/>
    <w:rsid w:val="00A87CDE"/>
    <w:rsid w:val="00A9263C"/>
    <w:rsid w:val="00A92BAF"/>
    <w:rsid w:val="00A94629"/>
    <w:rsid w:val="00A94737"/>
    <w:rsid w:val="00A94BA3"/>
    <w:rsid w:val="00A96CBA"/>
    <w:rsid w:val="00A97C45"/>
    <w:rsid w:val="00AB0B0E"/>
    <w:rsid w:val="00AB1ACD"/>
    <w:rsid w:val="00AB1BAC"/>
    <w:rsid w:val="00AB277F"/>
    <w:rsid w:val="00AB4099"/>
    <w:rsid w:val="00AB449A"/>
    <w:rsid w:val="00AC4C48"/>
    <w:rsid w:val="00AC7A83"/>
    <w:rsid w:val="00AD14F9"/>
    <w:rsid w:val="00AD19DB"/>
    <w:rsid w:val="00AD35D6"/>
    <w:rsid w:val="00AD58C5"/>
    <w:rsid w:val="00AE12F2"/>
    <w:rsid w:val="00AE2C7B"/>
    <w:rsid w:val="00AE36C4"/>
    <w:rsid w:val="00AE472C"/>
    <w:rsid w:val="00AE5375"/>
    <w:rsid w:val="00AE6CF8"/>
    <w:rsid w:val="00AF4CAC"/>
    <w:rsid w:val="00AF6D09"/>
    <w:rsid w:val="00B03E0D"/>
    <w:rsid w:val="00B054F8"/>
    <w:rsid w:val="00B065BA"/>
    <w:rsid w:val="00B12E14"/>
    <w:rsid w:val="00B14551"/>
    <w:rsid w:val="00B2219A"/>
    <w:rsid w:val="00B3581B"/>
    <w:rsid w:val="00B36B81"/>
    <w:rsid w:val="00B36FEE"/>
    <w:rsid w:val="00B37C80"/>
    <w:rsid w:val="00B436AB"/>
    <w:rsid w:val="00B45334"/>
    <w:rsid w:val="00B5092B"/>
    <w:rsid w:val="00B5194E"/>
    <w:rsid w:val="00B51AF5"/>
    <w:rsid w:val="00B5292C"/>
    <w:rsid w:val="00B531FC"/>
    <w:rsid w:val="00B55347"/>
    <w:rsid w:val="00B5610E"/>
    <w:rsid w:val="00B57E4E"/>
    <w:rsid w:val="00B57E5E"/>
    <w:rsid w:val="00B606A8"/>
    <w:rsid w:val="00B61F37"/>
    <w:rsid w:val="00B707C0"/>
    <w:rsid w:val="00B70C3A"/>
    <w:rsid w:val="00B73CD0"/>
    <w:rsid w:val="00B74AEF"/>
    <w:rsid w:val="00B7770F"/>
    <w:rsid w:val="00B77A89"/>
    <w:rsid w:val="00B77B27"/>
    <w:rsid w:val="00B8134E"/>
    <w:rsid w:val="00B81B55"/>
    <w:rsid w:val="00B84613"/>
    <w:rsid w:val="00B87AF0"/>
    <w:rsid w:val="00B90350"/>
    <w:rsid w:val="00B9037B"/>
    <w:rsid w:val="00B910BD"/>
    <w:rsid w:val="00B9189C"/>
    <w:rsid w:val="00B919DD"/>
    <w:rsid w:val="00B93834"/>
    <w:rsid w:val="00B96469"/>
    <w:rsid w:val="00BA04A8"/>
    <w:rsid w:val="00BA0DA2"/>
    <w:rsid w:val="00BA2981"/>
    <w:rsid w:val="00BA2BB7"/>
    <w:rsid w:val="00BA42EE"/>
    <w:rsid w:val="00BA48F9"/>
    <w:rsid w:val="00BB0DCA"/>
    <w:rsid w:val="00BB2666"/>
    <w:rsid w:val="00BB4774"/>
    <w:rsid w:val="00BB6B80"/>
    <w:rsid w:val="00BB7F4F"/>
    <w:rsid w:val="00BC3773"/>
    <w:rsid w:val="00BC381A"/>
    <w:rsid w:val="00BD0962"/>
    <w:rsid w:val="00BD0C20"/>
    <w:rsid w:val="00BD1EED"/>
    <w:rsid w:val="00BE0FB5"/>
    <w:rsid w:val="00BF0DA2"/>
    <w:rsid w:val="00BF109C"/>
    <w:rsid w:val="00BF2102"/>
    <w:rsid w:val="00BF34FA"/>
    <w:rsid w:val="00C004B6"/>
    <w:rsid w:val="00C02CEE"/>
    <w:rsid w:val="00C047A7"/>
    <w:rsid w:val="00C05DE5"/>
    <w:rsid w:val="00C15A24"/>
    <w:rsid w:val="00C176EB"/>
    <w:rsid w:val="00C2068D"/>
    <w:rsid w:val="00C20BB6"/>
    <w:rsid w:val="00C223CC"/>
    <w:rsid w:val="00C23A1C"/>
    <w:rsid w:val="00C27922"/>
    <w:rsid w:val="00C32703"/>
    <w:rsid w:val="00C33027"/>
    <w:rsid w:val="00C37667"/>
    <w:rsid w:val="00C42E28"/>
    <w:rsid w:val="00C435DB"/>
    <w:rsid w:val="00C44D73"/>
    <w:rsid w:val="00C47751"/>
    <w:rsid w:val="00C50B42"/>
    <w:rsid w:val="00C516FF"/>
    <w:rsid w:val="00C52BFA"/>
    <w:rsid w:val="00C53D1D"/>
    <w:rsid w:val="00C53F26"/>
    <w:rsid w:val="00C540BC"/>
    <w:rsid w:val="00C5499D"/>
    <w:rsid w:val="00C64F7D"/>
    <w:rsid w:val="00C66281"/>
    <w:rsid w:val="00C67309"/>
    <w:rsid w:val="00C723A5"/>
    <w:rsid w:val="00C7614E"/>
    <w:rsid w:val="00C76BBB"/>
    <w:rsid w:val="00C77BF1"/>
    <w:rsid w:val="00C80D60"/>
    <w:rsid w:val="00C82FBD"/>
    <w:rsid w:val="00C85267"/>
    <w:rsid w:val="00C8721B"/>
    <w:rsid w:val="00C91201"/>
    <w:rsid w:val="00C9372C"/>
    <w:rsid w:val="00C9470E"/>
    <w:rsid w:val="00C95CEB"/>
    <w:rsid w:val="00CA1054"/>
    <w:rsid w:val="00CA4EB7"/>
    <w:rsid w:val="00CA63EB"/>
    <w:rsid w:val="00CA69F1"/>
    <w:rsid w:val="00CB58D5"/>
    <w:rsid w:val="00CB6991"/>
    <w:rsid w:val="00CB6C85"/>
    <w:rsid w:val="00CB6D79"/>
    <w:rsid w:val="00CB6DE6"/>
    <w:rsid w:val="00CC6194"/>
    <w:rsid w:val="00CC6305"/>
    <w:rsid w:val="00CC78A5"/>
    <w:rsid w:val="00CD0516"/>
    <w:rsid w:val="00CD697A"/>
    <w:rsid w:val="00CD756B"/>
    <w:rsid w:val="00CE1317"/>
    <w:rsid w:val="00CE5213"/>
    <w:rsid w:val="00CE734F"/>
    <w:rsid w:val="00CF062D"/>
    <w:rsid w:val="00CF112E"/>
    <w:rsid w:val="00CF17CA"/>
    <w:rsid w:val="00CF2CBD"/>
    <w:rsid w:val="00CF5F4F"/>
    <w:rsid w:val="00D153CD"/>
    <w:rsid w:val="00D218DC"/>
    <w:rsid w:val="00D24E56"/>
    <w:rsid w:val="00D25F0D"/>
    <w:rsid w:val="00D31643"/>
    <w:rsid w:val="00D31AEB"/>
    <w:rsid w:val="00D32ECD"/>
    <w:rsid w:val="00D361E4"/>
    <w:rsid w:val="00D426FD"/>
    <w:rsid w:val="00D42A8F"/>
    <w:rsid w:val="00D43853"/>
    <w:rsid w:val="00D439F6"/>
    <w:rsid w:val="00D459C6"/>
    <w:rsid w:val="00D50729"/>
    <w:rsid w:val="00D50C19"/>
    <w:rsid w:val="00D51B53"/>
    <w:rsid w:val="00D5379E"/>
    <w:rsid w:val="00D62643"/>
    <w:rsid w:val="00D644DE"/>
    <w:rsid w:val="00D64C0F"/>
    <w:rsid w:val="00D72EFE"/>
    <w:rsid w:val="00D757DD"/>
    <w:rsid w:val="00D76227"/>
    <w:rsid w:val="00D77DF1"/>
    <w:rsid w:val="00D86AFF"/>
    <w:rsid w:val="00D95A44"/>
    <w:rsid w:val="00D95D16"/>
    <w:rsid w:val="00D97C76"/>
    <w:rsid w:val="00DB02B4"/>
    <w:rsid w:val="00DB538D"/>
    <w:rsid w:val="00DC13F7"/>
    <w:rsid w:val="00DC275C"/>
    <w:rsid w:val="00DC4B0D"/>
    <w:rsid w:val="00DC7FE1"/>
    <w:rsid w:val="00DD0CB5"/>
    <w:rsid w:val="00DD3F3F"/>
    <w:rsid w:val="00DD5572"/>
    <w:rsid w:val="00DE0520"/>
    <w:rsid w:val="00DE26F6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4ED2"/>
    <w:rsid w:val="00E26523"/>
    <w:rsid w:val="00E26809"/>
    <w:rsid w:val="00E26C24"/>
    <w:rsid w:val="00E30B1D"/>
    <w:rsid w:val="00E3412D"/>
    <w:rsid w:val="00E34221"/>
    <w:rsid w:val="00E57322"/>
    <w:rsid w:val="00E628CB"/>
    <w:rsid w:val="00E62AD9"/>
    <w:rsid w:val="00E638C8"/>
    <w:rsid w:val="00E67A75"/>
    <w:rsid w:val="00E71C01"/>
    <w:rsid w:val="00E73109"/>
    <w:rsid w:val="00E73EB6"/>
    <w:rsid w:val="00E74995"/>
    <w:rsid w:val="00E7509B"/>
    <w:rsid w:val="00E82B69"/>
    <w:rsid w:val="00E85D2D"/>
    <w:rsid w:val="00E86590"/>
    <w:rsid w:val="00E905E8"/>
    <w:rsid w:val="00E907FF"/>
    <w:rsid w:val="00E91088"/>
    <w:rsid w:val="00E974A8"/>
    <w:rsid w:val="00EA42D1"/>
    <w:rsid w:val="00EA42EF"/>
    <w:rsid w:val="00EB2DD1"/>
    <w:rsid w:val="00EB6B37"/>
    <w:rsid w:val="00EC24AD"/>
    <w:rsid w:val="00EC29FE"/>
    <w:rsid w:val="00EC30FC"/>
    <w:rsid w:val="00EC3C70"/>
    <w:rsid w:val="00EC6618"/>
    <w:rsid w:val="00ED3A3D"/>
    <w:rsid w:val="00ED538A"/>
    <w:rsid w:val="00ED6FBC"/>
    <w:rsid w:val="00EE2F16"/>
    <w:rsid w:val="00EE3861"/>
    <w:rsid w:val="00EF290C"/>
    <w:rsid w:val="00EF2E73"/>
    <w:rsid w:val="00EF3631"/>
    <w:rsid w:val="00EF64D6"/>
    <w:rsid w:val="00EF7683"/>
    <w:rsid w:val="00EF7A2D"/>
    <w:rsid w:val="00F04F8D"/>
    <w:rsid w:val="00F10AD0"/>
    <w:rsid w:val="00F116CC"/>
    <w:rsid w:val="00F12BD1"/>
    <w:rsid w:val="00F15327"/>
    <w:rsid w:val="00F15F9C"/>
    <w:rsid w:val="00F168CF"/>
    <w:rsid w:val="00F20F99"/>
    <w:rsid w:val="00F2555C"/>
    <w:rsid w:val="00F31DF3"/>
    <w:rsid w:val="00F33AE5"/>
    <w:rsid w:val="00F35951"/>
    <w:rsid w:val="00F3597D"/>
    <w:rsid w:val="00F40F0D"/>
    <w:rsid w:val="00F4376D"/>
    <w:rsid w:val="00F45399"/>
    <w:rsid w:val="00F465EA"/>
    <w:rsid w:val="00F54E7B"/>
    <w:rsid w:val="00F55A88"/>
    <w:rsid w:val="00F56BDD"/>
    <w:rsid w:val="00F61057"/>
    <w:rsid w:val="00F62596"/>
    <w:rsid w:val="00F62C8D"/>
    <w:rsid w:val="00F74005"/>
    <w:rsid w:val="00F76884"/>
    <w:rsid w:val="00F83D24"/>
    <w:rsid w:val="00F83DD9"/>
    <w:rsid w:val="00F83F40"/>
    <w:rsid w:val="00F877AF"/>
    <w:rsid w:val="00FA117A"/>
    <w:rsid w:val="00FB04A8"/>
    <w:rsid w:val="00FB386A"/>
    <w:rsid w:val="00FC0786"/>
    <w:rsid w:val="00FC2AFA"/>
    <w:rsid w:val="00FC3157"/>
    <w:rsid w:val="00FC49EF"/>
    <w:rsid w:val="00FD30E4"/>
    <w:rsid w:val="00FE196C"/>
    <w:rsid w:val="00FE36E2"/>
    <w:rsid w:val="00FF11AD"/>
    <w:rsid w:val="00FF297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Domylnie">
    <w:name w:val="Domyślnie"/>
    <w:rsid w:val="00C15A24"/>
    <w:pPr>
      <w:widowControl w:val="0"/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Arial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Domylnie">
    <w:name w:val="Domyślnie"/>
    <w:rsid w:val="00C15A24"/>
    <w:pPr>
      <w:widowControl w:val="0"/>
      <w:tabs>
        <w:tab w:val="left" w:pos="708"/>
      </w:tabs>
      <w:suppressAutoHyphens/>
      <w:spacing w:line="360" w:lineRule="auto"/>
    </w:pPr>
    <w:rPr>
      <w:rFonts w:ascii="Times New Roman" w:eastAsia="Times New Roman" w:hAnsi="Times New Roman" w:cs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14505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2019-12-30T09:11:00Z</dcterms:created>
  <dcterms:modified xsi:type="dcterms:W3CDTF">2019-12-30T09:11:00Z</dcterms:modified>
</cp:coreProperties>
</file>