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FE" w:rsidRPr="00242F64" w:rsidRDefault="00381EFE" w:rsidP="00381EFE">
      <w:pPr>
        <w:pStyle w:val="TYTUAKTUprzedmiotregulacjiustawylubrozporzdzenia"/>
        <w:spacing w:line="240" w:lineRule="auto"/>
        <w:jc w:val="right"/>
        <w:rPr>
          <w:b w:val="0"/>
          <w:u w:val="single"/>
        </w:rPr>
      </w:pPr>
      <w:r w:rsidRPr="00242F64">
        <w:rPr>
          <w:b w:val="0"/>
          <w:u w:val="single"/>
        </w:rPr>
        <w:t xml:space="preserve">Projekt z dnia </w:t>
      </w:r>
      <w:r w:rsidR="00045477">
        <w:rPr>
          <w:b w:val="0"/>
          <w:u w:val="single"/>
        </w:rPr>
        <w:t>08</w:t>
      </w:r>
      <w:bookmarkStart w:id="0" w:name="_GoBack"/>
      <w:bookmarkEnd w:id="0"/>
      <w:r w:rsidR="008E7A2C">
        <w:rPr>
          <w:b w:val="0"/>
          <w:u w:val="single"/>
        </w:rPr>
        <w:t xml:space="preserve"> </w:t>
      </w:r>
      <w:r>
        <w:rPr>
          <w:b w:val="0"/>
          <w:u w:val="single"/>
        </w:rPr>
        <w:t>stycznia</w:t>
      </w:r>
      <w:r w:rsidRPr="00242F64">
        <w:rPr>
          <w:b w:val="0"/>
          <w:u w:val="single"/>
        </w:rPr>
        <w:t xml:space="preserve"> 201</w:t>
      </w:r>
      <w:r>
        <w:rPr>
          <w:b w:val="0"/>
          <w:u w:val="single"/>
        </w:rPr>
        <w:t>8</w:t>
      </w:r>
      <w:r w:rsidRPr="00242F64">
        <w:rPr>
          <w:b w:val="0"/>
          <w:u w:val="single"/>
        </w:rPr>
        <w:t xml:space="preserve"> r.</w:t>
      </w:r>
    </w:p>
    <w:p w:rsidR="00381EFE" w:rsidRPr="000E5B50" w:rsidRDefault="00381EFE" w:rsidP="00381EFE">
      <w:pPr>
        <w:pStyle w:val="TYTUAKTUprzedmiotregulacjiustawylubrozporzdzenia"/>
      </w:pPr>
      <w:r w:rsidRPr="000E5B50">
        <w:t>ROZPORZĄDZENIE</w:t>
      </w:r>
    </w:p>
    <w:p w:rsidR="00381EFE" w:rsidRDefault="00381EFE" w:rsidP="00381EFE">
      <w:pPr>
        <w:pStyle w:val="TYTUAKTUprzedmiotregulacjiustawylubrozporzdzenia"/>
      </w:pPr>
      <w:r w:rsidRPr="000E5B50">
        <w:t>MINISTRA INFRASTRUKTURY</w:t>
      </w:r>
      <w:r>
        <w:t xml:space="preserve"> I BUDOWNICTWA</w:t>
      </w:r>
      <w:r w:rsidRPr="000E5B50">
        <w:rPr>
          <w:rStyle w:val="Odwoanieprzypisudolnego"/>
        </w:rPr>
        <w:footnoteReference w:id="1"/>
      </w:r>
    </w:p>
    <w:p w:rsidR="00381EFE" w:rsidRPr="00E13984" w:rsidRDefault="00381EFE" w:rsidP="00381EFE">
      <w:pPr>
        <w:pStyle w:val="TYTUAKTUprzedmiotregulacjiustawylubrozporzdzenia"/>
      </w:pPr>
      <w:r>
        <w:t>z dnia ……………….</w:t>
      </w:r>
      <w:r w:rsidR="0073752A">
        <w:t xml:space="preserve"> </w:t>
      </w:r>
      <w:r w:rsidR="00AA1C92">
        <w:t xml:space="preserve">2018 </w:t>
      </w:r>
      <w:r w:rsidRPr="00E13984">
        <w:t xml:space="preserve">r. </w:t>
      </w:r>
    </w:p>
    <w:p w:rsidR="00381EFE" w:rsidRPr="00E13984" w:rsidRDefault="00381EFE" w:rsidP="00381EFE">
      <w:pPr>
        <w:pStyle w:val="TYTUAKTUprzedmiotregulacjiustawylubrozporzdzenia"/>
      </w:pPr>
      <w:r w:rsidRPr="00E13984">
        <w:t xml:space="preserve">w sprawie finansowego wsparcia na tworzenie lokali </w:t>
      </w:r>
      <w:r>
        <w:t>mieszkalnych na wynajem, mieszkań chronionych, noclegowni, schronisk dla bezdomnych, ogrzewalni i tymczasowych pomieszczeń</w:t>
      </w:r>
    </w:p>
    <w:p w:rsidR="00381EFE" w:rsidRDefault="00381EFE" w:rsidP="00381EFE">
      <w:pPr>
        <w:pStyle w:val="ARTartustawynprozporzdzenia"/>
      </w:pPr>
      <w:r w:rsidRPr="00E13984">
        <w:t xml:space="preserve">Na podstawie </w:t>
      </w:r>
      <w:hyperlink r:id="rId8" w:anchor="hiperlinkText.rpc?hiperlink=type=tresc:nro=Powszechny.542685:part=a19&amp;full=1" w:tgtFrame="_parent" w:history="1">
        <w:r w:rsidRPr="00E13984">
          <w:t>art. 19</w:t>
        </w:r>
      </w:hyperlink>
      <w:r>
        <w:t xml:space="preserve"> ustawy </w:t>
      </w:r>
      <w:r w:rsidRPr="00E13984">
        <w:t xml:space="preserve">z dnia 8 grudnia 2006 r. o finansowym wsparciu tworzenia lokali </w:t>
      </w:r>
      <w:r>
        <w:t>mieszkalnych na wynajem</w:t>
      </w:r>
      <w:r w:rsidRPr="00E13984">
        <w:t>, mie</w:t>
      </w:r>
      <w:r>
        <w:t xml:space="preserve">szkań chronionych, noclegowni, schronisk </w:t>
      </w:r>
      <w:r w:rsidRPr="00E13984">
        <w:t>dla bezdomnych</w:t>
      </w:r>
      <w:r>
        <w:t>, ogrzewalni i tymczasowych pomieszczeń (Dz. U. z 2017</w:t>
      </w:r>
      <w:r w:rsidRPr="00A91FC5">
        <w:t xml:space="preserve"> r. poz. 1392</w:t>
      </w:r>
      <w:r>
        <w:t xml:space="preserve"> oraz z 2018 r. poz. ......</w:t>
      </w:r>
      <w:r w:rsidRPr="00A91FC5">
        <w:t>)</w:t>
      </w:r>
      <w:r>
        <w:t xml:space="preserve"> </w:t>
      </w:r>
      <w:r w:rsidRPr="00E13984">
        <w:t>zarządza się, co następuje:</w:t>
      </w:r>
    </w:p>
    <w:p w:rsidR="00EB345E" w:rsidRDefault="00EB345E" w:rsidP="00381EFE">
      <w:pPr>
        <w:pStyle w:val="ARTartustawynprozporzdzenia"/>
      </w:pPr>
    </w:p>
    <w:p w:rsidR="00381EFE" w:rsidRPr="00184597" w:rsidRDefault="00381EFE" w:rsidP="00381EFE">
      <w:pPr>
        <w:pStyle w:val="PKTpunkt"/>
        <w:jc w:val="center"/>
        <w:rPr>
          <w:b/>
        </w:rPr>
      </w:pPr>
      <w:r w:rsidRPr="00184597">
        <w:rPr>
          <w:b/>
        </w:rPr>
        <w:t>Rozdział 1</w:t>
      </w:r>
    </w:p>
    <w:p w:rsidR="00381EFE" w:rsidRDefault="00381EFE" w:rsidP="00381EFE">
      <w:pPr>
        <w:pStyle w:val="ARTartustawynprozporzdzenia"/>
        <w:ind w:left="2832" w:firstLine="708"/>
        <w:rPr>
          <w:b/>
        </w:rPr>
      </w:pPr>
      <w:r w:rsidRPr="00660F0D">
        <w:rPr>
          <w:b/>
        </w:rPr>
        <w:t>Przepisy ogólne</w:t>
      </w:r>
    </w:p>
    <w:p w:rsidR="00EB345E" w:rsidRPr="00660F0D" w:rsidRDefault="00EB345E" w:rsidP="00381EFE">
      <w:pPr>
        <w:pStyle w:val="ARTartustawynprozporzdzenia"/>
        <w:ind w:left="2832" w:firstLine="708"/>
        <w:rPr>
          <w:b/>
        </w:rPr>
      </w:pPr>
    </w:p>
    <w:p w:rsidR="00381EFE" w:rsidRDefault="00381EFE" w:rsidP="00381EFE">
      <w:pPr>
        <w:pStyle w:val="ARTartustawynprozporzdzenia"/>
      </w:pPr>
      <w:r w:rsidRPr="000E5B50">
        <w:t>§ 1. Rozporządzenie określa:</w:t>
      </w:r>
      <w:r w:rsidRPr="00AA7FB1">
        <w:t xml:space="preserve"> </w:t>
      </w:r>
    </w:p>
    <w:p w:rsidR="00381EFE" w:rsidRPr="00751A85" w:rsidRDefault="00381EFE" w:rsidP="00381EFE">
      <w:pPr>
        <w:pStyle w:val="PKTpunkt"/>
      </w:pPr>
      <w:r>
        <w:t>1)</w:t>
      </w:r>
      <w:r>
        <w:tab/>
        <w:t xml:space="preserve">szczegółowy tryb </w:t>
      </w:r>
      <w:r w:rsidRPr="0056739D">
        <w:t xml:space="preserve">i terminy rozpatrywania wniosków o udzielenie finansowego </w:t>
      </w:r>
      <w:r w:rsidRPr="00B067E2">
        <w:t>wsparcia</w:t>
      </w:r>
      <w:r w:rsidRPr="00751A85">
        <w:t>;</w:t>
      </w:r>
    </w:p>
    <w:p w:rsidR="00381EFE" w:rsidRPr="00751A85" w:rsidRDefault="00381EFE" w:rsidP="00381EFE">
      <w:pPr>
        <w:pStyle w:val="PKTpunkt"/>
      </w:pPr>
      <w:r w:rsidRPr="00751A85">
        <w:t>2)</w:t>
      </w:r>
      <w:r w:rsidRPr="00751A85">
        <w:tab/>
        <w:t>informacje, jakie powinien zawierać wniosek o udzielenie finansowego wsparcia;</w:t>
      </w:r>
    </w:p>
    <w:p w:rsidR="00381EFE" w:rsidRDefault="00381EFE" w:rsidP="00381EFE">
      <w:pPr>
        <w:pStyle w:val="PKTpunkt"/>
      </w:pPr>
      <w:r w:rsidRPr="00751A85">
        <w:t>3)</w:t>
      </w:r>
      <w:r w:rsidRPr="00751A85">
        <w:tab/>
        <w:t xml:space="preserve">wzór formularza, </w:t>
      </w:r>
      <w:r>
        <w:t>o</w:t>
      </w:r>
      <w:r w:rsidRPr="00751A85">
        <w:t xml:space="preserve"> którym mowa w art. 18 ust. 2</w:t>
      </w:r>
      <w:r>
        <w:t xml:space="preserve"> ustawy </w:t>
      </w:r>
      <w:r w:rsidRPr="00E13984">
        <w:t xml:space="preserve">z dnia 8 grudnia 2006 r. o finansowym wsparciu tworzenia lokali </w:t>
      </w:r>
      <w:r>
        <w:t>mieszkalnych na wynajem</w:t>
      </w:r>
      <w:r w:rsidRPr="00E13984">
        <w:t>, mie</w:t>
      </w:r>
      <w:r>
        <w:t xml:space="preserve">szkań chronionych, noclegowni, schronisk </w:t>
      </w:r>
      <w:r w:rsidRPr="00E13984">
        <w:t>dla bezdomnych</w:t>
      </w:r>
      <w:r>
        <w:t>, ogrzewalni i tymczasowych pomieszczeń, zwanej dalej „ustawą”</w:t>
      </w:r>
      <w:r w:rsidRPr="00751A85">
        <w:t>;</w:t>
      </w:r>
      <w:r w:rsidRPr="00531DB8">
        <w:t xml:space="preserve"> </w:t>
      </w:r>
    </w:p>
    <w:p w:rsidR="00381EFE" w:rsidRDefault="00381EFE" w:rsidP="00381EFE">
      <w:pPr>
        <w:pStyle w:val="PKTpunkt"/>
      </w:pPr>
      <w:r>
        <w:lastRenderedPageBreak/>
        <w:t>4)</w:t>
      </w:r>
      <w:r>
        <w:tab/>
        <w:t xml:space="preserve">mechanizm ustalania dopuszczalnej wysokości rekompensaty z tytułu świadczenia usług publicznych w ogólnym interesie gospodarczym oraz </w:t>
      </w:r>
      <w:r w:rsidRPr="00531DB8">
        <w:t xml:space="preserve">szczegółowe warunki i tryb weryfikowania zgodności przyznawanej rekompensaty z tytułu świadczenia usług publicznych w ogólnym interesie gospodarczym z przepisami </w:t>
      </w:r>
      <w:r>
        <w:t xml:space="preserve">prawa </w:t>
      </w:r>
      <w:r w:rsidRPr="00531DB8">
        <w:t xml:space="preserve"> Unii Europejskiej</w:t>
      </w:r>
      <w:r>
        <w:t>, dotyczącymi pomocy publicznej z tytułu świadczenia usług w ogólnym interesie gospodarczym.</w:t>
      </w:r>
      <w:r w:rsidRPr="00531DB8">
        <w:t xml:space="preserve"> </w:t>
      </w:r>
    </w:p>
    <w:p w:rsidR="00381EFE" w:rsidRDefault="00381EFE" w:rsidP="00381EFE">
      <w:pPr>
        <w:pStyle w:val="PKTpunkt"/>
      </w:pPr>
    </w:p>
    <w:p w:rsidR="00381EFE" w:rsidRPr="00184597" w:rsidRDefault="00381EFE" w:rsidP="00381EFE">
      <w:pPr>
        <w:pStyle w:val="PKTpunkt"/>
        <w:jc w:val="center"/>
        <w:rPr>
          <w:b/>
        </w:rPr>
      </w:pPr>
      <w:r w:rsidRPr="00184597">
        <w:rPr>
          <w:b/>
        </w:rPr>
        <w:t xml:space="preserve">Rozdział </w:t>
      </w:r>
      <w:r>
        <w:rPr>
          <w:b/>
        </w:rPr>
        <w:t>2</w:t>
      </w:r>
    </w:p>
    <w:p w:rsidR="00381EFE" w:rsidRDefault="00381EFE" w:rsidP="00381EFE">
      <w:pPr>
        <w:pStyle w:val="PKTpunkt"/>
        <w:ind w:firstLine="0"/>
        <w:jc w:val="center"/>
        <w:rPr>
          <w:b/>
        </w:rPr>
      </w:pPr>
      <w:r w:rsidRPr="00B03B9B">
        <w:rPr>
          <w:b/>
        </w:rPr>
        <w:t>Tryb i terminy rozpatrywania wniosków o udzielenie finansowego wsparcia</w:t>
      </w:r>
      <w:r>
        <w:rPr>
          <w:b/>
        </w:rPr>
        <w:t xml:space="preserve"> oraz wzór formularza rozliczenia faktycznie poniesionych kosztów przedsięwzięcia</w:t>
      </w:r>
    </w:p>
    <w:p w:rsidR="005741D7" w:rsidRPr="00B03B9B" w:rsidRDefault="005741D7" w:rsidP="00381EFE">
      <w:pPr>
        <w:pStyle w:val="PKTpunkt"/>
        <w:ind w:firstLine="0"/>
        <w:jc w:val="center"/>
        <w:rPr>
          <w:b/>
        </w:rPr>
      </w:pPr>
    </w:p>
    <w:p w:rsidR="00EB345E" w:rsidRDefault="00381EFE" w:rsidP="00EB345E">
      <w:pPr>
        <w:pStyle w:val="USTustnpkodeksu"/>
      </w:pPr>
      <w:r w:rsidRPr="000E5B50">
        <w:t>§ 2. 1</w:t>
      </w:r>
      <w:r>
        <w:t xml:space="preserve">. </w:t>
      </w:r>
      <w:r w:rsidRPr="007261AE">
        <w:t xml:space="preserve">Wniosek o finansowe wsparcie, zwany dalej „wnioskiem”, </w:t>
      </w:r>
      <w:r w:rsidR="005741D7">
        <w:t>rozpatrywany jest</w:t>
      </w:r>
      <w:r w:rsidR="005741D7" w:rsidRPr="007261AE">
        <w:t xml:space="preserve"> </w:t>
      </w:r>
      <w:r w:rsidRPr="007261AE">
        <w:t>corocznie w Banku Gospodarstwa Krajowego, zwanym dalej „Bankiem”</w:t>
      </w:r>
      <w:r w:rsidR="008E7A2C">
        <w:t>.</w:t>
      </w:r>
    </w:p>
    <w:p w:rsidR="00381EFE" w:rsidRDefault="00381EFE" w:rsidP="00381EFE">
      <w:pPr>
        <w:pStyle w:val="USTustnpkodeksu"/>
      </w:pPr>
      <w:r w:rsidRPr="007261AE">
        <w:t>2.  Wniosek składany jest w postaci papierowej i elektronicznej.</w:t>
      </w:r>
    </w:p>
    <w:p w:rsidR="00EB345E" w:rsidRPr="007261AE" w:rsidRDefault="00EB345E" w:rsidP="00381EFE">
      <w:pPr>
        <w:pStyle w:val="USTustnpkodeksu"/>
      </w:pPr>
    </w:p>
    <w:p w:rsidR="00381EFE" w:rsidRDefault="00381EFE" w:rsidP="00381EFE">
      <w:pPr>
        <w:pStyle w:val="USTustnpkodeksu"/>
      </w:pPr>
      <w:r w:rsidRPr="00D04FE5">
        <w:t>§ 3. 1. Zakres informacji, jakie powinien zawierać wniosek</w:t>
      </w:r>
      <w:r>
        <w:t>,</w:t>
      </w:r>
      <w:r w:rsidRPr="00D04FE5">
        <w:t xml:space="preserve"> </w:t>
      </w:r>
      <w:r w:rsidR="00BA0E97">
        <w:t xml:space="preserve">określa </w:t>
      </w:r>
      <w:r w:rsidRPr="00D04FE5">
        <w:t>załącznik nr 1 do rozporządzenia</w:t>
      </w:r>
      <w:r>
        <w:t>.</w:t>
      </w:r>
    </w:p>
    <w:p w:rsidR="00381EFE" w:rsidRDefault="00381EFE" w:rsidP="00381EFE">
      <w:pPr>
        <w:pStyle w:val="USTustnpkodeksu"/>
      </w:pPr>
      <w:r w:rsidRPr="00D04FE5">
        <w:t xml:space="preserve">2. Do wniosku </w:t>
      </w:r>
      <w:r w:rsidRPr="007261AE">
        <w:t>w postaci papierowej</w:t>
      </w:r>
      <w:r>
        <w:t xml:space="preserve"> </w:t>
      </w:r>
      <w:r w:rsidRPr="00D04FE5">
        <w:t>załącza się:</w:t>
      </w:r>
    </w:p>
    <w:p w:rsidR="00381EFE" w:rsidRDefault="00381EFE" w:rsidP="00381EFE">
      <w:pPr>
        <w:pStyle w:val="PKTpunkt"/>
      </w:pPr>
      <w:r w:rsidRPr="00D04FE5">
        <w:t>1)</w:t>
      </w:r>
      <w:r w:rsidRPr="00D04FE5">
        <w:tab/>
        <w:t xml:space="preserve">dokumenty potwierdzające prawo własności </w:t>
      </w:r>
      <w:r>
        <w:t>albo</w:t>
      </w:r>
      <w:r w:rsidRPr="00D04FE5">
        <w:t xml:space="preserve"> prawo użytkowania wieczystego nieruchomości, której dotyczy przedsięwzięcie albo na której położony jest budynek, którego</w:t>
      </w:r>
      <w:r>
        <w:t xml:space="preserve"> budowę,</w:t>
      </w:r>
      <w:r w:rsidRPr="00D04FE5">
        <w:t xml:space="preserve"> remont lub przebudowę z</w:t>
      </w:r>
      <w:r>
        <w:t>amierza się przeprowadzić w ramach realizacji przedsięwzięcia, w tym:</w:t>
      </w:r>
    </w:p>
    <w:p w:rsidR="00381EFE" w:rsidRPr="00AB7FC7" w:rsidRDefault="00381EFE" w:rsidP="00671A21">
      <w:pPr>
        <w:pStyle w:val="PKTpunkt"/>
        <w:ind w:firstLine="0"/>
      </w:pPr>
      <w:r>
        <w:t xml:space="preserve"> a) </w:t>
      </w:r>
      <w:r w:rsidRPr="00AB7FC7">
        <w:t xml:space="preserve">oryginał </w:t>
      </w:r>
      <w:r>
        <w:t xml:space="preserve">albo </w:t>
      </w:r>
      <w:r w:rsidRPr="00AB7FC7">
        <w:t xml:space="preserve">potwierdzoną za zgodność z oryginałem kopię wypisu i wyrysu </w:t>
      </w:r>
      <w:r w:rsidRPr="00AB7FC7">
        <w:br/>
        <w:t>z  rejestru gruntów wszystkich działek ewidencyjnych, na których realizowane jest przedsięwzięcie, wydanego nie wcześniej niż 3 miesiące przed dniem złożenia wniosku</w:t>
      </w:r>
      <w:r w:rsidR="00BA0E97">
        <w:t>,</w:t>
      </w:r>
      <w:r w:rsidRPr="00AB7FC7">
        <w:t xml:space="preserve"> oraz </w:t>
      </w:r>
    </w:p>
    <w:p w:rsidR="00381EFE" w:rsidRPr="00D04FE5" w:rsidRDefault="00381EFE" w:rsidP="00381EFE">
      <w:pPr>
        <w:pStyle w:val="LITlitera"/>
      </w:pPr>
      <w:r>
        <w:t xml:space="preserve">b) </w:t>
      </w:r>
      <w:r>
        <w:tab/>
      </w:r>
      <w:r w:rsidRPr="001278A3">
        <w:t>numer księgi wieczystej</w:t>
      </w:r>
      <w:r>
        <w:t>;</w:t>
      </w:r>
    </w:p>
    <w:p w:rsidR="00381EFE" w:rsidRPr="00D04FE5" w:rsidRDefault="00381EFE" w:rsidP="00381EFE">
      <w:pPr>
        <w:pStyle w:val="PKTpunkt"/>
      </w:pPr>
      <w:r w:rsidRPr="00D04FE5">
        <w:t>2)   dokumenty potwierdzające prawo do prowadzenia robót budowlanych:</w:t>
      </w:r>
    </w:p>
    <w:p w:rsidR="00671A21" w:rsidRDefault="00381EFE" w:rsidP="00671A21">
      <w:pPr>
        <w:pStyle w:val="LITlitera"/>
      </w:pPr>
      <w:r w:rsidRPr="00D04FE5">
        <w:t>a)  </w:t>
      </w:r>
      <w:r>
        <w:t xml:space="preserve"> </w:t>
      </w:r>
      <w:r w:rsidR="005741D7">
        <w:t xml:space="preserve"> </w:t>
      </w:r>
      <w:r w:rsidR="00671A21">
        <w:rPr>
          <w:rStyle w:val="zmieniony"/>
        </w:rPr>
        <w:t xml:space="preserve">oryginał lub poświadczoną przez Bank albo osobę upoważnioną do reprezentacji wnioskodawcy zgodnie z Krajowym Rejestrem Sądowym kopię prawomocnej decyzji o pozwoleniu na budowę albo zgłoszenia właściwemu organowi wykonywania robót budowlanych, do którego nie wniesiono sprzeciwu - zgodnie z </w:t>
      </w:r>
      <w:r w:rsidR="00671A21">
        <w:rPr>
          <w:rStyle w:val="zmieniony"/>
        </w:rPr>
        <w:lastRenderedPageBreak/>
        <w:t xml:space="preserve">przepisami ustawy z dnia 7 lipca 1994 r. - Prawo budowlane (Dz.U. z 2017 r. </w:t>
      </w:r>
      <w:hyperlink r:id="rId9" w:anchor="mip" w:history="1">
        <w:r w:rsidR="00671A21" w:rsidRPr="00D24F23">
          <w:rPr>
            <w:rStyle w:val="Hipercze"/>
            <w:color w:val="000000" w:themeColor="text1"/>
          </w:rPr>
          <w:t>poz. 1332</w:t>
        </w:r>
      </w:hyperlink>
      <w:r w:rsidR="00671A21" w:rsidRPr="00D24F23">
        <w:rPr>
          <w:rStyle w:val="zmieniony"/>
          <w:color w:val="000000" w:themeColor="text1"/>
        </w:rPr>
        <w:t xml:space="preserve"> i </w:t>
      </w:r>
      <w:hyperlink r:id="rId10" w:anchor="mip" w:history="1">
        <w:r w:rsidR="00671A21" w:rsidRPr="00D24F23">
          <w:rPr>
            <w:rStyle w:val="Hipercze"/>
            <w:color w:val="000000" w:themeColor="text1"/>
          </w:rPr>
          <w:t>1529</w:t>
        </w:r>
      </w:hyperlink>
      <w:r w:rsidR="00671A21" w:rsidRPr="00D24F23">
        <w:rPr>
          <w:rStyle w:val="zmieniony"/>
          <w:color w:val="000000" w:themeColor="text1"/>
        </w:rPr>
        <w:t>)</w:t>
      </w:r>
      <w:r w:rsidR="00671A21">
        <w:rPr>
          <w:rStyle w:val="zmieniony"/>
        </w:rPr>
        <w:t>;</w:t>
      </w:r>
    </w:p>
    <w:p w:rsidR="00381EFE" w:rsidRPr="00D04FE5" w:rsidRDefault="00E27C4C" w:rsidP="00381EFE">
      <w:pPr>
        <w:pStyle w:val="LITlitera"/>
      </w:pPr>
      <w:r>
        <w:t>b</w:t>
      </w:r>
      <w:r w:rsidR="00381EFE" w:rsidRPr="00D04FE5">
        <w:t>)  </w:t>
      </w:r>
      <w:r w:rsidR="00381EFE">
        <w:t xml:space="preserve"> </w:t>
      </w:r>
      <w:r w:rsidR="00381EFE" w:rsidRPr="00D04FE5">
        <w:t>dokument potwierdzający prawo</w:t>
      </w:r>
      <w:r w:rsidR="00381EFE">
        <w:t xml:space="preserve"> do</w:t>
      </w:r>
      <w:r w:rsidR="00381EFE" w:rsidRPr="00D04FE5">
        <w:t xml:space="preserve"> dysponowania ni</w:t>
      </w:r>
      <w:r w:rsidR="00381EFE">
        <w:t xml:space="preserve">eruchomością na cele budowlane - </w:t>
      </w:r>
      <w:r w:rsidR="00381EFE" w:rsidRPr="00D04FE5">
        <w:t xml:space="preserve">w przypadku, o którym mowa w </w:t>
      </w:r>
      <w:hyperlink r:id="rId11" w:anchor="hiperlinkText.rpc?hiperlink=type=tresc:nro=Powszechny.542685:part=a6u5&amp;full=1" w:tgtFrame="_parent" w:history="1">
        <w:r w:rsidR="00381EFE" w:rsidRPr="00D04FE5">
          <w:t xml:space="preserve">art. </w:t>
        </w:r>
        <w:r w:rsidR="00381EFE">
          <w:t xml:space="preserve">4 ust. 5 i </w:t>
        </w:r>
        <w:r w:rsidR="005741D7">
          <w:t xml:space="preserve">art. </w:t>
        </w:r>
        <w:r w:rsidR="00381EFE" w:rsidRPr="00D04FE5">
          <w:t>6 ust. 5</w:t>
        </w:r>
      </w:hyperlink>
      <w:r w:rsidR="00381EFE" w:rsidRPr="00D04FE5">
        <w:t xml:space="preserve"> ustawy, jeżeli przedsięwzięcie jest </w:t>
      </w:r>
      <w:r w:rsidR="00381EFE" w:rsidRPr="00406FC3">
        <w:t xml:space="preserve">realizowane </w:t>
      </w:r>
      <w:r w:rsidR="00381EFE" w:rsidRPr="00D04FE5">
        <w:t xml:space="preserve">na nieruchomości niestanowiącej własności lub niebędącej w użytkowaniu wieczystym </w:t>
      </w:r>
      <w:r w:rsidR="00381EFE">
        <w:t>beneficjenta wsparcia</w:t>
      </w:r>
      <w:r w:rsidR="00381EFE" w:rsidRPr="00D04FE5">
        <w:t>;</w:t>
      </w:r>
    </w:p>
    <w:p w:rsidR="00381EFE" w:rsidRDefault="00381EFE" w:rsidP="00381EFE">
      <w:pPr>
        <w:pStyle w:val="PKTpunkt"/>
      </w:pPr>
      <w:r w:rsidRPr="0093437E">
        <w:t>3)</w:t>
      </w:r>
      <w:r w:rsidRPr="0093437E">
        <w:tab/>
      </w:r>
      <w:r w:rsidRPr="00A908D9">
        <w:t>dokumentację projektową wykonaną zgodnie z art. 34 ustawy z dnia 7 lipca 1994 r. – Prawo budowlane oraz z przepisa</w:t>
      </w:r>
      <w:r w:rsidRPr="003121CC">
        <w:t>mi wyd</w:t>
      </w:r>
      <w:r>
        <w:t>anymi na podstawie art. 34 ust. </w:t>
      </w:r>
      <w:r w:rsidRPr="003121CC">
        <w:t>6 pkt 1</w:t>
      </w:r>
      <w:r>
        <w:t xml:space="preserve"> ustawy</w:t>
      </w:r>
      <w:r w:rsidRPr="003121CC">
        <w:t xml:space="preserve"> </w:t>
      </w:r>
      <w:r w:rsidRPr="00D3228B">
        <w:t>z dnia 7 lipca 1994 r. – Prawo budowlane</w:t>
      </w:r>
      <w:r w:rsidRPr="003121CC">
        <w:t>, w tym projekt architektoniczno-budowlany oraz projekt zagospodarowania działki lub terenu z wyraźnie zaznaczonymi granicami nieruchomości, na której jest budowany budynek będący przedmi</w:t>
      </w:r>
      <w:r w:rsidRPr="00442C2A">
        <w:t>otem przedsięwzięcia, przyłączami technicznymi oraz obiektami i urządzeniami związanymi z budynkiem, a w przypadku gdy planowany zakres robót budowlany</w:t>
      </w:r>
      <w:r>
        <w:t>ch nie przewiduje pozwolenia na </w:t>
      </w:r>
      <w:r w:rsidRPr="00442C2A">
        <w:t>bud</w:t>
      </w:r>
      <w:r>
        <w:t>owę – dokumentację wynikającą z </w:t>
      </w:r>
      <w:r w:rsidRPr="00442C2A">
        <w:t>przepisów art. 30 ust. 2</w:t>
      </w:r>
      <w:r>
        <w:t>-4, 4b i 4c ustawy z </w:t>
      </w:r>
      <w:r w:rsidRPr="00A908D9">
        <w:t xml:space="preserve">dnia 7 lipca 1994 r. </w:t>
      </w:r>
      <w:r>
        <w:t>– Prawo budowlane, w </w:t>
      </w:r>
      <w:r w:rsidRPr="00A908D9">
        <w:t>zakresie niezbędnym do zweryfikowania następujących danych:</w:t>
      </w:r>
    </w:p>
    <w:p w:rsidR="00381EFE" w:rsidRPr="0093437E" w:rsidRDefault="00381EFE" w:rsidP="00381EFE">
      <w:pPr>
        <w:pStyle w:val="LITlitera"/>
      </w:pPr>
      <w:r w:rsidRPr="0093437E">
        <w:t>a)</w:t>
      </w:r>
      <w:r w:rsidRPr="0093437E">
        <w:tab/>
        <w:t>rodzaju przedsięwzięcia,</w:t>
      </w:r>
    </w:p>
    <w:p w:rsidR="003707EC" w:rsidRDefault="00381EFE" w:rsidP="00381EFE">
      <w:pPr>
        <w:pStyle w:val="LITlitera"/>
      </w:pPr>
      <w:r w:rsidRPr="0093437E">
        <w:t>b)</w:t>
      </w:r>
      <w:r w:rsidRPr="0093437E">
        <w:tab/>
        <w:t>liczby</w:t>
      </w:r>
      <w:r w:rsidR="003707EC">
        <w:t>:</w:t>
      </w:r>
    </w:p>
    <w:p w:rsidR="003707EC" w:rsidRDefault="003707EC" w:rsidP="00381EFE">
      <w:pPr>
        <w:pStyle w:val="LITlitera"/>
      </w:pPr>
      <w:r>
        <w:t xml:space="preserve">- </w:t>
      </w:r>
      <w:r w:rsidR="00381EFE" w:rsidRPr="0093437E">
        <w:t xml:space="preserve"> tworzonych lokali</w:t>
      </w:r>
      <w:r w:rsidR="00381EFE">
        <w:t xml:space="preserve"> wchodzących w skład mieszkaniowego zasobu gminy</w:t>
      </w:r>
      <w:r w:rsidR="00381EFE" w:rsidRPr="0093437E">
        <w:t xml:space="preserve">, </w:t>
      </w:r>
    </w:p>
    <w:p w:rsidR="003707EC" w:rsidRDefault="003707EC" w:rsidP="00381EFE">
      <w:pPr>
        <w:pStyle w:val="LITlitera"/>
      </w:pPr>
      <w:r>
        <w:t xml:space="preserve">- </w:t>
      </w:r>
      <w:r w:rsidR="00381EFE" w:rsidRPr="0093437E">
        <w:t>mieszkań chronionych</w:t>
      </w:r>
      <w:r w:rsidR="00381EFE">
        <w:t>,</w:t>
      </w:r>
      <w:r w:rsidR="00381EFE" w:rsidRPr="0093437E">
        <w:t xml:space="preserve"> </w:t>
      </w:r>
    </w:p>
    <w:p w:rsidR="003707EC" w:rsidRDefault="003707EC" w:rsidP="00381EFE">
      <w:pPr>
        <w:pStyle w:val="LITlitera"/>
      </w:pPr>
      <w:r>
        <w:t xml:space="preserve">- </w:t>
      </w:r>
      <w:r w:rsidR="00381EFE" w:rsidRPr="0093437E">
        <w:t>lokali</w:t>
      </w:r>
      <w:r w:rsidR="00381EFE">
        <w:t xml:space="preserve"> mieszkalnych powstających z udziałem gminy albo związku międzygminnego w wyniku realizacji przedsięwzięć</w:t>
      </w:r>
      <w:r w:rsidR="00EF588C">
        <w:t>,</w:t>
      </w:r>
      <w:r w:rsidR="00381EFE">
        <w:t xml:space="preserve"> o których mowa w art. 5 ust. 1 i art. 5a ust. 1 ustawy</w:t>
      </w:r>
      <w:r>
        <w:t>,</w:t>
      </w:r>
      <w:r w:rsidR="00381EFE">
        <w:t xml:space="preserve"> </w:t>
      </w:r>
    </w:p>
    <w:p w:rsidR="003707EC" w:rsidRDefault="003707EC" w:rsidP="00381EFE">
      <w:pPr>
        <w:pStyle w:val="LITlitera"/>
      </w:pPr>
      <w:r>
        <w:t xml:space="preserve">- </w:t>
      </w:r>
      <w:r w:rsidR="00381EFE">
        <w:t>tymczasowych pomieszczeń</w:t>
      </w:r>
      <w:r w:rsidR="00381EFE" w:rsidRPr="0093437E">
        <w:t>,</w:t>
      </w:r>
      <w:r w:rsidR="00381EFE">
        <w:t xml:space="preserve"> </w:t>
      </w:r>
    </w:p>
    <w:p w:rsidR="00381EFE" w:rsidRDefault="003707EC" w:rsidP="00381EFE">
      <w:pPr>
        <w:pStyle w:val="LITlitera"/>
      </w:pPr>
      <w:r>
        <w:t xml:space="preserve">- </w:t>
      </w:r>
      <w:r w:rsidR="00381EFE">
        <w:t>miejsc w noclegowniach, schroniskach dla bezdomnych i ogrzewalniach,</w:t>
      </w:r>
    </w:p>
    <w:p w:rsidR="00381EFE" w:rsidRDefault="00381EFE" w:rsidP="00381EFE">
      <w:pPr>
        <w:pStyle w:val="LITlitera"/>
      </w:pPr>
      <w:r>
        <w:t xml:space="preserve">c)     </w:t>
      </w:r>
      <w:r w:rsidRPr="0093437E">
        <w:t>powierzchni użytkowych budynków lub ich części</w:t>
      </w:r>
      <w:r>
        <w:t>,</w:t>
      </w:r>
    </w:p>
    <w:p w:rsidR="00381EFE" w:rsidRDefault="00381EFE" w:rsidP="00381EFE">
      <w:pPr>
        <w:pStyle w:val="LITlitera"/>
      </w:pPr>
      <w:r w:rsidRPr="0093437E">
        <w:t>d)</w:t>
      </w:r>
      <w:r w:rsidRPr="0093437E">
        <w:tab/>
        <w:t xml:space="preserve">zakresu rzeczowo-finansowego przedsięwzięcia, z uwzględnieniem obiektów </w:t>
      </w:r>
      <w:r>
        <w:br/>
      </w:r>
      <w:r w:rsidRPr="0093437E">
        <w:t>i urządzeń związanych z budynkiem, przyłączy technicznych, kosztów tych przyłączy i miejsca ich włączenia do sieci</w:t>
      </w:r>
    </w:p>
    <w:p w:rsidR="00381EFE" w:rsidRPr="0093437E" w:rsidRDefault="00381EFE" w:rsidP="00381EFE">
      <w:pPr>
        <w:pStyle w:val="LITlitera"/>
      </w:pPr>
      <w:r>
        <w:t xml:space="preserve"> - w przypadku przedsięwzięć, o których mowa w art. 3 ust. 1 pkt 1-4 i 6, art. 4 i art. 5 ust. 1 ustawy;</w:t>
      </w:r>
    </w:p>
    <w:p w:rsidR="00381EFE" w:rsidRPr="0093437E" w:rsidRDefault="00381EFE" w:rsidP="00381EFE">
      <w:pPr>
        <w:pStyle w:val="PKTpunkt"/>
      </w:pPr>
      <w:r w:rsidRPr="0093437E">
        <w:t>4)</w:t>
      </w:r>
      <w:r w:rsidRPr="0093437E">
        <w:tab/>
        <w:t>dokumenty potwierdzające koszty przedsięwzięcia:</w:t>
      </w:r>
    </w:p>
    <w:p w:rsidR="00381EFE" w:rsidRPr="0093437E" w:rsidRDefault="00381EFE" w:rsidP="00381EFE">
      <w:pPr>
        <w:pStyle w:val="LITlitera"/>
      </w:pPr>
      <w:r w:rsidRPr="0093437E">
        <w:lastRenderedPageBreak/>
        <w:t>a)</w:t>
      </w:r>
      <w:r w:rsidRPr="0093437E">
        <w:tab/>
        <w:t xml:space="preserve">kosztorys inwestorski lub kalkulację planowanych kosztów prac projektowych </w:t>
      </w:r>
      <w:r>
        <w:br/>
      </w:r>
      <w:r w:rsidRPr="0093437E">
        <w:t>i robót budowlanych</w:t>
      </w:r>
      <w:r>
        <w:t>,</w:t>
      </w:r>
      <w:r w:rsidRPr="0093437E">
        <w:t xml:space="preserve"> określonych w programie funkcjonalno-użytkowym, </w:t>
      </w:r>
      <w:r>
        <w:br/>
      </w:r>
      <w:r w:rsidRPr="0093437E">
        <w:t xml:space="preserve">o których mowa w </w:t>
      </w:r>
      <w:hyperlink r:id="rId12" w:anchor="hiperlinkText.rpc?hiperlink=type=tresc:nro=Powszechny.616002:part=a33u1&amp;full=1" w:tgtFrame="_parent" w:history="1">
        <w:r w:rsidRPr="0093437E">
          <w:t>art. 33 ust. 1</w:t>
        </w:r>
      </w:hyperlink>
      <w:r w:rsidRPr="0093437E">
        <w:t xml:space="preserve"> ustawy z dnia 29 stycznia 2004 r. </w:t>
      </w:r>
      <w:r>
        <w:t xml:space="preserve">– </w:t>
      </w:r>
      <w:r w:rsidRPr="0093437E">
        <w:t xml:space="preserve">Prawo zamówień publicznych (Dz. U. z </w:t>
      </w:r>
      <w:r>
        <w:t>2017 r. poz. 1579</w:t>
      </w:r>
      <w:r w:rsidR="003707EC">
        <w:t xml:space="preserve"> oraz z 2018 r. poz. 2018</w:t>
      </w:r>
      <w:r w:rsidRPr="0093437E">
        <w:t>),</w:t>
      </w:r>
    </w:p>
    <w:p w:rsidR="00381EFE" w:rsidRPr="0093437E" w:rsidRDefault="00381EFE" w:rsidP="00381EFE">
      <w:pPr>
        <w:pStyle w:val="LITlitera"/>
      </w:pPr>
      <w:r w:rsidRPr="0093437E">
        <w:t>b)</w:t>
      </w:r>
      <w:r w:rsidRPr="0093437E">
        <w:tab/>
        <w:t>kopie wystawionych do dnia złożenia wniosku faktur lub kopie zawartych do dnia złożenia wniosku umów z wykonawcami robót</w:t>
      </w:r>
      <w:r>
        <w:t xml:space="preserve"> budowlanych, usług i dostaw, w </w:t>
      </w:r>
      <w:r w:rsidRPr="0093437E">
        <w:t>tym prac projektowych oraz nadzoru inwestorskiego, dotyczących wykonania przedsięwzięcia lub</w:t>
      </w:r>
      <w:r w:rsidR="003707EC">
        <w:t xml:space="preserve"> jego części</w:t>
      </w:r>
      <w:r w:rsidRPr="0093437E">
        <w:t>,</w:t>
      </w:r>
    </w:p>
    <w:p w:rsidR="00381EFE" w:rsidRDefault="00381EFE" w:rsidP="00381EFE">
      <w:pPr>
        <w:pStyle w:val="LITlitera"/>
      </w:pPr>
      <w:r w:rsidRPr="0093437E">
        <w:t>c)  </w:t>
      </w:r>
      <w:r>
        <w:tab/>
      </w:r>
      <w:r w:rsidRPr="0093437E">
        <w:t>kalkulacje własne sporządzone dla zakresu przedsięwzięcia, który nie został objęty dokumentami potwierdzającymi koszty przedsięwzięcia wymienionymi w lit. a i b</w:t>
      </w:r>
    </w:p>
    <w:p w:rsidR="00381EFE" w:rsidRPr="0093437E" w:rsidRDefault="00381EFE" w:rsidP="00381EFE">
      <w:pPr>
        <w:pStyle w:val="LITlitera"/>
      </w:pPr>
      <w:r>
        <w:t>- w przypadku przedsięwzięć, o których mowa w art. 3 ust. 1 pkt 1-4 i 6, art. 4 i art. 5 ust. 1 ustawy;</w:t>
      </w:r>
    </w:p>
    <w:p w:rsidR="00381EFE" w:rsidRPr="00925495" w:rsidRDefault="00381EFE" w:rsidP="00381EFE">
      <w:pPr>
        <w:pStyle w:val="PKTpunkt"/>
      </w:pPr>
      <w:r w:rsidRPr="0093437E">
        <w:t>5)</w:t>
      </w:r>
      <w:r w:rsidRPr="0093437E">
        <w:tab/>
      </w:r>
      <w:r w:rsidRPr="003C5332">
        <w:t xml:space="preserve">w przypadku przedsięwzięć, o których mowa w art. 3 ust. 1 pkt </w:t>
      </w:r>
      <w:r>
        <w:t>5</w:t>
      </w:r>
      <w:r w:rsidRPr="003C5332">
        <w:t xml:space="preserve"> i </w:t>
      </w:r>
      <w:r>
        <w:t xml:space="preserve">6 ustawy, potwierdzoną za zgodność z oryginałem kopię dokumentu potwierdzającego przewidywaną cenę sprzedaży, a jeżeli </w:t>
      </w:r>
      <w:r w:rsidRPr="00852207">
        <w:t xml:space="preserve">przedsięwzięcie rozpoczęte zostało przed </w:t>
      </w:r>
      <w:r w:rsidR="003707EC">
        <w:t xml:space="preserve">dniem </w:t>
      </w:r>
      <w:r w:rsidRPr="00852207">
        <w:t>złożen</w:t>
      </w:r>
      <w:r>
        <w:t>i</w:t>
      </w:r>
      <w:r w:rsidR="003707EC">
        <w:t>a</w:t>
      </w:r>
      <w:r>
        <w:t xml:space="preserve"> wniosku – potwierdzoną </w:t>
      </w:r>
      <w:r w:rsidRPr="0093437E">
        <w:t>za zgodność z oryginałem kopię umowy sprzedaży nieruchomo</w:t>
      </w:r>
      <w:r>
        <w:t>ści w formie aktu notarialnego;</w:t>
      </w:r>
    </w:p>
    <w:p w:rsidR="00381EFE" w:rsidRPr="00D4262B" w:rsidRDefault="00381EFE" w:rsidP="003E27BB">
      <w:pPr>
        <w:pStyle w:val="PKTpunkt"/>
      </w:pPr>
      <w:r w:rsidRPr="0093437E">
        <w:t>6)</w:t>
      </w:r>
      <w:r w:rsidRPr="0093437E">
        <w:tab/>
        <w:t>potwierdzone za zgodność z oryginałem kopie zaświadczeń</w:t>
      </w:r>
      <w:r w:rsidR="003E27BB">
        <w:t xml:space="preserve"> </w:t>
      </w:r>
      <w:r w:rsidRPr="0093437E">
        <w:t xml:space="preserve">o nadaniu wnioskodawcy numeru REGON oraz </w:t>
      </w:r>
      <w:r>
        <w:t xml:space="preserve">numeru identyfikacji podatkowej </w:t>
      </w:r>
      <w:r w:rsidRPr="0093437E">
        <w:t>NIP - w przypadku gdy wnioskodawca</w:t>
      </w:r>
      <w:r w:rsidR="003707EC">
        <w:t xml:space="preserve"> będący </w:t>
      </w:r>
      <w:r>
        <w:t>organizacj</w:t>
      </w:r>
      <w:r w:rsidR="003707EC">
        <w:t>ą</w:t>
      </w:r>
      <w:r>
        <w:t xml:space="preserve"> pożytku publicznego</w:t>
      </w:r>
      <w:r w:rsidR="003707EC">
        <w:t>,</w:t>
      </w:r>
      <w:r>
        <w:t xml:space="preserve"> po </w:t>
      </w:r>
      <w:r w:rsidRPr="0093437E">
        <w:t xml:space="preserve">raz pierwszy składa wniosek na podstawie </w:t>
      </w:r>
      <w:hyperlink r:id="rId13" w:anchor="hiperlinkText.rpc?hiperlink=type=tresc:nro=Powszechny.542685&amp;full=1" w:tgtFrame="_parent" w:history="1">
        <w:r w:rsidRPr="0093437E">
          <w:t>ustawy</w:t>
        </w:r>
      </w:hyperlink>
      <w:r w:rsidRPr="0093437E">
        <w:t>.</w:t>
      </w:r>
    </w:p>
    <w:p w:rsidR="00381EFE" w:rsidRPr="007261AE" w:rsidRDefault="00381EFE" w:rsidP="00381EFE">
      <w:pPr>
        <w:pStyle w:val="USTustnpkodeksu"/>
      </w:pPr>
      <w:r w:rsidRPr="007261AE">
        <w:t xml:space="preserve">3.  Za datę wpływu wniosku do Banku uznaje się późniejszą z dwóch dat – datę złożenia wniosku w postaci papierowej </w:t>
      </w:r>
      <w:r>
        <w:t>albo</w:t>
      </w:r>
      <w:r w:rsidRPr="007261AE">
        <w:t xml:space="preserve"> datę wpływu wniosku w postaci elektronicznej.</w:t>
      </w:r>
    </w:p>
    <w:p w:rsidR="00381EFE" w:rsidRPr="007261AE" w:rsidRDefault="00381EFE" w:rsidP="00381EFE">
      <w:pPr>
        <w:pStyle w:val="USTustnpkodeksu"/>
      </w:pPr>
      <w:r w:rsidRPr="007261AE">
        <w:t xml:space="preserve">4. Za datę złożenia wniosku w postaci papierowej za pośrednictwem operatora pocztowego w rozumieniu przepisów </w:t>
      </w:r>
      <w:hyperlink r:id="rId14" w:anchor="hiperlinkText.rpc?hiperlink=type=tresc:nro=Powszechny.1160843&amp;full=1" w:tgtFrame="_parent" w:history="1">
        <w:r w:rsidRPr="007261AE">
          <w:t>ustawy</w:t>
        </w:r>
      </w:hyperlink>
      <w:r w:rsidRPr="007261AE">
        <w:t xml:space="preserve"> z dnia 23 listopada 2012 r. - Prawo pocztowe (Dz. U. z 2017 r. poz. 1481) uznaje się dzień nadania wniosku przesyłką rejestrowaną w placówce pocztowej tego operatora. </w:t>
      </w:r>
    </w:p>
    <w:p w:rsidR="00381EFE" w:rsidRPr="007261AE" w:rsidRDefault="00381EFE" w:rsidP="00381EFE">
      <w:pPr>
        <w:pStyle w:val="USTustnpkodeksu"/>
      </w:pPr>
      <w:r w:rsidRPr="007261AE">
        <w:t>5. Bank, w terminie 21 dni od dnia wpływu wniosku</w:t>
      </w:r>
      <w:r w:rsidR="00982E70">
        <w:t>,</w:t>
      </w:r>
      <w:r w:rsidRPr="007261AE">
        <w:t xml:space="preserve"> sprawdza, czy są spełnione wymagania dotyczące:</w:t>
      </w:r>
    </w:p>
    <w:p w:rsidR="00381EFE" w:rsidRPr="007261AE" w:rsidRDefault="00381EFE" w:rsidP="00381EFE">
      <w:pPr>
        <w:pStyle w:val="USTustnpkodeksu"/>
      </w:pPr>
      <w:r w:rsidRPr="007261AE">
        <w:t>1) finansowego wsparcia</w:t>
      </w:r>
      <w:r w:rsidR="00982E70">
        <w:t xml:space="preserve"> -</w:t>
      </w:r>
      <w:r w:rsidRPr="007261AE">
        <w:t xml:space="preserve"> określone w ustawie</w:t>
      </w:r>
      <w:r>
        <w:t>;</w:t>
      </w:r>
    </w:p>
    <w:p w:rsidR="00381EFE" w:rsidRPr="007261AE" w:rsidRDefault="00381EFE" w:rsidP="00381EFE">
      <w:pPr>
        <w:pStyle w:val="USTustnpkodeksu"/>
      </w:pPr>
      <w:r w:rsidRPr="007261AE">
        <w:t>2) wniosku</w:t>
      </w:r>
      <w:r w:rsidR="00982E70">
        <w:t xml:space="preserve"> -</w:t>
      </w:r>
      <w:r w:rsidRPr="007261AE">
        <w:t xml:space="preserve"> określone w rozporządzeniu.</w:t>
      </w:r>
    </w:p>
    <w:p w:rsidR="00381EFE" w:rsidRDefault="00381EFE" w:rsidP="00381EFE">
      <w:pPr>
        <w:pStyle w:val="PKTpunkt"/>
        <w:ind w:left="0" w:firstLine="510"/>
      </w:pPr>
      <w:r w:rsidRPr="00DB3796">
        <w:lastRenderedPageBreak/>
        <w:t>6. Jeżeli wniosek nie spełnia wymagań, o których mowa w ust. 5, Bank wzywa wnioskodawcę do uzupełnienia wniosku, wskazując zakres uzupełnienia, oraz wyznacza termin na uzupełnienie wniosku, nie dłuższy niż 21 dni od dnia doręczenia wezwania</w:t>
      </w:r>
      <w:r>
        <w:t xml:space="preserve">.   </w:t>
      </w:r>
    </w:p>
    <w:p w:rsidR="00381EFE" w:rsidRPr="00DB3796" w:rsidRDefault="00381EFE" w:rsidP="00381EFE">
      <w:pPr>
        <w:pStyle w:val="PKTpunkt"/>
        <w:ind w:left="0" w:firstLine="510"/>
      </w:pPr>
      <w:r w:rsidRPr="00DB3796">
        <w:t>7. Bank zwraca bez rozpatrzenia wniosek:</w:t>
      </w:r>
    </w:p>
    <w:p w:rsidR="00381EFE" w:rsidRPr="00D04FE5" w:rsidRDefault="00381EFE" w:rsidP="003E27BB">
      <w:pPr>
        <w:pStyle w:val="USTustnpkodeksu"/>
      </w:pPr>
      <w:r w:rsidRPr="00D04FE5">
        <w:t>1)</w:t>
      </w:r>
      <w:r w:rsidR="003E27BB">
        <w:t xml:space="preserve"> </w:t>
      </w:r>
      <w:r w:rsidRPr="00D04FE5">
        <w:t xml:space="preserve">dotyczący przedsięwzięcia niespełniającego warunków do uzyskania finansowego wsparcia określonych w </w:t>
      </w:r>
      <w:hyperlink r:id="rId15" w:anchor="hiperlinkText.rpc?hiperlink=type=tresc:nro=Powszechny.542685:part=a3&amp;full=1" w:tgtFrame="_parent" w:history="1">
        <w:r w:rsidRPr="00D04FE5">
          <w:t>art. 3</w:t>
        </w:r>
      </w:hyperlink>
      <w:r w:rsidRPr="00D04FE5">
        <w:t>,</w:t>
      </w:r>
      <w:r>
        <w:t xml:space="preserve"> art. 4, art. </w:t>
      </w:r>
      <w:hyperlink r:id="rId16" w:anchor="hiperlinkText.rpc?hiperlink=type=tresc:nro=Powszechny.542685:part=a5&amp;full=1" w:tgtFrame="_parent" w:history="1">
        <w:r w:rsidRPr="00D04FE5">
          <w:t>5-7</w:t>
        </w:r>
      </w:hyperlink>
      <w:r>
        <w:t>e</w:t>
      </w:r>
      <w:r w:rsidR="00982E70">
        <w:t xml:space="preserve"> oraz</w:t>
      </w:r>
      <w:r w:rsidRPr="00D04FE5">
        <w:t xml:space="preserve"> </w:t>
      </w:r>
      <w:r>
        <w:t xml:space="preserve">art. </w:t>
      </w:r>
      <w:hyperlink r:id="rId17" w:anchor="hiperlinkText.rpc?hiperlink=type=tresc:nro=Powszechny.542685:part=a13&amp;full=1" w:tgtFrame="_parent" w:history="1">
        <w:r>
          <w:t>13-</w:t>
        </w:r>
      </w:hyperlink>
      <w:hyperlink r:id="rId18" w:anchor="hiperlinkText.rpc?hiperlink=type=tresc:nro=Powszechny.542685:part=a16&amp;full=1" w:tgtFrame="_parent" w:history="1">
        <w:r w:rsidRPr="00D04FE5">
          <w:t>16</w:t>
        </w:r>
      </w:hyperlink>
      <w:r w:rsidRPr="00D04FE5">
        <w:t xml:space="preserve"> ustawy;</w:t>
      </w:r>
    </w:p>
    <w:p w:rsidR="003E27BB" w:rsidRDefault="00381EFE" w:rsidP="003E27BB">
      <w:pPr>
        <w:pStyle w:val="USTustnpkodeksu"/>
      </w:pPr>
      <w:r>
        <w:t>2</w:t>
      </w:r>
      <w:r w:rsidRPr="00D04FE5">
        <w:t>)</w:t>
      </w:r>
      <w:r w:rsidR="003E27BB">
        <w:t xml:space="preserve"> </w:t>
      </w:r>
      <w:r w:rsidRPr="00D04FE5">
        <w:t xml:space="preserve">nieuzupełniony w terminie, o którym mowa w ust. </w:t>
      </w:r>
      <w:r>
        <w:t>6</w:t>
      </w:r>
      <w:r w:rsidRPr="00D04FE5">
        <w:t>.</w:t>
      </w:r>
    </w:p>
    <w:p w:rsidR="00381EFE" w:rsidRDefault="00381EFE" w:rsidP="00381EFE">
      <w:pPr>
        <w:pStyle w:val="USTustnpkodeksu"/>
      </w:pPr>
      <w:r w:rsidRPr="00B57009">
        <w:t xml:space="preserve">§ </w:t>
      </w:r>
      <w:r>
        <w:t>4</w:t>
      </w:r>
      <w:r w:rsidRPr="00B57009">
        <w:t>. Bank kwalifikuje do udzielenia finansowego wsparcia wnioski, które spełniają wymagania określone w</w:t>
      </w:r>
      <w:r>
        <w:t xml:space="preserve"> ustawie i rozporządzeniu.</w:t>
      </w:r>
    </w:p>
    <w:p w:rsidR="00381EFE" w:rsidRPr="00D4262B" w:rsidRDefault="00381EFE" w:rsidP="00381EFE">
      <w:pPr>
        <w:pStyle w:val="USTustnpkodeksu"/>
      </w:pPr>
      <w:r w:rsidRPr="00B57009">
        <w:t xml:space="preserve">§ </w:t>
      </w:r>
      <w:r>
        <w:t>5</w:t>
      </w:r>
      <w:r w:rsidRPr="00B57009">
        <w:t xml:space="preserve">. </w:t>
      </w:r>
      <w:r>
        <w:t>W terminie do końca miesiąca następującego po danym kwartale Bank podaje do wiadomości publicznej w Biuletynie Informacji Publicznej Banku listę zakwalifikowanych wniosków.</w:t>
      </w:r>
    </w:p>
    <w:p w:rsidR="00381EFE" w:rsidRDefault="00381EFE" w:rsidP="00381EFE">
      <w:pPr>
        <w:pStyle w:val="USTustnpkodeksu"/>
      </w:pPr>
      <w:r>
        <w:t>§ 6</w:t>
      </w:r>
      <w:r w:rsidRPr="008B537B">
        <w:t>. Wzór formularza</w:t>
      </w:r>
      <w:r>
        <w:t>,</w:t>
      </w:r>
      <w:r w:rsidRPr="008B537B">
        <w:t xml:space="preserve"> na którym dokonuje się rozliczenia faktycznie poniesionych kosztów przedsięwzięcia</w:t>
      </w:r>
      <w:r w:rsidR="00982E70">
        <w:t>,</w:t>
      </w:r>
      <w:r w:rsidRPr="008B537B">
        <w:t xml:space="preserve"> </w:t>
      </w:r>
      <w:r>
        <w:t xml:space="preserve">jest </w:t>
      </w:r>
      <w:r w:rsidRPr="008B537B">
        <w:t>określ</w:t>
      </w:r>
      <w:r>
        <w:t>ony w</w:t>
      </w:r>
      <w:r w:rsidRPr="008B537B">
        <w:t xml:space="preserve"> załącznik</w:t>
      </w:r>
      <w:r>
        <w:t>u</w:t>
      </w:r>
      <w:r w:rsidRPr="008B537B">
        <w:t xml:space="preserve"> nr </w:t>
      </w:r>
      <w:r>
        <w:t xml:space="preserve">2 </w:t>
      </w:r>
      <w:r w:rsidRPr="008B537B">
        <w:t>do rozporządzenia.</w:t>
      </w:r>
    </w:p>
    <w:p w:rsidR="00381EFE" w:rsidRDefault="00381EFE" w:rsidP="00381EFE">
      <w:pPr>
        <w:pStyle w:val="PKTpunkt"/>
        <w:jc w:val="center"/>
        <w:rPr>
          <w:b/>
        </w:rPr>
      </w:pPr>
    </w:p>
    <w:p w:rsidR="00381EFE" w:rsidRDefault="00381EFE" w:rsidP="00381EFE">
      <w:pPr>
        <w:pStyle w:val="PKTpunkt"/>
        <w:jc w:val="center"/>
        <w:rPr>
          <w:b/>
        </w:rPr>
      </w:pPr>
      <w:r w:rsidRPr="00184597">
        <w:rPr>
          <w:b/>
        </w:rPr>
        <w:t xml:space="preserve">Rozdział </w:t>
      </w:r>
      <w:r>
        <w:rPr>
          <w:b/>
        </w:rPr>
        <w:t>3</w:t>
      </w:r>
    </w:p>
    <w:p w:rsidR="00381EFE" w:rsidRDefault="00381EFE" w:rsidP="00381EFE">
      <w:pPr>
        <w:pStyle w:val="PKTpunkt"/>
        <w:jc w:val="center"/>
        <w:rPr>
          <w:b/>
        </w:rPr>
      </w:pPr>
      <w:r>
        <w:rPr>
          <w:b/>
        </w:rPr>
        <w:t>Rekompensata z tytułu świadczenia usług publicznych</w:t>
      </w:r>
    </w:p>
    <w:p w:rsidR="00EB345E" w:rsidRPr="00D4262B" w:rsidRDefault="00EB345E" w:rsidP="00381EFE">
      <w:pPr>
        <w:pStyle w:val="PKTpunkt"/>
        <w:jc w:val="center"/>
        <w:rPr>
          <w:b/>
        </w:rPr>
      </w:pPr>
    </w:p>
    <w:p w:rsidR="00381EFE" w:rsidRDefault="00381EFE" w:rsidP="00381EFE">
      <w:pPr>
        <w:pStyle w:val="ARTartustawynprozporzdzenia"/>
      </w:pPr>
      <w:r w:rsidRPr="00AE2E0C">
        <w:t xml:space="preserve">§ </w:t>
      </w:r>
      <w:r>
        <w:t>7.</w:t>
      </w:r>
      <w:r w:rsidRPr="00AE2E0C">
        <w:t xml:space="preserve"> 1. </w:t>
      </w:r>
      <w:r>
        <w:t>Rekompensata, o której mowa w art. 5 ust. 5 ustawy, stanowi e</w:t>
      </w:r>
      <w:r w:rsidRPr="00AE2E0C">
        <w:t xml:space="preserve">kwiwalent </w:t>
      </w:r>
      <w:r>
        <w:t>d</w:t>
      </w:r>
      <w:r w:rsidRPr="00AE2E0C">
        <w:t xml:space="preserve">otacji </w:t>
      </w:r>
      <w:r>
        <w:t>b</w:t>
      </w:r>
      <w:r w:rsidRPr="00AE2E0C">
        <w:t>rutto finansow</w:t>
      </w:r>
      <w:r>
        <w:t>ego wsparcia</w:t>
      </w:r>
      <w:r w:rsidRPr="00AE2E0C">
        <w:t xml:space="preserve">, </w:t>
      </w:r>
      <w:r>
        <w:t xml:space="preserve">wyliczany </w:t>
      </w:r>
      <w:r w:rsidRPr="00AE2E0C">
        <w:t xml:space="preserve">przez </w:t>
      </w:r>
      <w:r>
        <w:t>Bank</w:t>
      </w:r>
      <w:r w:rsidRPr="00AE2E0C">
        <w:t xml:space="preserve">, zgodnie z </w:t>
      </w:r>
      <w:r>
        <w:t>r</w:t>
      </w:r>
      <w:r w:rsidRPr="00AE2E0C">
        <w:t>ozporządzeniem Rady Ministrów z dnia 11 sierpnia 2004 r. w sprawie szczegółowego sposobu obliczania wartości pomocy publicznej udzielanej w różnych formach (</w:t>
      </w:r>
      <w:r>
        <w:t>Dz. U. poz. 1983</w:t>
      </w:r>
      <w:r w:rsidR="00DA4745">
        <w:t>, z 2006 r. poz. 1355, z 2009 r. poz. 1008 oraz z 2016 r. poz. 2093</w:t>
      </w:r>
      <w:r>
        <w:t>)</w:t>
      </w:r>
      <w:r w:rsidRPr="00AE2E0C">
        <w:t xml:space="preserve">, na </w:t>
      </w:r>
      <w:r>
        <w:t>dzień</w:t>
      </w:r>
      <w:r w:rsidRPr="00AE2E0C">
        <w:t xml:space="preserve"> </w:t>
      </w:r>
      <w:r>
        <w:t>zawarcia umowy, o której mowa w art. 5 ust. 3 ustawy.</w:t>
      </w:r>
    </w:p>
    <w:p w:rsidR="00381EFE" w:rsidRPr="00AE2E0C" w:rsidRDefault="00381EFE" w:rsidP="00381EFE">
      <w:pPr>
        <w:pStyle w:val="ARTartustawynprozporzdzenia"/>
      </w:pPr>
      <w:r>
        <w:t xml:space="preserve">2. </w:t>
      </w:r>
      <w:r w:rsidRPr="00AE2E0C">
        <w:t>Rekompensata</w:t>
      </w:r>
      <w:r>
        <w:t>, o której mowa w ust. 1,</w:t>
      </w:r>
      <w:r w:rsidRPr="00AE2E0C">
        <w:t xml:space="preserve"> nie może </w:t>
      </w:r>
      <w:r>
        <w:t>przekroczyć kwoty niezbędnej do </w:t>
      </w:r>
      <w:r w:rsidRPr="00AE2E0C">
        <w:t xml:space="preserve">pokrycia kosztów netto </w:t>
      </w:r>
      <w:r>
        <w:t xml:space="preserve">inwestora </w:t>
      </w:r>
      <w:r w:rsidRPr="00AE2E0C">
        <w:t>wynikających ze świadczenia usługi publicznej</w:t>
      </w:r>
      <w:r>
        <w:t xml:space="preserve"> w ogólnym interesie gospodarczym, z uwzględnieniem rozsądnego zysku</w:t>
      </w:r>
      <w:r w:rsidRPr="00AE2E0C">
        <w:t xml:space="preserve">. </w:t>
      </w:r>
    </w:p>
    <w:p w:rsidR="00381EFE" w:rsidRPr="00AE2E0C" w:rsidRDefault="00381EFE" w:rsidP="00381EFE">
      <w:pPr>
        <w:pStyle w:val="USTustnpkodeksu"/>
      </w:pPr>
      <w:r>
        <w:t>3</w:t>
      </w:r>
      <w:r w:rsidRPr="00AE2E0C">
        <w:t xml:space="preserve">. </w:t>
      </w:r>
      <w:r>
        <w:t>P</w:t>
      </w:r>
      <w:r w:rsidRPr="00AE2E0C">
        <w:t>oziom kosztów netto wynikając</w:t>
      </w:r>
      <w:r>
        <w:t>ych</w:t>
      </w:r>
      <w:r w:rsidRPr="00AE2E0C">
        <w:t xml:space="preserve"> ze świadczen</w:t>
      </w:r>
      <w:r>
        <w:t>ia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 xml:space="preserve"> jest obliczany według wzoru:</w:t>
      </w:r>
    </w:p>
    <w:p w:rsidR="00381EFE" w:rsidRPr="00AE2E0C" w:rsidRDefault="00381EFE" w:rsidP="00381EFE">
      <m:oMathPara>
        <m:oMath>
          <m:r>
            <m:rPr>
              <m:sty m:val="bi"/>
            </m:rPr>
            <w:rPr>
              <w:rFonts w:ascii="Cambria Math" w:hAnsi="Cambria Math"/>
            </w:rPr>
            <m:t>KN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KUOIG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WKUOIG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PUOIG</m:t>
                      </m:r>
                    </m:e>
                  </m:nary>
                </m:e>
              </m:nary>
            </m:e>
          </m:nary>
        </m:oMath>
      </m:oMathPara>
    </w:p>
    <w:p w:rsidR="00381EFE" w:rsidRPr="00AE2E0C" w:rsidRDefault="00381EFE" w:rsidP="00381EFE">
      <w:pPr>
        <w:pStyle w:val="LEGWMATFIZCHEMlegendawzorumatfizlubchem"/>
      </w:pPr>
      <w:r>
        <w:t>w którym poszczególne symbole oznaczają</w:t>
      </w:r>
      <w:r w:rsidRPr="00AE2E0C">
        <w:t>:</w:t>
      </w:r>
    </w:p>
    <w:p w:rsidR="00381EFE" w:rsidRPr="00AE2E0C" w:rsidRDefault="00381EFE" w:rsidP="00381EFE">
      <w:pPr>
        <w:pStyle w:val="LEGWMATFIZCHEMlegendawzorumatfizlubchem"/>
      </w:pPr>
      <w:r w:rsidRPr="00AE2E0C">
        <w:lastRenderedPageBreak/>
        <w:t>KN – koszty netto wynikające ze świadczen</w:t>
      </w:r>
      <w:r>
        <w:t>ia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>,</w:t>
      </w:r>
    </w:p>
    <w:p w:rsidR="00381EFE" w:rsidRPr="00AE2E0C" w:rsidRDefault="00381EFE" w:rsidP="00381EFE">
      <w:pPr>
        <w:pStyle w:val="LEGWMATFIZCHEMlegendawzorumatfizlubchem"/>
      </w:pPr>
      <w:r w:rsidRPr="00AE2E0C">
        <w:t xml:space="preserve">KUOIG – koszty związane z usługą </w:t>
      </w:r>
      <w:r>
        <w:t xml:space="preserve">publiczną </w:t>
      </w:r>
      <w:r w:rsidRPr="00AE2E0C">
        <w:t>świadczoną w ogólnym interesie gospodarczym, o których mowa w ust</w:t>
      </w:r>
      <w:r w:rsidRPr="00EB0506">
        <w:t>. 4–5,</w:t>
      </w:r>
    </w:p>
    <w:p w:rsidR="00381EFE" w:rsidRPr="00AE2E0C" w:rsidRDefault="00381EFE" w:rsidP="00381EFE">
      <w:pPr>
        <w:pStyle w:val="LEGWMATFIZCHEMlegendawzorumatfizlubchem"/>
      </w:pPr>
      <w:r w:rsidRPr="00AE2E0C">
        <w:t xml:space="preserve">WKUOIG – wkład we wspólne koszty stałe </w:t>
      </w:r>
      <w:r>
        <w:t>inwestora</w:t>
      </w:r>
      <w:r w:rsidRPr="00AE2E0C">
        <w:t xml:space="preserve"> przypisany do usługi </w:t>
      </w:r>
      <w:r>
        <w:t xml:space="preserve">publicznej </w:t>
      </w:r>
      <w:r w:rsidRPr="00AE2E0C">
        <w:t xml:space="preserve">świadczonej w ogólnym interesie gospodarczym, o którym mowa w ust. </w:t>
      </w:r>
      <w:r>
        <w:t>4</w:t>
      </w:r>
      <w:r w:rsidRPr="00AE2E0C">
        <w:t xml:space="preserve"> </w:t>
      </w:r>
      <w:r>
        <w:t>pkt 5,</w:t>
      </w:r>
    </w:p>
    <w:p w:rsidR="00381EFE" w:rsidRDefault="00381EFE" w:rsidP="00381EFE">
      <w:pPr>
        <w:pStyle w:val="LEGWMATFIZCHEMlegendawzorumatfizlubchem"/>
      </w:pPr>
      <w:r w:rsidRPr="00AE2E0C">
        <w:t xml:space="preserve">PUOIG – przychody </w:t>
      </w:r>
      <w:r>
        <w:t xml:space="preserve">inwestora </w:t>
      </w:r>
      <w:r w:rsidRPr="00AE2E0C">
        <w:t>związane z usługą</w:t>
      </w:r>
      <w:r>
        <w:t xml:space="preserve"> publiczną</w:t>
      </w:r>
      <w:r w:rsidRPr="00AE2E0C">
        <w:t xml:space="preserve"> świadczoną w ogólnym interesie gospodarczym, o których mowa w ust. </w:t>
      </w:r>
      <w:r>
        <w:t>6,</w:t>
      </w:r>
    </w:p>
    <w:p w:rsidR="00381EFE" w:rsidRPr="007B704A" w:rsidRDefault="00381EFE" w:rsidP="00381EFE">
      <w:pPr>
        <w:pStyle w:val="LEGWMATFIZCHEMlegendawzorumatfizlubchem"/>
      </w:pPr>
      <w:r w:rsidRPr="007B704A">
        <w:t xml:space="preserve">i - i-ty rok </w:t>
      </w:r>
      <w:r>
        <w:t>okresu, o którym mowa w art. 5 ust. 8 ustawy,</w:t>
      </w:r>
    </w:p>
    <w:p w:rsidR="00381EFE" w:rsidRPr="00AE2E0C" w:rsidRDefault="00381EFE" w:rsidP="00381EFE">
      <w:pPr>
        <w:pStyle w:val="LEGWMATFIZCHEMlegendawzorumatfizlubchem"/>
      </w:pPr>
      <w:r w:rsidRPr="00C531C8">
        <w:t xml:space="preserve">n - ostatni rok okresu, o którym mowa w </w:t>
      </w:r>
      <w:r>
        <w:t>art. 5 ust. 8 ustawy.</w:t>
      </w:r>
    </w:p>
    <w:p w:rsidR="00381EFE" w:rsidRPr="007261AE" w:rsidRDefault="00381EFE" w:rsidP="00381EFE">
      <w:pPr>
        <w:pStyle w:val="USTustnpkodeksu"/>
        <w:rPr>
          <w:rFonts w:ascii="Times New Roman" w:hAnsi="Times New Roman"/>
          <w:bCs w:val="0"/>
        </w:rPr>
      </w:pPr>
      <w:r w:rsidRPr="007261AE">
        <w:rPr>
          <w:rFonts w:ascii="Times New Roman" w:hAnsi="Times New Roman"/>
          <w:bCs w:val="0"/>
        </w:rPr>
        <w:t>4. Do kosztów inwestora związanych z usługą publiczną świadczoną w ogólnym interesie gospodarczym zalicza się, w szczególności:</w:t>
      </w:r>
    </w:p>
    <w:p w:rsidR="00381EFE" w:rsidRPr="002F3A92" w:rsidRDefault="00381EFE" w:rsidP="00381EFE">
      <w:pPr>
        <w:pStyle w:val="PKTpunkt"/>
      </w:pPr>
      <w:r>
        <w:t xml:space="preserve">1)    </w:t>
      </w:r>
      <w:r w:rsidRPr="002F3A92">
        <w:t xml:space="preserve"> koszty brutto</w:t>
      </w:r>
      <w:r>
        <w:t xml:space="preserve"> przedsięwzięcia</w:t>
      </w:r>
      <w:r w:rsidRPr="002F3A92">
        <w:t>, o któr</w:t>
      </w:r>
      <w:r>
        <w:t>ych mowa w art. 14 ustawy;</w:t>
      </w:r>
      <w:r w:rsidRPr="002F3A92">
        <w:t xml:space="preserve"> </w:t>
      </w:r>
    </w:p>
    <w:p w:rsidR="00381EFE" w:rsidRPr="00AE2E0C" w:rsidRDefault="00381EFE" w:rsidP="00381EFE">
      <w:pPr>
        <w:pStyle w:val="PKTpunkt"/>
      </w:pPr>
      <w:r>
        <w:t>2)</w:t>
      </w:r>
      <w:r>
        <w:tab/>
        <w:t>koszty eksploatacji i </w:t>
      </w:r>
      <w:r w:rsidRPr="00AE2E0C">
        <w:t>remontów lokali oraz infrastruktury utworzonej przy udziale finansow</w:t>
      </w:r>
      <w:r>
        <w:t>ego wsparcia</w:t>
      </w:r>
      <w:r w:rsidRPr="00AE2E0C">
        <w:t>, związane bezpośrednio z realizacją przedsięwzięcia</w:t>
      </w:r>
      <w:r>
        <w:t xml:space="preserve">, </w:t>
      </w:r>
      <w:r w:rsidRPr="00AE2E0C">
        <w:t>ponoszone w okresie</w:t>
      </w:r>
      <w:r>
        <w:t>, o którym mowa w art. 5 ust. 8 ustawy;</w:t>
      </w:r>
    </w:p>
    <w:p w:rsidR="00381EFE" w:rsidRDefault="00381EFE" w:rsidP="00381EFE">
      <w:pPr>
        <w:pStyle w:val="PKTpunkt"/>
      </w:pPr>
      <w:r>
        <w:t>3)</w:t>
      </w:r>
      <w:r>
        <w:tab/>
      </w:r>
      <w:r w:rsidRPr="00AE2E0C">
        <w:t>koszty ubezpieczenia nieruchomości w trakcie realizacji przedsięwzięc</w:t>
      </w:r>
      <w:r>
        <w:t>ia i</w:t>
      </w:r>
      <w:r w:rsidRPr="00AE2E0C">
        <w:t xml:space="preserve"> w okresie</w:t>
      </w:r>
      <w:r>
        <w:t>, o którym mowa w art. 5 ust. 8 ustawy;</w:t>
      </w:r>
      <w:r w:rsidRPr="00AE2E0C">
        <w:t xml:space="preserve"> </w:t>
      </w:r>
    </w:p>
    <w:p w:rsidR="00381EFE" w:rsidRPr="00AE2E0C" w:rsidRDefault="00381EFE" w:rsidP="00381EFE">
      <w:pPr>
        <w:pStyle w:val="PKTpunkt"/>
      </w:pPr>
      <w:r>
        <w:t>4)</w:t>
      </w:r>
      <w:r>
        <w:tab/>
        <w:t xml:space="preserve">pozostałe koszty związane ze </w:t>
      </w:r>
      <w:r w:rsidRPr="00AE2E0C">
        <w:t>świadcz</w:t>
      </w:r>
      <w:r>
        <w:t xml:space="preserve">eniem </w:t>
      </w:r>
      <w:r w:rsidRPr="00AE2E0C">
        <w:t>usług</w:t>
      </w:r>
      <w:r>
        <w:t>i publicznej</w:t>
      </w:r>
      <w:r w:rsidRPr="00AE2E0C">
        <w:t xml:space="preserve"> w ogólnym interesie gospodarczym polegając</w:t>
      </w:r>
      <w:r>
        <w:t>ej</w:t>
      </w:r>
      <w:r w:rsidRPr="00AE2E0C">
        <w:t xml:space="preserve"> na najmie lokali mieszkalnych</w:t>
      </w:r>
      <w:r>
        <w:t xml:space="preserve">, </w:t>
      </w:r>
      <w:r w:rsidRPr="00AE2E0C">
        <w:t xml:space="preserve">w </w:t>
      </w:r>
      <w:r>
        <w:t xml:space="preserve">tym koszty prowadzenia rachunków bankowych przeznaczonych do deponowania środków </w:t>
      </w:r>
      <w:r w:rsidRPr="00AE2E0C">
        <w:t>z kaucji zabezpieczających pokrycie należności z tytułu najmu lokali, pobranych od najemców</w:t>
      </w:r>
      <w:r>
        <w:t xml:space="preserve"> oraz </w:t>
      </w:r>
      <w:r w:rsidRPr="00AE2E0C">
        <w:t xml:space="preserve">środków </w:t>
      </w:r>
      <w:r>
        <w:t xml:space="preserve">gromadzonych </w:t>
      </w:r>
      <w:r w:rsidRPr="00AE2E0C">
        <w:t>w ramach odpisów na fundusz remontowy</w:t>
      </w:r>
      <w:r>
        <w:t>;</w:t>
      </w:r>
    </w:p>
    <w:p w:rsidR="00381EFE" w:rsidRDefault="00381EFE" w:rsidP="00381EFE">
      <w:pPr>
        <w:pStyle w:val="PKTpunkt"/>
      </w:pPr>
      <w:r>
        <w:t>5)</w:t>
      </w:r>
      <w:r>
        <w:tab/>
      </w:r>
      <w:r w:rsidRPr="00AE2E0C">
        <w:t xml:space="preserve">wkład we wspólne koszty stałe </w:t>
      </w:r>
      <w:r>
        <w:t xml:space="preserve">inwestora w części wyliczonej na podstawie procentowego udziału powierzchni powstałej w wyniku </w:t>
      </w:r>
      <w:r w:rsidRPr="00927F75">
        <w:t xml:space="preserve">realizowanego przedsięwzięcia w powierzchni </w:t>
      </w:r>
      <w:r>
        <w:t>całkowitej lokali mieszkalnych będących własnością inwestora;</w:t>
      </w:r>
    </w:p>
    <w:p w:rsidR="00381EFE" w:rsidRPr="007261AE" w:rsidRDefault="00381EFE" w:rsidP="00381EFE">
      <w:pPr>
        <w:pStyle w:val="PKTpunkt"/>
      </w:pPr>
      <w:r>
        <w:t>6</w:t>
      </w:r>
      <w:r w:rsidRPr="007261AE">
        <w:t xml:space="preserve">) </w:t>
      </w:r>
      <w:r w:rsidRPr="007261AE">
        <w:tab/>
        <w:t xml:space="preserve">koszty wykonania garaży dla samochodów osobowych lub miejsc postojowych w garażu wielostanowiskowym, zlokalizowanych w obrębie finansowanego przedsięwzięcia w liczbie nieprzekraczającej minimalnej liczby wynikającej z ustaleń miejscowego planu zagospodarowania przestrzennego </w:t>
      </w:r>
      <w:r w:rsidR="00895FA8">
        <w:t xml:space="preserve">albo </w:t>
      </w:r>
      <w:r w:rsidRPr="007261AE">
        <w:t>decyzji o warunkach zabudowy oraz przypadającej na finansowanie w ramach przedsięwzięcia inwestycyjno-</w:t>
      </w:r>
      <w:r w:rsidRPr="007261AE">
        <w:br/>
        <w:t>-</w:t>
      </w:r>
      <w:r w:rsidR="00E74AFE">
        <w:t xml:space="preserve"> </w:t>
      </w:r>
      <w:r w:rsidRPr="007261AE">
        <w:t xml:space="preserve">budowlanego - w wysokości nieuwzględniającej podatku od towarów i usług w rozumieniu ustawy z dnia 11 marca 2004 r. o podatku od towarów i usług (Dz. U. z </w:t>
      </w:r>
      <w:r w:rsidRPr="007261AE">
        <w:lastRenderedPageBreak/>
        <w:t>2017 r. poz. 1221) w części, w jakiej inwestorowi przysługiwało p</w:t>
      </w:r>
      <w:r>
        <w:t>rawo do odliczenia tego podatku;</w:t>
      </w:r>
    </w:p>
    <w:p w:rsidR="00381EFE" w:rsidRPr="00A61479" w:rsidRDefault="00381EFE" w:rsidP="00381EFE">
      <w:pPr>
        <w:pStyle w:val="PKTpunkt"/>
        <w:rPr>
          <w:color w:val="FF0000"/>
        </w:rPr>
      </w:pPr>
      <w:r>
        <w:t xml:space="preserve">7)   </w:t>
      </w:r>
      <w:r w:rsidRPr="00513E1D">
        <w:t>koszt</w:t>
      </w:r>
      <w:r>
        <w:t>y</w:t>
      </w:r>
      <w:r w:rsidRPr="00513E1D">
        <w:t xml:space="preserve"> nabycia nieruc</w:t>
      </w:r>
      <w:r>
        <w:t>homości pod budowę, w tym również zakupu nieruchomości, wraz z budynkiem, który zostanie przebudowany na cele mieszkaniowe, pod warunkiem, że nieruchomość albo prawo użytkowania wieczystego nieruchomości nie są obciążone hipoteką.</w:t>
      </w:r>
    </w:p>
    <w:p w:rsidR="00381EFE" w:rsidRPr="00513E1D" w:rsidRDefault="00381EFE" w:rsidP="00381EFE">
      <w:pPr>
        <w:pStyle w:val="USTustnpkodeksu"/>
      </w:pPr>
      <w:r>
        <w:t xml:space="preserve">5. </w:t>
      </w:r>
      <w:r w:rsidRPr="00513E1D">
        <w:t>Do kosztów nabycia nieruc</w:t>
      </w:r>
      <w:r>
        <w:t>homości pod budowę, w tym również zakupu nieruchomości, wraz z budynkiem, który zostanie przebudowany na cele mieszkaniowe, pod warunkiem, że nieruchomość albo prawo użytkowania wieczystego nieruchomości nie są obciążone hipoteką</w:t>
      </w:r>
      <w:r w:rsidRPr="00513E1D">
        <w:t xml:space="preserve">, zalicza się również wartość nieruchomości, jeżeli została ona wniesiona jako wkład niepieniężny i jest przeznaczona do realizacji przedsięwzięcia. Wartość nieruchomości ustala się zgodnie z przepisami ustawy z dnia 21 sierpnia 1997 r. o gospodarce nieruchomościami </w:t>
      </w:r>
      <w:r w:rsidRPr="00D60200">
        <w:t>(Dz. U. z 2016 r. poz. 2147</w:t>
      </w:r>
      <w:r>
        <w:t>, z późn. zm.</w:t>
      </w:r>
      <w:r w:rsidR="00D4282D">
        <w:rPr>
          <w:rStyle w:val="Odwoanieprzypisudolnego"/>
        </w:rPr>
        <w:footnoteReference w:id="2"/>
      </w:r>
      <w:r>
        <w:t>)</w:t>
      </w:r>
      <w:r w:rsidRPr="00D60200">
        <w:t xml:space="preserve"> </w:t>
      </w:r>
      <w:r>
        <w:t>na </w:t>
      </w:r>
      <w:r w:rsidRPr="00513E1D">
        <w:t>podstawie operatu szacunkowego sporządzonego przez rzeczoznawcę majątkowego.</w:t>
      </w:r>
    </w:p>
    <w:p w:rsidR="00381EFE" w:rsidRPr="00AE2E0C" w:rsidRDefault="00381EFE" w:rsidP="00381EFE">
      <w:pPr>
        <w:pStyle w:val="USTustnpkodeksu"/>
      </w:pPr>
      <w:r>
        <w:t xml:space="preserve">6. </w:t>
      </w:r>
      <w:r w:rsidRPr="00AE2E0C">
        <w:t xml:space="preserve">Do przychodów </w:t>
      </w:r>
      <w:r>
        <w:t>inwestora</w:t>
      </w:r>
      <w:r w:rsidRPr="00295B5C">
        <w:t xml:space="preserve"> </w:t>
      </w:r>
      <w:r>
        <w:t xml:space="preserve">związanych z usługą publiczną świadczoną w ogólnym interesie gospodarczym </w:t>
      </w:r>
      <w:r w:rsidRPr="00AE2E0C">
        <w:t>zalicza się</w:t>
      </w:r>
      <w:r w:rsidR="005E2842">
        <w:t>,</w:t>
      </w:r>
      <w:r w:rsidRPr="00AE2E0C">
        <w:t xml:space="preserve"> w szczególności:</w:t>
      </w:r>
    </w:p>
    <w:p w:rsidR="00381EFE" w:rsidRPr="00AE2E0C" w:rsidRDefault="00381EFE" w:rsidP="00381EFE">
      <w:pPr>
        <w:pStyle w:val="PKTpunkt"/>
      </w:pPr>
      <w:r>
        <w:t>1</w:t>
      </w:r>
      <w:r w:rsidRPr="00AE2E0C">
        <w:t>)</w:t>
      </w:r>
      <w:r>
        <w:tab/>
      </w:r>
      <w:r w:rsidRPr="00AE2E0C">
        <w:t>przychody z opłat czynszowych za najem lokali mieszkalnych, garaży</w:t>
      </w:r>
      <w:r>
        <w:t xml:space="preserve"> i</w:t>
      </w:r>
      <w:r w:rsidRPr="00AE2E0C">
        <w:t xml:space="preserve"> miejsc postojowych</w:t>
      </w:r>
      <w:r>
        <w:t>;</w:t>
      </w:r>
    </w:p>
    <w:p w:rsidR="00381EFE" w:rsidRPr="00AE2E0C" w:rsidRDefault="00381EFE" w:rsidP="00381EFE">
      <w:pPr>
        <w:pStyle w:val="PKTpunkt"/>
      </w:pPr>
      <w:r>
        <w:t>2</w:t>
      </w:r>
      <w:r w:rsidRPr="00AE2E0C">
        <w:t>)</w:t>
      </w:r>
      <w:r>
        <w:tab/>
      </w:r>
      <w:r w:rsidRPr="00AE2E0C">
        <w:t xml:space="preserve">przychody z tytułu </w:t>
      </w:r>
      <w:r>
        <w:t xml:space="preserve">odsetek od </w:t>
      </w:r>
      <w:r w:rsidRPr="00AE2E0C">
        <w:t>zdeponowan</w:t>
      </w:r>
      <w:r w:rsidR="005E2842">
        <w:t>ych</w:t>
      </w:r>
      <w:r w:rsidRPr="00AE2E0C">
        <w:t xml:space="preserve"> środków z kaucji zabezpieczających pokrycie należności z tytułu najmu lokali, pobranych od najemców</w:t>
      </w:r>
      <w:r>
        <w:t>;</w:t>
      </w:r>
    </w:p>
    <w:p w:rsidR="00381EFE" w:rsidRDefault="00381EFE" w:rsidP="00381EFE">
      <w:pPr>
        <w:pStyle w:val="PKTpunkt"/>
      </w:pPr>
      <w:r>
        <w:t>3</w:t>
      </w:r>
      <w:r w:rsidRPr="00AE2E0C">
        <w:t>)</w:t>
      </w:r>
      <w:r>
        <w:tab/>
      </w:r>
      <w:r w:rsidRPr="00AE2E0C">
        <w:t xml:space="preserve">przychody z tytułu </w:t>
      </w:r>
      <w:r>
        <w:t xml:space="preserve">odsetek od </w:t>
      </w:r>
      <w:r w:rsidRPr="00AE2E0C">
        <w:t>zdeponowan</w:t>
      </w:r>
      <w:r w:rsidR="005E2842">
        <w:t>ych</w:t>
      </w:r>
      <w:r w:rsidRPr="00AE2E0C">
        <w:t xml:space="preserve"> środków </w:t>
      </w:r>
      <w:r>
        <w:t xml:space="preserve">gromadzonych </w:t>
      </w:r>
      <w:r w:rsidRPr="00AE2E0C">
        <w:t>w ramach odpisów na fundusz remontowy</w:t>
      </w:r>
      <w:r>
        <w:t>;</w:t>
      </w:r>
    </w:p>
    <w:p w:rsidR="00381EFE" w:rsidRPr="00AE2E0C" w:rsidRDefault="00381EFE" w:rsidP="00381EFE">
      <w:pPr>
        <w:pStyle w:val="PKTpunkt"/>
      </w:pPr>
      <w:r>
        <w:t>4)</w:t>
      </w:r>
      <w:r>
        <w:tab/>
        <w:t xml:space="preserve">wartość nieruchomości gruntowej, jeżeli została wniesiona jako wkład niepieniężny przez jednostkę samorządu terytorialnego i jest przeznaczona do realizacji przedsięwzięcia, ustaloną zgodnie z przepisami </w:t>
      </w:r>
      <w:r w:rsidRPr="00513E1D">
        <w:t>ustawy z dnia 21 sierpnia 1997 r. o gospodarce nieruchomościami</w:t>
      </w:r>
      <w:r w:rsidR="00ED0BFB">
        <w:t>.</w:t>
      </w:r>
    </w:p>
    <w:p w:rsidR="00381EFE" w:rsidRPr="00554E51" w:rsidRDefault="00381EFE" w:rsidP="00381EFE">
      <w:pPr>
        <w:pStyle w:val="USTustnpkodeksu"/>
      </w:pPr>
      <w:r>
        <w:t>7</w:t>
      </w:r>
      <w:r w:rsidRPr="009C2B60">
        <w:t xml:space="preserve">. W przypadku gdy </w:t>
      </w:r>
      <w:r>
        <w:t>inwestor</w:t>
      </w:r>
      <w:r w:rsidRPr="009C2B60">
        <w:t xml:space="preserve"> prowadzi zarówno działalność wchodzącą w zakres usługi publicznej świadczonej w ogólnym interesie gospodarczym, jak i działalność wykraczającą poza ten zakres, w księgach </w:t>
      </w:r>
      <w:r>
        <w:t xml:space="preserve">inwestora </w:t>
      </w:r>
      <w:r w:rsidRPr="00BB4B0F">
        <w:t>wykazuje się</w:t>
      </w:r>
      <w:r w:rsidRPr="007D2966">
        <w:t xml:space="preserve"> osobno koszty i przychody związane</w:t>
      </w:r>
      <w:r w:rsidRPr="00271D08">
        <w:t xml:space="preserve"> </w:t>
      </w:r>
      <w:r>
        <w:t>z </w:t>
      </w:r>
      <w:r w:rsidRPr="00C531C8">
        <w:t xml:space="preserve">usługą </w:t>
      </w:r>
      <w:r w:rsidRPr="00995AA9">
        <w:t xml:space="preserve">publiczną </w:t>
      </w:r>
      <w:r w:rsidRPr="008F6080">
        <w:t>świadczoną w ogólnym interesie gospodarczym oraz koszty i przychody związane</w:t>
      </w:r>
      <w:r>
        <w:t xml:space="preserve"> </w:t>
      </w:r>
      <w:r w:rsidRPr="00554E51">
        <w:t>z innymi usługami.</w:t>
      </w:r>
    </w:p>
    <w:p w:rsidR="00381EFE" w:rsidRPr="00AE2E0C" w:rsidRDefault="00381EFE" w:rsidP="00381EFE">
      <w:pPr>
        <w:pStyle w:val="USTustnpkodeksu"/>
      </w:pPr>
      <w:r>
        <w:lastRenderedPageBreak/>
        <w:t>8. R</w:t>
      </w:r>
      <w:r w:rsidRPr="00AE2E0C">
        <w:t>ozsądn</w:t>
      </w:r>
      <w:r>
        <w:t>y</w:t>
      </w:r>
      <w:r w:rsidRPr="00AE2E0C">
        <w:t xml:space="preserve"> zysk związan</w:t>
      </w:r>
      <w:r>
        <w:t>y</w:t>
      </w:r>
      <w:r w:rsidRPr="00AE2E0C">
        <w:t xml:space="preserve"> ze świadczeniem usługi </w:t>
      </w:r>
      <w:r>
        <w:t xml:space="preserve">publicznej </w:t>
      </w:r>
      <w:r w:rsidRPr="00AE2E0C">
        <w:t>w ogólnym interesie gospodarczym</w:t>
      </w:r>
      <w:r>
        <w:t xml:space="preserve"> jest obliczany według wzoru:</w:t>
      </w:r>
    </w:p>
    <w:p w:rsidR="00381EFE" w:rsidRPr="00AE2E0C" w:rsidRDefault="00045477" w:rsidP="00381EF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IRS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%)×(</m:t>
          </m:r>
          <m:r>
            <m:rPr>
              <m:sty m:val="b"/>
            </m:rPr>
            <w:rPr>
              <w:rFonts w:ascii="Cambria Math" w:hAnsi="Cambria Math"/>
            </w:rPr>
            <m:t>KIUOIG</m:t>
          </m:r>
          <m:r>
            <m:rPr>
              <m:sty m:val="p"/>
            </m:rPr>
            <w:rPr>
              <w:rFonts w:ascii="Cambria Math" w:hAnsi="Cambria Math"/>
            </w:rPr>
            <m:t>-FW)×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i-1</m:t>
              </m:r>
            </m:sup>
          </m:sSup>
        </m:oMath>
      </m:oMathPara>
    </w:p>
    <w:p w:rsidR="00381EFE" w:rsidRPr="00AE2E0C" w:rsidRDefault="00381EFE" w:rsidP="00381EFE">
      <w:pPr>
        <w:pStyle w:val="LEGWMATFIZCHEMlegendawzorumatfizlubchem"/>
      </w:pPr>
      <w:r>
        <w:t>w którym poszczególne symbole oznaczają</w:t>
      </w:r>
      <w:r w:rsidRPr="00AE2E0C">
        <w:t>:</w:t>
      </w:r>
    </w:p>
    <w:p w:rsidR="00381EFE" w:rsidRPr="00AE2E0C" w:rsidRDefault="00381EFE" w:rsidP="00381EFE">
      <w:pPr>
        <w:pStyle w:val="LEGWMATFIZCHEMlegendawzorumatfizlubchem"/>
      </w:pPr>
      <w:proofErr w:type="spellStart"/>
      <w:r w:rsidRPr="00AE2E0C">
        <w:t>RZ</w:t>
      </w:r>
      <w:r w:rsidRPr="00550F61">
        <w:rPr>
          <w:rStyle w:val="IDindeksdolny"/>
        </w:rPr>
        <w:t>i</w:t>
      </w:r>
      <w:proofErr w:type="spellEnd"/>
      <w:r w:rsidRPr="00AE2E0C">
        <w:t xml:space="preserve"> – rozsądny zysk </w:t>
      </w:r>
      <w:r>
        <w:t>inwestora</w:t>
      </w:r>
      <w:r w:rsidRPr="00AE2E0C">
        <w:t xml:space="preserve"> w i-tym roku </w:t>
      </w:r>
      <w:r>
        <w:t>okresu, o którym mowa w art. 5 ust. 8 ustawy,</w:t>
      </w:r>
    </w:p>
    <w:p w:rsidR="00381EFE" w:rsidRDefault="00381EFE" w:rsidP="00381EFE">
      <w:pPr>
        <w:pStyle w:val="LEGWMATFIZCHEMlegendawzorumatfizlubchem"/>
      </w:pPr>
      <w:proofErr w:type="spellStart"/>
      <w:r w:rsidRPr="00660F0D">
        <w:t>i</w:t>
      </w:r>
      <w:r w:rsidRPr="00660F0D">
        <w:rPr>
          <w:vertAlign w:val="subscript"/>
        </w:rPr>
        <w:t>IRS</w:t>
      </w:r>
      <w:proofErr w:type="spellEnd"/>
      <w:r w:rsidRPr="00660F0D">
        <w:t xml:space="preserve"> </w:t>
      </w:r>
      <w:r w:rsidRPr="00AE2E0C">
        <w:t xml:space="preserve">– </w:t>
      </w:r>
      <w:r>
        <w:t xml:space="preserve">stopa </w:t>
      </w:r>
      <w:proofErr w:type="spellStart"/>
      <w:r>
        <w:t>swap</w:t>
      </w:r>
      <w:proofErr w:type="spellEnd"/>
      <w:r>
        <w:t xml:space="preserve"> dla 10-letniego okresu, publikowana przez Komisję Europejską</w:t>
      </w:r>
      <w:r w:rsidR="00D4282D">
        <w:rPr>
          <w:rStyle w:val="Odwoanieprzypisudolnego"/>
        </w:rPr>
        <w:footnoteReference w:customMarkFollows="1" w:id="3"/>
        <w:t>3)</w:t>
      </w:r>
      <w:r>
        <w:t xml:space="preserve">, obowiązująca na dzień zawarcia umowy, o której mowa w art. 5 ust. 3 ustawy, </w:t>
      </w:r>
    </w:p>
    <w:p w:rsidR="00381EFE" w:rsidRPr="00AE2E0C" w:rsidRDefault="00381EFE" w:rsidP="00381EFE">
      <w:pPr>
        <w:pStyle w:val="LEGWMATFIZCHEMlegendawzorumatfizlubchem"/>
      </w:pPr>
      <w:r w:rsidRPr="00AE2E0C">
        <w:t>KIUOIG – koszty przedsięwzięcia</w:t>
      </w:r>
      <w:r>
        <w:t>,</w:t>
      </w:r>
    </w:p>
    <w:p w:rsidR="00381EFE" w:rsidRPr="00AE2E0C" w:rsidRDefault="00381EFE" w:rsidP="00381EFE">
      <w:pPr>
        <w:pStyle w:val="LEGWMATFIZCHEMlegendawzorumatfizlubchem"/>
      </w:pPr>
      <w:r>
        <w:t>FW</w:t>
      </w:r>
      <w:r w:rsidRPr="00AE2E0C">
        <w:t xml:space="preserve"> – </w:t>
      </w:r>
      <w:r>
        <w:t>kwota udzielonego finansowego wsparcia,</w:t>
      </w:r>
    </w:p>
    <w:p w:rsidR="00381EFE" w:rsidRDefault="00381EFE" w:rsidP="00381EFE">
      <w:pPr>
        <w:pStyle w:val="ARTartustawynprozporzdzenia"/>
      </w:pPr>
      <w:proofErr w:type="spellStart"/>
      <w:r w:rsidRPr="00660F0D">
        <w:t>r</w:t>
      </w:r>
      <w:r w:rsidRPr="00660F0D">
        <w:rPr>
          <w:rStyle w:val="IDindeksdolny"/>
        </w:rPr>
        <w:t>b</w:t>
      </w:r>
      <w:proofErr w:type="spellEnd"/>
      <w:r w:rsidRPr="00067839">
        <w:rPr>
          <w:rStyle w:val="IDindeksdolny"/>
        </w:rPr>
        <w:t xml:space="preserve"> </w:t>
      </w:r>
      <w:r w:rsidRPr="00995AA9">
        <w:t>– stopa bazowa publiko</w:t>
      </w:r>
      <w:r w:rsidRPr="008F6080">
        <w:t>wana przez Komisję Europejską</w:t>
      </w:r>
      <w:r w:rsidR="00D4282D">
        <w:rPr>
          <w:rStyle w:val="Odwoanieprzypisudolnego"/>
        </w:rPr>
        <w:footnoteReference w:customMarkFollows="1" w:id="4"/>
        <w:t>4)</w:t>
      </w:r>
      <w:r w:rsidRPr="00AE2E0C">
        <w:t>,</w:t>
      </w:r>
      <w:r w:rsidRPr="00995AA9">
        <w:t xml:space="preserve"> obowiązująca na dzień </w:t>
      </w:r>
      <w:r>
        <w:t>zawarcia umowy, o której mowa w art. 5 ust. 3 ustawy.</w:t>
      </w:r>
    </w:p>
    <w:p w:rsidR="00381EFE" w:rsidRPr="00AE2E0C" w:rsidRDefault="00381EFE" w:rsidP="00381EFE">
      <w:pPr>
        <w:pStyle w:val="ARTartustawynprozporzdzenia"/>
      </w:pPr>
      <w:r>
        <w:rPr>
          <w:rFonts w:cs="Times"/>
        </w:rPr>
        <w:t>§ 8</w:t>
      </w:r>
      <w:r>
        <w:t xml:space="preserve">. </w:t>
      </w:r>
      <w:r w:rsidRPr="00AE2E0C">
        <w:t xml:space="preserve">1. </w:t>
      </w:r>
      <w:r>
        <w:t xml:space="preserve">Bank w okresie, o którym mowa w art. 5 ust. 8 ustawy, </w:t>
      </w:r>
      <w:r w:rsidRPr="00AE2E0C">
        <w:t>weryfikuje co dwa lata</w:t>
      </w:r>
      <w:r>
        <w:t xml:space="preserve"> obrachunkowe</w:t>
      </w:r>
      <w:r w:rsidRPr="00AE2E0C">
        <w:t xml:space="preserve"> oraz na koniec </w:t>
      </w:r>
      <w:r>
        <w:t xml:space="preserve">tego </w:t>
      </w:r>
      <w:r w:rsidRPr="00AE2E0C">
        <w:t xml:space="preserve">okresu zgodność przyznanej rekompensaty z warunkami określonymi w decyzji, o której mowa w </w:t>
      </w:r>
      <w:r>
        <w:t>art. 5 ust. 6 ustawy</w:t>
      </w:r>
      <w:r w:rsidRPr="00AE2E0C">
        <w:t xml:space="preserve">. </w:t>
      </w:r>
    </w:p>
    <w:p w:rsidR="00381EFE" w:rsidRPr="00AE2E0C" w:rsidRDefault="00381EFE" w:rsidP="00381EFE">
      <w:pPr>
        <w:pStyle w:val="USTustnpkodeksu"/>
      </w:pPr>
      <w:r w:rsidRPr="00AE2E0C">
        <w:t>2.</w:t>
      </w:r>
      <w:r w:rsidRPr="003366EE">
        <w:t xml:space="preserve"> </w:t>
      </w:r>
      <w:r w:rsidRPr="00AE2E0C">
        <w:t xml:space="preserve">Pierwszą </w:t>
      </w:r>
      <w:r>
        <w:t>weryfikację</w:t>
      </w:r>
      <w:r w:rsidRPr="00AE2E0C">
        <w:t xml:space="preserve"> poziomu przyznanej reko</w:t>
      </w:r>
      <w:r>
        <w:t xml:space="preserve">mpensaty za świadczenie usługi publicznej </w:t>
      </w:r>
      <w:r w:rsidRPr="00AE2E0C">
        <w:t xml:space="preserve">w ogólnym interesie gospodarczym </w:t>
      </w:r>
      <w:r>
        <w:t xml:space="preserve">Bank </w:t>
      </w:r>
      <w:r w:rsidRPr="00AE2E0C">
        <w:t xml:space="preserve">przeprowadza za okres od </w:t>
      </w:r>
      <w:r>
        <w:t xml:space="preserve">przekazania środków publicznych inwestorowi </w:t>
      </w:r>
      <w:r w:rsidRPr="00AE2E0C">
        <w:t xml:space="preserve">do końca roku obrachunkowego następującego po roku </w:t>
      </w:r>
      <w:r>
        <w:t xml:space="preserve">przekazania tych środków. </w:t>
      </w:r>
    </w:p>
    <w:p w:rsidR="00381EFE" w:rsidRPr="00AE2E0C" w:rsidRDefault="00381EFE" w:rsidP="00381EFE">
      <w:pPr>
        <w:pStyle w:val="USTustnpkodeksu"/>
      </w:pPr>
      <w:r>
        <w:t>3. Weryfikacja</w:t>
      </w:r>
      <w:r w:rsidRPr="00AE2E0C">
        <w:t xml:space="preserve"> obejmuje okres od </w:t>
      </w:r>
      <w:r>
        <w:t xml:space="preserve">przekazania przez beneficjenta wsparcia środków publicznych inwestorowi </w:t>
      </w:r>
      <w:r w:rsidRPr="00AE2E0C">
        <w:t>do końca ostatniego roku obrachunkowego, za który przedstawiono dane</w:t>
      </w:r>
      <w:r>
        <w:t>, o których mowa w ust. 4</w:t>
      </w:r>
      <w:r w:rsidRPr="00AE2E0C">
        <w:t>.</w:t>
      </w:r>
    </w:p>
    <w:p w:rsidR="00381EFE" w:rsidRPr="00AE2E0C" w:rsidRDefault="00381EFE" w:rsidP="00381EFE">
      <w:pPr>
        <w:pStyle w:val="USTustnpkodeksu"/>
      </w:pPr>
      <w:r>
        <w:t xml:space="preserve">4. Beneficjent </w:t>
      </w:r>
      <w:r w:rsidRPr="00AE2E0C">
        <w:t xml:space="preserve">przedkłada </w:t>
      </w:r>
      <w:r>
        <w:t>w Banku</w:t>
      </w:r>
      <w:r w:rsidRPr="00AE2E0C">
        <w:t>, na podstawie zatwierdzonych sprawozdań finansowych</w:t>
      </w:r>
      <w:r>
        <w:t xml:space="preserve"> inwestora</w:t>
      </w:r>
      <w:r w:rsidRPr="00AE2E0C">
        <w:t xml:space="preserve">, </w:t>
      </w:r>
      <w:r>
        <w:t>dane</w:t>
      </w:r>
      <w:r w:rsidRPr="00AE2E0C">
        <w:t xml:space="preserve"> dotycząc</w:t>
      </w:r>
      <w:r>
        <w:t>e</w:t>
      </w:r>
      <w:r w:rsidRPr="00AE2E0C">
        <w:t xml:space="preserve"> kosztów i przychodów związanych ze świadczeniem usługi </w:t>
      </w:r>
      <w:r>
        <w:t xml:space="preserve">publicznej </w:t>
      </w:r>
      <w:r w:rsidRPr="00AE2E0C">
        <w:t>w ogólnym interesie gospodarczym</w:t>
      </w:r>
      <w:r>
        <w:t xml:space="preserve">. </w:t>
      </w:r>
    </w:p>
    <w:p w:rsidR="00381EFE" w:rsidRPr="00AE2E0C" w:rsidRDefault="00381EFE" w:rsidP="00381EFE">
      <w:pPr>
        <w:pStyle w:val="USTustnpkodeksu"/>
      </w:pPr>
      <w:r>
        <w:t xml:space="preserve">5. Bank </w:t>
      </w:r>
      <w:r w:rsidRPr="00AE2E0C">
        <w:t>przy wykorzystaniu danych</w:t>
      </w:r>
      <w:r>
        <w:t xml:space="preserve">, o których mowa w ust. 4, </w:t>
      </w:r>
      <w:r w:rsidRPr="00AE2E0C">
        <w:t>określa poziom:</w:t>
      </w:r>
    </w:p>
    <w:p w:rsidR="00381EFE" w:rsidRPr="00AE2E0C" w:rsidRDefault="00381EFE" w:rsidP="00381EFE">
      <w:pPr>
        <w:pStyle w:val="PKTpunkt"/>
      </w:pPr>
      <w:r>
        <w:lastRenderedPageBreak/>
        <w:t>1)</w:t>
      </w:r>
      <w:r>
        <w:tab/>
      </w:r>
      <w:r w:rsidRPr="00AE2E0C">
        <w:t>rekompensaty</w:t>
      </w:r>
      <w:r>
        <w:t xml:space="preserve">, obliczony w sposób określony w </w:t>
      </w:r>
      <w:r w:rsidRPr="00067839">
        <w:t>§</w:t>
      </w:r>
      <w:r>
        <w:t xml:space="preserve"> 7 ust. 1,</w:t>
      </w:r>
    </w:p>
    <w:p w:rsidR="00381EFE" w:rsidRPr="00AE2E0C" w:rsidRDefault="00381EFE" w:rsidP="00381EFE">
      <w:pPr>
        <w:pStyle w:val="PKTpunkt"/>
      </w:pPr>
      <w:r>
        <w:t>2)</w:t>
      </w:r>
      <w:r>
        <w:tab/>
      </w:r>
      <w:r w:rsidRPr="00AE2E0C">
        <w:t>kosztów netto,</w:t>
      </w:r>
      <w:r>
        <w:t xml:space="preserve"> obliczony w sposób określony w </w:t>
      </w:r>
      <w:r w:rsidRPr="007D2966">
        <w:t xml:space="preserve">§ </w:t>
      </w:r>
      <w:r>
        <w:t>7</w:t>
      </w:r>
      <w:r w:rsidRPr="007D2966">
        <w:t xml:space="preserve"> ust. </w:t>
      </w:r>
      <w:r>
        <w:t>3,</w:t>
      </w:r>
    </w:p>
    <w:p w:rsidR="00381EFE" w:rsidRPr="00AE2E0C" w:rsidRDefault="00381EFE" w:rsidP="00381EFE">
      <w:pPr>
        <w:pStyle w:val="PKTpunkt"/>
      </w:pPr>
      <w:r>
        <w:t>3)</w:t>
      </w:r>
      <w:r>
        <w:tab/>
      </w:r>
      <w:r w:rsidRPr="00AE2E0C">
        <w:t>rozsądnego zysku</w:t>
      </w:r>
      <w:r>
        <w:t xml:space="preserve">, obliczony w sposób określony w </w:t>
      </w:r>
      <w:r w:rsidRPr="007D2966">
        <w:t xml:space="preserve">§ </w:t>
      </w:r>
      <w:r>
        <w:t>7</w:t>
      </w:r>
      <w:r w:rsidRPr="007D2966">
        <w:t xml:space="preserve"> ust. </w:t>
      </w:r>
      <w:r>
        <w:t>8</w:t>
      </w:r>
    </w:p>
    <w:p w:rsidR="00381EFE" w:rsidRPr="008A5787" w:rsidRDefault="00381EFE" w:rsidP="00381EFE">
      <w:pPr>
        <w:pStyle w:val="CZWSPPKTczwsplnapunktw"/>
      </w:pPr>
      <w:r w:rsidRPr="008A5787">
        <w:t>– przypadający na okres, o którym mowa w ust. 3.</w:t>
      </w:r>
    </w:p>
    <w:p w:rsidR="00381EFE" w:rsidRPr="00AE2E0C" w:rsidRDefault="00381EFE" w:rsidP="00381EFE">
      <w:pPr>
        <w:pStyle w:val="USTustnpkodeksu"/>
      </w:pPr>
      <w:r>
        <w:t xml:space="preserve">6. Bank </w:t>
      </w:r>
      <w:r w:rsidRPr="00AE2E0C">
        <w:t>weryfikuje</w:t>
      </w:r>
      <w:r>
        <w:t>,</w:t>
      </w:r>
      <w:r w:rsidRPr="00AE2E0C">
        <w:t xml:space="preserve"> czy dla okresu</w:t>
      </w:r>
      <w:r>
        <w:t xml:space="preserve">, o którym mowa w ust. 3, </w:t>
      </w:r>
      <w:r w:rsidRPr="00AE2E0C">
        <w:t>jest spełniony warunek</w:t>
      </w:r>
      <w:r w:rsidR="00E74AFE">
        <w:t>, o którym mowa w § 7 ust. 2,</w:t>
      </w:r>
      <w:r>
        <w:t xml:space="preserve"> obliczany według wzoru</w:t>
      </w:r>
      <w:r w:rsidRPr="00AE2E0C">
        <w:t>:</w:t>
      </w:r>
    </w:p>
    <w:p w:rsidR="00381EFE" w:rsidRPr="00067839" w:rsidRDefault="00381EFE" w:rsidP="00381EFE"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RUOIG</m:t>
          </m:r>
          <m:r>
            <m:rPr>
              <m:sty m:val="p"/>
            </m:rPr>
            <w:rPr>
              <w:rFonts w:ascii="Cambria Math" w:hAnsi="Cambria Math"/>
            </w:rPr>
            <m:t xml:space="preserve"> ≤</m:t>
          </m:r>
          <m:r>
            <m:rPr>
              <m:sty m:val="bi"/>
            </m:rPr>
            <w:rPr>
              <w:rFonts w:ascii="Cambria Math" w:hAnsi="Cambria Math"/>
            </w:rPr>
            <m:t>KN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RZ</m:t>
          </m:r>
        </m:oMath>
      </m:oMathPara>
    </w:p>
    <w:p w:rsidR="00381EFE" w:rsidRDefault="00381EFE" w:rsidP="00381EFE">
      <w:pPr>
        <w:pStyle w:val="LEGWMATFIZCHEMlegendawzorumatfizlubchem"/>
      </w:pPr>
      <w:r>
        <w:t>w którym poszczególne symbole oznaczają:</w:t>
      </w:r>
    </w:p>
    <w:p w:rsidR="00381EFE" w:rsidRDefault="00381EFE" w:rsidP="00381EFE">
      <w:pPr>
        <w:pStyle w:val="LEGWMATFIZCHEMlegendawzorumatfizlubchem"/>
      </w:pPr>
      <w:r w:rsidRPr="00AE2E0C">
        <w:t xml:space="preserve">RUOIG – rekompensata za świadczenie usługi </w:t>
      </w:r>
      <w:r>
        <w:t xml:space="preserve">publicznej </w:t>
      </w:r>
      <w:r w:rsidRPr="00AE2E0C">
        <w:t>w ogólnym interesie gospodarczym</w:t>
      </w:r>
      <w:r>
        <w:t>,</w:t>
      </w:r>
    </w:p>
    <w:p w:rsidR="00381EFE" w:rsidRDefault="00381EFE" w:rsidP="00381EFE">
      <w:pPr>
        <w:pStyle w:val="LEGWMATFIZCHEMlegendawzorumatfizlubchem"/>
      </w:pPr>
      <w:r w:rsidRPr="00AE2E0C">
        <w:t>KN – koszty netto wynikające ze świadczeni</w:t>
      </w:r>
      <w:r>
        <w:t>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>,</w:t>
      </w:r>
    </w:p>
    <w:p w:rsidR="00381EFE" w:rsidRPr="00AE2E0C" w:rsidRDefault="00381EFE" w:rsidP="00381EFE">
      <w:pPr>
        <w:pStyle w:val="LEGWMATFIZCHEMlegendawzorumatfizlubchem"/>
      </w:pPr>
      <w:r w:rsidRPr="00AE2E0C">
        <w:t xml:space="preserve">RZ – rozsądny zysk </w:t>
      </w:r>
      <w:r>
        <w:t>inwestora.</w:t>
      </w:r>
    </w:p>
    <w:p w:rsidR="00381EFE" w:rsidRDefault="00381EFE" w:rsidP="00381EFE">
      <w:pPr>
        <w:pStyle w:val="USTustnpkodeksu"/>
      </w:pPr>
      <w:r>
        <w:t xml:space="preserve">7. </w:t>
      </w:r>
      <w:r w:rsidRPr="00AE2E0C">
        <w:t>W przypadku stwierdzenia</w:t>
      </w:r>
      <w:r>
        <w:t>, że warunek określony w ust. 6 nie został spełniony</w:t>
      </w:r>
      <w:r w:rsidRPr="00AE2E0C">
        <w:t xml:space="preserve">, </w:t>
      </w:r>
      <w:r>
        <w:t xml:space="preserve">Bank </w:t>
      </w:r>
      <w:r w:rsidRPr="00AE2E0C">
        <w:t>weryfikuje</w:t>
      </w:r>
      <w:r>
        <w:t>,</w:t>
      </w:r>
      <w:r w:rsidRPr="00AE2E0C">
        <w:t xml:space="preserve"> jaki odsetek kwoty średniej rocznej rekompensaty stanowi nadwyżka</w:t>
      </w:r>
      <w:r>
        <w:t>.</w:t>
      </w:r>
    </w:p>
    <w:p w:rsidR="00381EFE" w:rsidRPr="00AE2E0C" w:rsidRDefault="00381EFE" w:rsidP="00381EFE">
      <w:pPr>
        <w:pStyle w:val="USTustnpkodeksu"/>
      </w:pPr>
      <w:r>
        <w:t xml:space="preserve">8. </w:t>
      </w:r>
      <w:r w:rsidRPr="00AE2E0C">
        <w:t>Jeżeli nadwyżka rekompensaty:</w:t>
      </w:r>
    </w:p>
    <w:p w:rsidR="00381EFE" w:rsidRPr="00AE2E0C" w:rsidRDefault="00381EFE" w:rsidP="00381EFE">
      <w:pPr>
        <w:pStyle w:val="PKTpunkt"/>
      </w:pPr>
      <w:r>
        <w:t xml:space="preserve">1) </w:t>
      </w:r>
      <w:r w:rsidRPr="00AE2E0C">
        <w:t xml:space="preserve">nie przekracza </w:t>
      </w:r>
      <w:r>
        <w:t>10</w:t>
      </w:r>
      <w:r w:rsidRPr="00AE2E0C">
        <w:t>% kwoty średniej rocznej rekompensaty</w:t>
      </w:r>
      <w:r w:rsidR="005E2842">
        <w:t xml:space="preserve"> -</w:t>
      </w:r>
      <w:r w:rsidRPr="00AE2E0C">
        <w:t xml:space="preserve"> zostaje </w:t>
      </w:r>
      <w:r w:rsidR="005E2842">
        <w:t xml:space="preserve">ona </w:t>
      </w:r>
      <w:r w:rsidRPr="00AE2E0C">
        <w:t xml:space="preserve">przeniesiona na kolejny okres i </w:t>
      </w:r>
      <w:r>
        <w:t xml:space="preserve">jest </w:t>
      </w:r>
      <w:r w:rsidRPr="00AE2E0C">
        <w:t>odliczana od kwoty rekompensaty należnej w tym okresie</w:t>
      </w:r>
      <w:r>
        <w:t>;</w:t>
      </w:r>
    </w:p>
    <w:p w:rsidR="00381EFE" w:rsidRPr="00AE2E0C" w:rsidRDefault="00381EFE" w:rsidP="00381EFE">
      <w:pPr>
        <w:pStyle w:val="PKTpunkt"/>
      </w:pPr>
      <w:r>
        <w:t xml:space="preserve">2) </w:t>
      </w:r>
      <w:r w:rsidRPr="00AE2E0C">
        <w:t xml:space="preserve">przekracza </w:t>
      </w:r>
      <w:r>
        <w:t>1</w:t>
      </w:r>
      <w:r w:rsidRPr="00AE2E0C">
        <w:t>0% kwoty średniej rocznej rekompensaty</w:t>
      </w:r>
      <w:r w:rsidR="005E2842">
        <w:t xml:space="preserve"> -</w:t>
      </w:r>
      <w:r w:rsidRPr="00AE2E0C">
        <w:t xml:space="preserve"> </w:t>
      </w:r>
      <w:r>
        <w:t>beneficjent wsparcia zwraca nadwyżkę do Funduszu Dopłat</w:t>
      </w:r>
      <w:r w:rsidRPr="00AE2E0C">
        <w:t>.</w:t>
      </w:r>
    </w:p>
    <w:p w:rsidR="00381EFE" w:rsidRDefault="00381EFE" w:rsidP="00381EFE">
      <w:pPr>
        <w:pStyle w:val="USTustnpkodeksu"/>
      </w:pPr>
      <w:r>
        <w:t xml:space="preserve">9. </w:t>
      </w:r>
      <w:r w:rsidRPr="00AE2E0C">
        <w:t xml:space="preserve">W przypadku gdy </w:t>
      </w:r>
      <w:r>
        <w:t>beneficjent wsparcia</w:t>
      </w:r>
      <w:r w:rsidRPr="00AE2E0C">
        <w:t xml:space="preserve"> dokona zwrotu, o którym mowa w </w:t>
      </w:r>
      <w:r>
        <w:t>ust. 8 pkt 2</w:t>
      </w:r>
      <w:r w:rsidRPr="00AE2E0C">
        <w:t>, kwota przyznanej rekompensaty jest pomniejszana o kwotę zwrotu.</w:t>
      </w:r>
    </w:p>
    <w:p w:rsidR="00EB345E" w:rsidRDefault="00EB345E" w:rsidP="00381EFE">
      <w:pPr>
        <w:pStyle w:val="USTustnpkodeksu"/>
      </w:pPr>
    </w:p>
    <w:p w:rsidR="00381EFE" w:rsidRDefault="00381EFE" w:rsidP="00381EFE">
      <w:pPr>
        <w:pStyle w:val="PKTpunkt"/>
        <w:jc w:val="center"/>
        <w:rPr>
          <w:b/>
        </w:rPr>
      </w:pPr>
      <w:r w:rsidRPr="00184597">
        <w:rPr>
          <w:b/>
        </w:rPr>
        <w:t xml:space="preserve">Rozdział </w:t>
      </w:r>
      <w:r>
        <w:rPr>
          <w:b/>
        </w:rPr>
        <w:t>3</w:t>
      </w:r>
    </w:p>
    <w:p w:rsidR="00381EFE" w:rsidRDefault="00381EFE" w:rsidP="00381EFE">
      <w:pPr>
        <w:pStyle w:val="PKTpunkt"/>
        <w:jc w:val="center"/>
        <w:rPr>
          <w:b/>
        </w:rPr>
      </w:pPr>
      <w:r>
        <w:rPr>
          <w:b/>
        </w:rPr>
        <w:t>Przepisy przejściowe i końcowe</w:t>
      </w:r>
    </w:p>
    <w:p w:rsidR="00AA1C92" w:rsidRPr="00D21E45" w:rsidRDefault="00AA1C92" w:rsidP="00177C98">
      <w:pPr>
        <w:pStyle w:val="PKTpunkt"/>
        <w:shd w:val="clear" w:color="auto" w:fill="FFFFFF" w:themeFill="background1"/>
        <w:jc w:val="center"/>
        <w:rPr>
          <w:b/>
        </w:rPr>
      </w:pPr>
    </w:p>
    <w:p w:rsidR="00381EFE" w:rsidRPr="007261AE" w:rsidRDefault="00381EFE" w:rsidP="008A23B0">
      <w:pPr>
        <w:pStyle w:val="USTustnpkodeksu"/>
        <w:shd w:val="clear" w:color="auto" w:fill="FFFFFF" w:themeFill="background1"/>
      </w:pPr>
      <w:r w:rsidRPr="00177C98">
        <w:t xml:space="preserve">§ 9. W 2018 r. </w:t>
      </w:r>
      <w:r w:rsidR="00AA1C92" w:rsidRPr="00177C98">
        <w:t xml:space="preserve">Bank ogłasza w Biuletynie Informacji Publicznej Banku, w terminach do dnia 30 czerwca 2018 r. oraz do dnia 31 grudnia 2018 r., odpowiednio dla wniosków składanych </w:t>
      </w:r>
      <w:r w:rsidR="00A40D78" w:rsidRPr="00177C98">
        <w:t xml:space="preserve">w pierwszym półroczu </w:t>
      </w:r>
      <w:r w:rsidR="00AA1C92" w:rsidRPr="00177C98">
        <w:t xml:space="preserve">do dnia 31 marca 2018 r. oraz </w:t>
      </w:r>
      <w:r w:rsidR="00A40D78" w:rsidRPr="00177C98">
        <w:t xml:space="preserve">w drugim półroczu </w:t>
      </w:r>
      <w:r w:rsidR="00AA1C92" w:rsidRPr="00177C98">
        <w:t>do dnia 30 września 2018 r., informację o możliwości uzyskania finansowe</w:t>
      </w:r>
      <w:r w:rsidR="0073752A">
        <w:t>go wsparcia przez wnioskodawców</w:t>
      </w:r>
      <w:r w:rsidR="00AA1C92" w:rsidRPr="00177C98">
        <w:t xml:space="preserve">, których wnioski spełniają warunki określone w ustawie, ustawie z dnia ……2018 r. o zmianie ustawy o finansowym wsparciu tworzenia lokali socjalnych, mieszkań chronionych, noclegowni i domów dla bezdomnych, ustawy o ochronie praw lokatorów, </w:t>
      </w:r>
      <w:r w:rsidR="00AA1C92" w:rsidRPr="00177C98">
        <w:lastRenderedPageBreak/>
        <w:t>mieszkaniowym zasobie gminy i o zmianie Kodeksu cywilnego oraz niektórych innych ustaw (Dz. U. poz. …) oraz rozporządzeniu.</w:t>
      </w:r>
    </w:p>
    <w:p w:rsidR="00381EFE" w:rsidRPr="00D81C45" w:rsidRDefault="00381EFE" w:rsidP="00381EFE">
      <w:pPr>
        <w:pStyle w:val="ARTartustawynprozporzdzenia"/>
      </w:pPr>
      <w:r w:rsidRPr="00D46D52">
        <w:t xml:space="preserve">§ </w:t>
      </w:r>
      <w:r w:rsidR="008A23B0">
        <w:t>10</w:t>
      </w:r>
      <w:r>
        <w:t>.</w:t>
      </w:r>
      <w:r w:rsidRPr="00D46D52">
        <w:t xml:space="preserve"> Rozporządzenie wchodzi w życie z dniem 1 marca 2018 r.</w:t>
      </w:r>
      <w:r w:rsidR="00D4282D">
        <w:rPr>
          <w:rStyle w:val="Odwoanieprzypisudolnego"/>
        </w:rPr>
        <w:footnoteReference w:customMarkFollows="1" w:id="5"/>
        <w:t>5)</w:t>
      </w:r>
      <w:r w:rsidR="008A23B0">
        <w:t>.</w:t>
      </w:r>
    </w:p>
    <w:p w:rsidR="00381EFE" w:rsidRDefault="00381EFE" w:rsidP="00381EFE">
      <w:pPr>
        <w:pStyle w:val="NAZORGWYDnazwaorganuwydajcegoprojektowanyakt"/>
        <w:jc w:val="left"/>
      </w:pPr>
    </w:p>
    <w:p w:rsidR="00381EFE" w:rsidRDefault="00381EFE" w:rsidP="00381EFE">
      <w:pPr>
        <w:pStyle w:val="NAZORGWYDnazwaorganuwydajcegoprojektowanyakt"/>
        <w:jc w:val="left"/>
      </w:pPr>
    </w:p>
    <w:p w:rsidR="00381EFE" w:rsidRDefault="00381EFE" w:rsidP="00381EFE">
      <w:pPr>
        <w:pStyle w:val="NAZORGWYDnazwaorganuwydajcegoprojektowanyakt"/>
        <w:jc w:val="left"/>
      </w:pPr>
      <w:r>
        <w:t>MINISTER INFRASTRUKTURY</w:t>
      </w:r>
    </w:p>
    <w:p w:rsidR="00381EFE" w:rsidRPr="00D3228B" w:rsidRDefault="00381EFE" w:rsidP="00381EFE">
      <w:pPr>
        <w:pStyle w:val="NAZORGWYDnazwaorganuwydajcegoprojektowanyakt"/>
      </w:pPr>
      <w:r>
        <w:t>I BUDOWNICTWA</w:t>
      </w:r>
    </w:p>
    <w:p w:rsidR="00381EFE" w:rsidRDefault="00381EFE" w:rsidP="00381EFE">
      <w:pPr>
        <w:pStyle w:val="NAZORGWPOROZUMIENIUnazwaorganuwporozumieniuzktrymaktjestwydawany"/>
      </w:pPr>
    </w:p>
    <w:p w:rsidR="00381EFE" w:rsidRDefault="00381EFE" w:rsidP="00381EFE">
      <w:pPr>
        <w:pStyle w:val="NAZORGWPOROZUMIENIUnazwaorganuwporozumieniuzktrymaktjestwydawany"/>
      </w:pPr>
      <w:r>
        <w:t>W porozumieniu:</w:t>
      </w:r>
    </w:p>
    <w:p w:rsidR="00381EFE" w:rsidRDefault="00381EFE" w:rsidP="00381EFE">
      <w:pPr>
        <w:pStyle w:val="NAZORGWPOROZUMIENIUnazwaorganuwporozumieniuzktrymaktjestwydawany"/>
      </w:pPr>
      <w:r>
        <w:t>MINISTER RODZINY, PRACY</w:t>
      </w:r>
    </w:p>
    <w:p w:rsidR="00381EFE" w:rsidRDefault="00381EFE" w:rsidP="00381EFE">
      <w:pPr>
        <w:pStyle w:val="NAZORGWPOROZUMIENIUnazwaorganuwporozumieniuzktrymaktjestwydawany"/>
      </w:pPr>
      <w:r>
        <w:t>I POLITYKI SPOŁECZNEJ</w:t>
      </w:r>
    </w:p>
    <w:p w:rsidR="00381EFE" w:rsidRDefault="00381EFE" w:rsidP="00381EFE"/>
    <w:p w:rsidR="00FF2954" w:rsidRDefault="00FF2954"/>
    <w:sectPr w:rsidR="00FF2954" w:rsidSect="001242DB">
      <w:headerReference w:type="default" r:id="rId1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CC" w:rsidRDefault="007006CC" w:rsidP="00381EFE">
      <w:pPr>
        <w:spacing w:line="240" w:lineRule="auto"/>
      </w:pPr>
      <w:r>
        <w:separator/>
      </w:r>
    </w:p>
  </w:endnote>
  <w:endnote w:type="continuationSeparator" w:id="0">
    <w:p w:rsidR="007006CC" w:rsidRDefault="007006CC" w:rsidP="00381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CC" w:rsidRDefault="007006CC" w:rsidP="00381EFE">
      <w:pPr>
        <w:spacing w:line="240" w:lineRule="auto"/>
      </w:pPr>
      <w:r>
        <w:separator/>
      </w:r>
    </w:p>
  </w:footnote>
  <w:footnote w:type="continuationSeparator" w:id="0">
    <w:p w:rsidR="007006CC" w:rsidRDefault="007006CC" w:rsidP="00381EFE">
      <w:pPr>
        <w:spacing w:line="240" w:lineRule="auto"/>
      </w:pPr>
      <w:r>
        <w:continuationSeparator/>
      </w:r>
    </w:p>
  </w:footnote>
  <w:footnote w:id="1">
    <w:p w:rsidR="00381EFE" w:rsidRPr="009669E2" w:rsidRDefault="00381EFE" w:rsidP="00381EFE">
      <w:pPr>
        <w:pStyle w:val="ODNONIKtreodnonika"/>
        <w:rPr>
          <w:rFonts w:eastAsia="Times New Roman"/>
        </w:rPr>
      </w:pPr>
      <w:r w:rsidRPr="00B830B6">
        <w:rPr>
          <w:rStyle w:val="Odwoanieprzypisudolnego"/>
        </w:rPr>
        <w:footnoteRef/>
      </w:r>
      <w:r w:rsidRPr="00B830B6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Pr="009669E2">
        <w:rPr>
          <w:rFonts w:eastAsia="Times New Roman"/>
        </w:rPr>
        <w:t>Sprawy budownictwa, planowania i zagospodarowania przestrzennego oraz mieszkalnictwa należą do działu</w:t>
      </w:r>
      <w:r w:rsidRPr="00442C2A">
        <w:t xml:space="preserve"> administracji rządowej – budownictwo, planowanie i zagospodarowanie przestrzenne oraz mieszkalnictwo</w:t>
      </w:r>
      <w:r w:rsidRPr="009669E2">
        <w:rPr>
          <w:rFonts w:eastAsia="Times New Roman"/>
        </w:rPr>
        <w:t>, którym</w:t>
      </w:r>
      <w:r w:rsidRPr="00442C2A">
        <w:t xml:space="preserve"> kieruje Minister Infrastruktury </w:t>
      </w:r>
      <w:r>
        <w:t>i Budownictwa</w:t>
      </w:r>
      <w:r w:rsidR="00BA0E97">
        <w:t>,</w:t>
      </w:r>
      <w:r>
        <w:t xml:space="preserve"> na podstawie § </w:t>
      </w:r>
      <w:r w:rsidRPr="00442C2A">
        <w:t xml:space="preserve">1 ust. 2 pkt 1 rozporządzenia Prezesa Rady Ministrów z dnia 17 listopada 2015 r. w sprawie szczegółowego zakresu działania Ministra Infrastruktury i Budownictwa (Dz. U. </w:t>
      </w:r>
      <w:r w:rsidRPr="009669E2">
        <w:rPr>
          <w:rFonts w:eastAsia="Times New Roman"/>
        </w:rPr>
        <w:t>poz.</w:t>
      </w:r>
      <w:r w:rsidRPr="00442C2A">
        <w:t xml:space="preserve"> 1907</w:t>
      </w:r>
      <w:r>
        <w:rPr>
          <w:rFonts w:eastAsia="Times New Roman"/>
        </w:rPr>
        <w:t xml:space="preserve"> i 2094</w:t>
      </w:r>
      <w:r w:rsidR="003D4ABF">
        <w:rPr>
          <w:rFonts w:eastAsia="Times New Roman"/>
        </w:rPr>
        <w:t xml:space="preserve"> oraz z 2017 r. poz. 1076</w:t>
      </w:r>
      <w:r>
        <w:rPr>
          <w:rFonts w:eastAsia="Times New Roman"/>
        </w:rPr>
        <w:t>).</w:t>
      </w:r>
    </w:p>
  </w:footnote>
  <w:footnote w:id="2">
    <w:p w:rsidR="00D4282D" w:rsidRDefault="00D4282D" w:rsidP="00D4282D">
      <w:pPr>
        <w:pStyle w:val="ODNONIKtreodnonika"/>
      </w:pPr>
      <w:r>
        <w:rPr>
          <w:rStyle w:val="Odwoanieprzypisudolnego"/>
        </w:rPr>
        <w:t>2)</w:t>
      </w:r>
      <w:r>
        <w:tab/>
      </w:r>
      <w:r w:rsidRPr="00D4282D">
        <w:t>Zmiany tekstu jednolitego wymienionej ustawy zostały ogłoszone w Dz. U. z</w:t>
      </w:r>
      <w:r>
        <w:t xml:space="preserve"> 2016 r. poz. 2260 oraz z 2017 </w:t>
      </w:r>
      <w:r w:rsidRPr="00D4282D">
        <w:t>r. poz. 624, 1509, 1529, 1566, 1595 i 2260</w:t>
      </w:r>
      <w:r>
        <w:t>.</w:t>
      </w:r>
    </w:p>
  </w:footnote>
  <w:footnote w:id="3">
    <w:p w:rsidR="00D4282D" w:rsidRDefault="00D4282D" w:rsidP="00D4282D">
      <w:pPr>
        <w:pStyle w:val="ODNONIKtreodnonika"/>
      </w:pPr>
      <w:r>
        <w:rPr>
          <w:rStyle w:val="Odwoanieprzypisudolnego"/>
        </w:rPr>
        <w:t>3)</w:t>
      </w:r>
      <w:r>
        <w:tab/>
      </w:r>
      <w:r w:rsidRPr="00D21E45">
        <w:t xml:space="preserve">Stopa </w:t>
      </w:r>
      <w:proofErr w:type="spellStart"/>
      <w:r w:rsidRPr="00D21E45">
        <w:t>swap</w:t>
      </w:r>
      <w:proofErr w:type="spellEnd"/>
      <w:r w:rsidRPr="00D21E45">
        <w:t>, obliczana  dla celów realizacji decyzji Komisji z dnia 20 grudnia 2011 r. w sprawie stosowania art. 106 ust. 2 Traktatu o funkcjonowaniu Unii Europejskiej do pomocy państwa w formie rekompensaty z tytułu świadczenia usług publicznych, przyznawanej przedsiębiorstwom zobowiązanym do wykonywania usług świadczonych w ogólnym interesie gospodarczym (Dz. Urz. UE L 7 z 11.01.2012, str. 3), jest udostępniana na stronie internetowej Komisji Europejskiej pod adresem: http://ec.europa.eu/competition/state_aid/legislation/swap_rates_en.html</w:t>
      </w:r>
      <w:r>
        <w:t>”.</w:t>
      </w:r>
    </w:p>
  </w:footnote>
  <w:footnote w:id="4">
    <w:p w:rsidR="00D4282D" w:rsidRDefault="00D4282D" w:rsidP="00D4282D">
      <w:pPr>
        <w:pStyle w:val="ODNONIKtreodnonika"/>
      </w:pPr>
      <w:r>
        <w:rPr>
          <w:rStyle w:val="Odwoanieprzypisudolnego"/>
        </w:rPr>
        <w:t>4)</w:t>
      </w:r>
      <w:r>
        <w:t xml:space="preserve"> </w:t>
      </w:r>
      <w:r w:rsidRPr="00D21E45">
        <w:t xml:space="preserve">Stopa bazowa, obliczana zgodnie z komunikatem Komisji w sprawie zmiany metody ustalania stóp referencyjnych i dyskontowych 2008/C 14/02 (Dz. U. UE C 2008.14.6 z 19 stycznia 2008, str. 6),  jest udostępniana na stronie internetowej Komisji Europejskiej pod adresem: </w:t>
      </w:r>
      <w:hyperlink r:id="rId1" w:history="1">
        <w:r w:rsidRPr="00D21E45">
          <w:rPr>
            <w:rStyle w:val="Hipercze"/>
            <w:color w:val="000000" w:themeColor="text1"/>
          </w:rPr>
          <w:t>http://ec.europa.eu/competition/state_aid/legislation/reference_rates.html</w:t>
        </w:r>
      </w:hyperlink>
      <w:r w:rsidRPr="00D21E45">
        <w:rPr>
          <w:color w:val="000000" w:themeColor="text1"/>
        </w:rPr>
        <w:t>.</w:t>
      </w:r>
    </w:p>
  </w:footnote>
  <w:footnote w:id="5">
    <w:p w:rsidR="00D4282D" w:rsidRPr="00D21E45" w:rsidRDefault="00D4282D" w:rsidP="00D4282D">
      <w:pPr>
        <w:pStyle w:val="ODNONIKtreodnonika"/>
      </w:pPr>
      <w:r>
        <w:rPr>
          <w:rStyle w:val="Odwoanieprzypisudolnego"/>
        </w:rPr>
        <w:t>5)</w:t>
      </w:r>
      <w:r>
        <w:t xml:space="preserve"> </w:t>
      </w:r>
      <w:r w:rsidRPr="00D21E45">
        <w:t xml:space="preserve">Niniejsze rozporządzenie było poprzedzone </w:t>
      </w:r>
      <w:hyperlink r:id="rId2" w:anchor="hiperlinkText.rpc?hiperlink=type=tresc:nro=Powszechny.560703&amp;full=1" w:tgtFrame="_parent" w:history="1">
        <w:r w:rsidRPr="00E74AFE">
          <w:rPr>
            <w:rStyle w:val="Hipercze"/>
            <w:color w:val="auto"/>
            <w:u w:val="none"/>
          </w:rPr>
          <w:t>rozporządzeniami</w:t>
        </w:r>
      </w:hyperlink>
      <w:r w:rsidRPr="005E2842">
        <w:t>:</w:t>
      </w:r>
    </w:p>
    <w:p w:rsidR="00D4282D" w:rsidRPr="00D21E45" w:rsidRDefault="00D4282D" w:rsidP="00D4282D">
      <w:pPr>
        <w:pStyle w:val="ODNONIKtreodnonika"/>
      </w:pPr>
      <w:r>
        <w:t xml:space="preserve">1) </w:t>
      </w:r>
      <w:r w:rsidRPr="00D21E45">
        <w:t xml:space="preserve">Ministra Infrastruktury i Budownictwa  z dnia 26 lutego 2016 r. w sprawie finansowego wsparcia na tworzenie lokali socjalnych, mieszkań chronionych i lokali wchodzących w skład mieszkaniowego zasobu gminy niestanowiących lokali socjalnych </w:t>
      </w:r>
      <w:r>
        <w:t>(Dz. U. 2016 r. poz. 259),</w:t>
      </w:r>
      <w:r w:rsidRPr="00D21E45">
        <w:t xml:space="preserve"> </w:t>
      </w:r>
    </w:p>
    <w:p w:rsidR="00D4282D" w:rsidRPr="00D21E45" w:rsidRDefault="00D4282D" w:rsidP="00D4282D">
      <w:pPr>
        <w:pStyle w:val="ODNONIKtreodnonika"/>
      </w:pPr>
      <w:r>
        <w:t xml:space="preserve">2) </w:t>
      </w:r>
      <w:r w:rsidRPr="00D21E45">
        <w:t>Ministra Rodziny, Pracy i Polityki Społecznej z dnia 12 sierpnia 2016 r. w sprawie finansowego wsparcia na tworzenie noclegowni i domów dla bezdomnych (Dz.</w:t>
      </w:r>
      <w:r>
        <w:t xml:space="preserve"> </w:t>
      </w:r>
      <w:r w:rsidRPr="00D21E45">
        <w:t>U. z 2016 r. poz. 1272)</w:t>
      </w:r>
    </w:p>
    <w:p w:rsidR="00D4282D" w:rsidRPr="00D21E45" w:rsidRDefault="00D4282D" w:rsidP="00D4282D">
      <w:pPr>
        <w:pStyle w:val="ODNONIKtreodnonika"/>
      </w:pPr>
      <w:r>
        <w:t xml:space="preserve"> - </w:t>
      </w:r>
      <w:r w:rsidRPr="00D21E45">
        <w:t>które tracą moc z dniem wejścia w życie niniejszego rozporządzenia</w:t>
      </w:r>
      <w:r>
        <w:t xml:space="preserve">, </w:t>
      </w:r>
      <w:r w:rsidRPr="00D21E45">
        <w:t xml:space="preserve"> zgodnie z art. 11 ust. 5 ustawy z dnia … ….. 2018 r. o zmianie ustawy o finansowym wsparciu tworzenia lokali socjalnych, mieszkań chronionych, noclegowni i domów dla bezdomnych, ustawy o ochronie praw lokatorów, mieszkaniowym zasobie gminy i o zmianie Kodeksu cywilnego oraz niektórych innych ustaw (Dz. U. ... poz. ...).</w:t>
      </w:r>
    </w:p>
    <w:p w:rsidR="00D4282D" w:rsidRDefault="00D428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B6" w:rsidRPr="00B371CC" w:rsidRDefault="00381EFE" w:rsidP="001242DB">
    <w:pPr>
      <w:pStyle w:val="Nagwek"/>
      <w:jc w:val="center"/>
    </w:pPr>
    <w:r>
      <w:t xml:space="preserve">– </w:t>
    </w:r>
    <w:r w:rsidR="00EC6719">
      <w:fldChar w:fldCharType="begin"/>
    </w:r>
    <w:r>
      <w:instrText xml:space="preserve"> PAGE  \* MERGEFORMAT </w:instrText>
    </w:r>
    <w:r w:rsidR="00EC6719">
      <w:fldChar w:fldCharType="separate"/>
    </w:r>
    <w:r w:rsidR="00045477">
      <w:rPr>
        <w:noProof/>
      </w:rPr>
      <w:t>10</w:t>
    </w:r>
    <w:r w:rsidR="00EC6719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E"/>
    <w:rsid w:val="00045477"/>
    <w:rsid w:val="00052FC9"/>
    <w:rsid w:val="0005538B"/>
    <w:rsid w:val="000767CE"/>
    <w:rsid w:val="00177C98"/>
    <w:rsid w:val="001B3A47"/>
    <w:rsid w:val="00210C39"/>
    <w:rsid w:val="002A2D7C"/>
    <w:rsid w:val="003707EC"/>
    <w:rsid w:val="00381EFE"/>
    <w:rsid w:val="003A3162"/>
    <w:rsid w:val="003D4ABF"/>
    <w:rsid w:val="003D7874"/>
    <w:rsid w:val="003E27BB"/>
    <w:rsid w:val="003F4FAA"/>
    <w:rsid w:val="00441A12"/>
    <w:rsid w:val="005741D7"/>
    <w:rsid w:val="005E2842"/>
    <w:rsid w:val="005F7C3E"/>
    <w:rsid w:val="006146E1"/>
    <w:rsid w:val="00632AF5"/>
    <w:rsid w:val="006500FA"/>
    <w:rsid w:val="00660CD4"/>
    <w:rsid w:val="00671A21"/>
    <w:rsid w:val="00687805"/>
    <w:rsid w:val="006B7935"/>
    <w:rsid w:val="006F1D8E"/>
    <w:rsid w:val="007006CC"/>
    <w:rsid w:val="0073752A"/>
    <w:rsid w:val="0078299E"/>
    <w:rsid w:val="00782EBD"/>
    <w:rsid w:val="00802AD9"/>
    <w:rsid w:val="00806E4E"/>
    <w:rsid w:val="00895FA8"/>
    <w:rsid w:val="008A23B0"/>
    <w:rsid w:val="008E7A2C"/>
    <w:rsid w:val="00982E70"/>
    <w:rsid w:val="00A13C0F"/>
    <w:rsid w:val="00A40D78"/>
    <w:rsid w:val="00AA1C92"/>
    <w:rsid w:val="00B27323"/>
    <w:rsid w:val="00B43F56"/>
    <w:rsid w:val="00B50369"/>
    <w:rsid w:val="00B506AD"/>
    <w:rsid w:val="00BA0E97"/>
    <w:rsid w:val="00BB19D7"/>
    <w:rsid w:val="00D24F23"/>
    <w:rsid w:val="00D4282D"/>
    <w:rsid w:val="00D50F26"/>
    <w:rsid w:val="00D74210"/>
    <w:rsid w:val="00DA4745"/>
    <w:rsid w:val="00DC2D0E"/>
    <w:rsid w:val="00E27C4C"/>
    <w:rsid w:val="00E74AFE"/>
    <w:rsid w:val="00EB345E"/>
    <w:rsid w:val="00EC6719"/>
    <w:rsid w:val="00ED0BFB"/>
    <w:rsid w:val="00EF588C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F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81EF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81EF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1EF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81EF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81EF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81EF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81EF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81EF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81EFE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381EF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381EFE"/>
    <w:pPr>
      <w:keepNext/>
      <w:widowControl/>
      <w:suppressAutoHyphens/>
      <w:autoSpaceDE/>
      <w:autoSpaceDN/>
      <w:adjustRightInd/>
      <w:spacing w:after="120"/>
      <w:ind w:left="4820"/>
      <w:jc w:val="center"/>
    </w:pPr>
    <w:rPr>
      <w:rFonts w:ascii="Times" w:eastAsia="Times New Roman" w:hAnsi="Times" w:cs="Times New Roman"/>
      <w:b/>
      <w:bCs/>
      <w:caps/>
      <w:kern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81EFE"/>
    <w:pPr>
      <w:ind w:left="0" w:right="4820"/>
      <w:jc w:val="left"/>
    </w:pPr>
  </w:style>
  <w:style w:type="character" w:customStyle="1" w:styleId="IGindeksgrny">
    <w:name w:val="_IG_ – indeks górny"/>
    <w:basedOn w:val="Domylnaczcionkaakapitu"/>
    <w:uiPriority w:val="2"/>
    <w:qFormat/>
    <w:rsid w:val="00381EF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81EFE"/>
    <w:rPr>
      <w:b w:val="0"/>
      <w:i w:val="0"/>
      <w:vanish w:val="0"/>
      <w:spacing w:val="0"/>
      <w:vertAlign w:val="subscript"/>
    </w:rPr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381EFE"/>
    <w:pPr>
      <w:widowControl/>
      <w:autoSpaceDE/>
      <w:autoSpaceDN/>
      <w:adjustRightInd/>
      <w:ind w:left="1304" w:hanging="794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EF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EF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1E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FE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88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88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88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zmieniony">
    <w:name w:val="zmieniony"/>
    <w:basedOn w:val="Domylnaczcionkaakapitu"/>
    <w:rsid w:val="0067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F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81EF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81EF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1EF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81EF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81EF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81EF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81EF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81EF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81EFE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381EF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381EFE"/>
    <w:pPr>
      <w:keepNext/>
      <w:widowControl/>
      <w:suppressAutoHyphens/>
      <w:autoSpaceDE/>
      <w:autoSpaceDN/>
      <w:adjustRightInd/>
      <w:spacing w:after="120"/>
      <w:ind w:left="4820"/>
      <w:jc w:val="center"/>
    </w:pPr>
    <w:rPr>
      <w:rFonts w:ascii="Times" w:eastAsia="Times New Roman" w:hAnsi="Times" w:cs="Times New Roman"/>
      <w:b/>
      <w:bCs/>
      <w:caps/>
      <w:kern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81EFE"/>
    <w:pPr>
      <w:ind w:left="0" w:right="4820"/>
      <w:jc w:val="left"/>
    </w:pPr>
  </w:style>
  <w:style w:type="character" w:customStyle="1" w:styleId="IGindeksgrny">
    <w:name w:val="_IG_ – indeks górny"/>
    <w:basedOn w:val="Domylnaczcionkaakapitu"/>
    <w:uiPriority w:val="2"/>
    <w:qFormat/>
    <w:rsid w:val="00381EF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81EFE"/>
    <w:rPr>
      <w:b w:val="0"/>
      <w:i w:val="0"/>
      <w:vanish w:val="0"/>
      <w:spacing w:val="0"/>
      <w:vertAlign w:val="subscript"/>
    </w:rPr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381EFE"/>
    <w:pPr>
      <w:widowControl/>
      <w:autoSpaceDE/>
      <w:autoSpaceDN/>
      <w:adjustRightInd/>
      <w:ind w:left="1304" w:hanging="794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EF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EF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1E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FE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88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88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88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zmieniony">
    <w:name w:val="zmieniony"/>
    <w:basedOn w:val="Domylnaczcionkaakapitu"/>
    <w:rsid w:val="006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3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8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7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0" Type="http://schemas.openxmlformats.org/officeDocument/2006/relationships/hyperlink" Target="http://legalis/akt.do?link=AKT%5b%5d37113637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alis/akt.do?link=AKT%5b%5d371125149" TargetMode="External"/><Relationship Id="rId14" Type="http://schemas.openxmlformats.org/officeDocument/2006/relationships/hyperlink" Target="http://lex/lex/index.rpc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" Type="http://schemas.openxmlformats.org/officeDocument/2006/relationships/hyperlink" Target="http://ec.europa.eu/competition/state_aid/legislation/reference_rate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1CE2-64F6-4FCC-A425-41CBCDEA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2868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aslupska</dc:creator>
  <cp:lastModifiedBy>Matusiak Joanna</cp:lastModifiedBy>
  <cp:revision>3</cp:revision>
  <cp:lastPrinted>2018-01-09T12:13:00Z</cp:lastPrinted>
  <dcterms:created xsi:type="dcterms:W3CDTF">2018-01-09T14:01:00Z</dcterms:created>
  <dcterms:modified xsi:type="dcterms:W3CDTF">2018-01-09T14:52:00Z</dcterms:modified>
</cp:coreProperties>
</file>